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23, 2003</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jc w:val="right"/>
              <w:ind w:right="1683"/>
              <w:spacing w:after="0"/>
              <w:rPr>
                <w:sz w:val="20"/>
                <w:szCs w:val="20"/>
                <w:color w:val="auto"/>
              </w:rPr>
            </w:pPr>
            <w:r>
              <w:rPr>
                <w:rFonts w:ascii="Arial" w:cs="Arial" w:eastAsia="Arial" w:hAnsi="Arial"/>
                <w:sz w:val="18"/>
                <w:szCs w:val="18"/>
                <w:b w:val="1"/>
                <w:bCs w:val="1"/>
                <w:color w:val="auto"/>
              </w:rPr>
              <w:t>000-30939</w:t>
            </w:r>
          </w:p>
        </w:tc>
        <w:tc>
          <w:tcPr>
            <w:tcW w:w="3560" w:type="dxa"/>
            <w:vAlign w:val="bottom"/>
          </w:tcPr>
          <w:p>
            <w:pPr>
              <w:spacing w:after="0"/>
              <w:rPr>
                <w:sz w:val="18"/>
                <w:szCs w:val="18"/>
                <w:color w:val="auto"/>
              </w:rPr>
            </w:pPr>
          </w:p>
        </w:tc>
      </w:tr>
      <w:tr>
        <w:trPr>
          <w:trHeight w:val="174"/>
        </w:trPr>
        <w:tc>
          <w:tcPr>
            <w:tcW w:w="7860" w:type="dxa"/>
            <w:vAlign w:val="bottom"/>
          </w:tcPr>
          <w:p>
            <w:pPr>
              <w:jc w:val="center"/>
              <w:ind w:left="3503"/>
              <w:spacing w:after="0"/>
              <w:rPr>
                <w:sz w:val="20"/>
                <w:szCs w:val="20"/>
                <w:color w:val="auto"/>
              </w:rPr>
            </w:pPr>
            <w:r>
              <w:rPr>
                <w:rFonts w:ascii="Arial" w:cs="Arial" w:eastAsia="Arial" w:hAnsi="Arial"/>
                <w:sz w:val="14"/>
                <w:szCs w:val="14"/>
                <w:b w:val="1"/>
                <w:bCs w:val="1"/>
                <w:color w:val="auto"/>
                <w:w w:val="87"/>
              </w:rPr>
              <w:t>(Commission File Number)</w:t>
            </w:r>
          </w:p>
        </w:tc>
        <w:tc>
          <w:tcPr>
            <w:tcW w:w="3560" w:type="dxa"/>
            <w:vAlign w:val="bottom"/>
          </w:tcPr>
          <w:p>
            <w:pPr>
              <w:spacing w:after="0"/>
              <w:rPr>
                <w:sz w:val="15"/>
                <w:szCs w:val="15"/>
                <w:color w:val="auto"/>
              </w:rPr>
            </w:pPr>
          </w:p>
        </w:tc>
      </w:tr>
      <w:tr>
        <w:trPr>
          <w:trHeight w:val="339"/>
        </w:trPr>
        <w:tc>
          <w:tcPr>
            <w:tcW w:w="7860" w:type="dxa"/>
            <w:vAlign w:val="bottom"/>
          </w:tcPr>
          <w:p>
            <w:pPr>
              <w:jc w:val="center"/>
              <w:ind w:right="2243"/>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right"/>
              <w:ind w:right="228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860" w:type="dxa"/>
            <w:vAlign w:val="bottom"/>
          </w:tcPr>
          <w:p>
            <w:pPr>
              <w:jc w:val="center"/>
              <w:ind w:right="2243"/>
              <w:spacing w:after="0" w:line="149" w:lineRule="exact"/>
              <w:rPr>
                <w:sz w:val="20"/>
                <w:szCs w:val="20"/>
                <w:color w:val="auto"/>
              </w:rPr>
            </w:pPr>
            <w:r>
              <w:rPr>
                <w:rFonts w:ascii="Arial" w:cs="Arial" w:eastAsia="Arial" w:hAnsi="Arial"/>
                <w:sz w:val="14"/>
                <w:szCs w:val="14"/>
                <w:b w:val="1"/>
                <w:bCs w:val="1"/>
                <w:color w:val="auto"/>
                <w:w w:val="88"/>
              </w:rPr>
              <w:t>(State of Other Jurisdiction of Incorporation)</w:t>
            </w:r>
          </w:p>
        </w:tc>
        <w:tc>
          <w:tcPr>
            <w:tcW w:w="3560" w:type="dxa"/>
            <w:vAlign w:val="bottom"/>
          </w:tcPr>
          <w:p>
            <w:pPr>
              <w:jc w:val="center"/>
              <w:ind w:right="19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860" w:type="dxa"/>
            <w:vAlign w:val="bottom"/>
          </w:tcPr>
          <w:p>
            <w:pPr>
              <w:spacing w:after="0"/>
              <w:rPr>
                <w:sz w:val="15"/>
                <w:szCs w:val="15"/>
                <w:color w:val="auto"/>
              </w:rPr>
            </w:pPr>
          </w:p>
        </w:tc>
        <w:tc>
          <w:tcPr>
            <w:tcW w:w="35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7860" w:type="dxa"/>
            <w:vAlign w:val="bottom"/>
          </w:tcPr>
          <w:p>
            <w:pPr>
              <w:jc w:val="center"/>
              <w:ind w:right="224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3560" w:type="dxa"/>
            <w:vAlign w:val="bottom"/>
          </w:tcPr>
          <w:p>
            <w:pPr>
              <w:jc w:val="right"/>
              <w:ind w:right="2484"/>
              <w:spacing w:after="0"/>
              <w:rPr>
                <w:sz w:val="20"/>
                <w:szCs w:val="20"/>
                <w:color w:val="auto"/>
              </w:rPr>
            </w:pPr>
            <w:r>
              <w:rPr>
                <w:rFonts w:ascii="Arial" w:cs="Arial" w:eastAsia="Arial" w:hAnsi="Arial"/>
                <w:sz w:val="18"/>
                <w:szCs w:val="18"/>
                <w:b w:val="1"/>
                <w:bCs w:val="1"/>
                <w:color w:val="auto"/>
              </w:rPr>
              <w:t>78758</w:t>
            </w:r>
          </w:p>
        </w:tc>
      </w:tr>
      <w:tr>
        <w:trPr>
          <w:trHeight w:val="174"/>
        </w:trPr>
        <w:tc>
          <w:tcPr>
            <w:tcW w:w="7860" w:type="dxa"/>
            <w:vAlign w:val="bottom"/>
          </w:tcPr>
          <w:p>
            <w:pPr>
              <w:jc w:val="center"/>
              <w:ind w:right="224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7860" w:type="dxa"/>
            <w:vAlign w:val="bottom"/>
          </w:tcPr>
          <w:p>
            <w:pPr>
              <w:jc w:val="right"/>
              <w:ind w:right="1523"/>
              <w:spacing w:after="0"/>
              <w:rPr>
                <w:sz w:val="20"/>
                <w:szCs w:val="20"/>
                <w:color w:val="auto"/>
              </w:rPr>
            </w:pPr>
            <w:r>
              <w:rPr>
                <w:rFonts w:ascii="Arial" w:cs="Arial" w:eastAsia="Arial" w:hAnsi="Arial"/>
                <w:sz w:val="18"/>
                <w:szCs w:val="18"/>
                <w:b w:val="1"/>
                <w:bCs w:val="1"/>
                <w:color w:val="auto"/>
              </w:rPr>
              <w:t>(512) 836-6464</w:t>
            </w:r>
          </w:p>
        </w:tc>
        <w:tc>
          <w:tcPr>
            <w:tcW w:w="3560" w:type="dxa"/>
            <w:vAlign w:val="bottom"/>
          </w:tcPr>
          <w:p>
            <w:pPr>
              <w:spacing w:after="0"/>
              <w:rPr>
                <w:sz w:val="24"/>
                <w:szCs w:val="24"/>
                <w:color w:val="auto"/>
              </w:rPr>
            </w:pPr>
          </w:p>
        </w:tc>
      </w:tr>
      <w:tr>
        <w:trPr>
          <w:trHeight w:val="174"/>
        </w:trPr>
        <w:tc>
          <w:tcPr>
            <w:tcW w:w="7860" w:type="dxa"/>
            <w:vAlign w:val="bottom"/>
          </w:tcPr>
          <w:p>
            <w:pPr>
              <w:jc w:val="center"/>
              <w:ind w:left="348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560" w:type="dxa"/>
            <w:vAlign w:val="bottom"/>
          </w:tcPr>
          <w:p>
            <w:pPr>
              <w:spacing w:after="0"/>
              <w:rPr>
                <w:sz w:val="15"/>
                <w:szCs w:val="15"/>
                <w:color w:val="auto"/>
              </w:rPr>
            </w:pPr>
          </w:p>
        </w:tc>
      </w:tr>
      <w:tr>
        <w:trPr>
          <w:trHeight w:val="297"/>
        </w:trPr>
        <w:tc>
          <w:tcPr>
            <w:tcW w:w="7860" w:type="dxa"/>
            <w:vAlign w:val="bottom"/>
          </w:tcPr>
          <w:p>
            <w:pPr>
              <w:jc w:val="center"/>
              <w:ind w:left="348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3560" w:type="dxa"/>
            <w:vAlign w:val="bottom"/>
          </w:tcPr>
          <w:p>
            <w:pPr>
              <w:spacing w:after="0"/>
              <w:rPr>
                <w:sz w:val="24"/>
                <w:szCs w:val="24"/>
                <w:color w:val="auto"/>
              </w:rPr>
            </w:pPr>
          </w:p>
        </w:tc>
      </w:tr>
      <w:tr>
        <w:trPr>
          <w:trHeight w:val="267"/>
        </w:trPr>
        <w:tc>
          <w:tcPr>
            <w:tcW w:w="786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 Results of Operations and Financial Condition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23, 2003, Active Power, Inc. issued a press release reporting its results of operations for its fiscal quarter ended September 30, 2003. A copy of the press release is furnished herewith as Exhibit 99.1 and incorporated by reference herein.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furnished in this Item 12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caused this report to be signed on its behalf by the undersigned hereunto duly authorized.</w:t>
      </w:r>
    </w:p>
    <w:p>
      <w:pPr>
        <w:spacing w:after="0" w:line="11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020" w:val="left"/>
          <w:tab w:leader="none" w:pos="5480" w:val="left"/>
        </w:tabs>
        <w:rPr>
          <w:sz w:val="20"/>
          <w:szCs w:val="20"/>
          <w:color w:val="auto"/>
        </w:rPr>
      </w:pPr>
      <w:r>
        <w:rPr>
          <w:rFonts w:ascii="Arial" w:cs="Arial" w:eastAsia="Arial" w:hAnsi="Arial"/>
          <w:sz w:val="18"/>
          <w:szCs w:val="18"/>
          <w:color w:val="auto"/>
        </w:rPr>
        <w:t>Dated: October 23,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80010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2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78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520" w:type="dxa"/>
            <w:vAlign w:val="bottom"/>
            <w:gridSpan w:val="3"/>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r>
      <w:tr>
        <w:trPr>
          <w:trHeight w:val="424"/>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5520" w:type="dxa"/>
            <w:vAlign w:val="bottom"/>
            <w:gridSpan w:val="3"/>
          </w:tcPr>
          <w:p>
            <w:pPr>
              <w:ind w:left="840"/>
              <w:spacing w:after="0"/>
              <w:rPr>
                <w:sz w:val="20"/>
                <w:szCs w:val="20"/>
                <w:color w:val="auto"/>
              </w:rPr>
            </w:pPr>
            <w:r>
              <w:rPr>
                <w:rFonts w:ascii="Arial" w:cs="Arial" w:eastAsia="Arial" w:hAnsi="Arial"/>
                <w:sz w:val="18"/>
                <w:szCs w:val="18"/>
                <w:color w:val="auto"/>
                <w:w w:val="97"/>
              </w:rPr>
              <w:t>Press Release of Active Power, Inc. dated October 23, 2003</w:t>
            </w:r>
          </w:p>
        </w:tc>
      </w:tr>
    </w:tbl>
    <w:p>
      <w:pPr>
        <w:ind w:left="84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October 23, 2003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LOGO]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THIRD QUARTER RESULTS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AUSTIN, Texas (October 23, 2003) — Active Power, Inc. (NASDAQ: ACPW) today announced results for its third quarter ended September 30, 2003. Total revenues for the third quarter of fiscal 2003 were $3.0 million, up 60% sequentially from the second quarter 2003. Product revenues for the quarter increased 37% from the same period in the prior year. There was no development contract revenue for the quarter ended September 30, 2003, as compared with $1.0 million for the same period last year, resulting in a 6% reduction in total revenue.</w:t>
      </w:r>
    </w:p>
    <w:p>
      <w:pPr>
        <w:spacing w:after="0" w:line="13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Net loss for the third quarter of 2003 was $5.1 million, or 12 cents per share, compared to a net loss of $5.9 million, or 14 cents per share, for the previous quarter and a net loss of $6.4 million, or 15 cents per share, for the same period last year. Consumption of cash and investments for the quarter was $4.5 million, as compared to $4.0 million for the previous quarter and $5.6 million for the same period last year. Cash and investments at September 30, 2003 were $76.2 million.</w:t>
      </w:r>
    </w:p>
    <w:p>
      <w:pPr>
        <w:spacing w:after="0" w:line="7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are encouraged by the increased demand for our products. Sales activity has been growing for the last few quarters and we are now beginning to see the conversion of this interest into orders. Solid product performance, an expanded product line, additional channels to market and several high profile power outages are all contributing to this pick up in demand,” said Joe Pinkerton, Chairman and CEO of Active Power.</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effort on our battery-free, 15-minute runtime system is progressing on schedule. An early-stage prototype continues to post results that closely track our simulations. Several industry leaders have witnessed a demo of the prototype and we are excited about their feedback on the potential of this new technology. We plan to ship alpha systems to customers by late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r>
        <w:rPr>
          <w:rFonts w:ascii="Arial" w:cs="Arial" w:eastAsia="Arial" w:hAnsi="Arial"/>
          <w:sz w:val="18"/>
          <w:szCs w:val="18"/>
          <w:color w:val="auto"/>
        </w:rPr>
        <w:t>:</w:t>
      </w:r>
    </w:p>
    <w:p>
      <w:pPr>
        <w:spacing w:after="0" w:line="158"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Shipped 49 flywheel units in Q3, or 12 megawatts of power protection equipment to 10 countries around the world.</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Improved product gross margins by 49 percentage points year over year and 33 percentage points sequentially to (21%) due to increased sales volume, engineering driven product design savings and reduced manufacturing staffing and spending levels.</w:t>
      </w:r>
    </w:p>
    <w:p>
      <w:pPr>
        <w:sectPr>
          <w:pgSz w:w="11900" w:h="16838" w:orient="portrait"/>
          <w:cols w:equalWidth="0" w:num="1">
            <w:col w:w="11420"/>
          </w:cols>
          <w:pgMar w:left="240" w:top="125" w:right="239" w:bottom="1440" w:gutter="0" w:footer="0" w:header="0"/>
        </w:sectPr>
      </w:pPr>
    </w:p>
    <w:bookmarkStart w:id="5" w:name="page6"/>
    <w:bookmarkEnd w:id="5"/>
    <w:p>
      <w:pPr>
        <w:ind w:left="800" w:right="3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an exclusive distributor agreement with Fuji Electric for our CleanSource DC product, wherein they will sell and market this product in Japan.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Shipped the first 1200 kVA high power UPS system to an Illinois customer who plans to use the UPS to protect its critical data center operations.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Received the first order for our 1000 kVA UPS system for a hospital installation in Belgium. We expect to ship this unit by the end of the year.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Increased sales through our Active Power direct channel in Q3 as government and other direct sales channel activity began to take hold.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Made our first sale of equipment and services to the United States Government, utilizing our GSA schedule.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our inventory by 56% from the same period last year and 25% sequentially from Q2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Active Power expects Q4 2003 revenue to increase to approximately $3.5 to $4.0 million, and Q4 earnings per share to be a loss of approximately 10 to 12 cents.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consumption in Q4 to be in the range of $4.5 million to $5.5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83"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The Company will host a conference call today, Thursday, October 23, at 11:00 a.m. Eastern Time, to further review the Company’s fiscal Q3 results. A replay of the webcast will be available until November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160"/>
        <w:spacing w:after="0" w:line="320"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5"/>
          <w:szCs w:val="15"/>
          <w:color w:val="auto"/>
          <w:vertAlign w:val="superscript"/>
        </w:rPr>
        <w:t>®</w:t>
      </w:r>
      <w:r>
        <w:rPr>
          <w:rFonts w:ascii="Arial" w:cs="Arial" w:eastAsia="Arial" w:hAnsi="Arial"/>
          <w:sz w:val="15"/>
          <w:szCs w:val="15"/>
          <w:color w:val="auto"/>
        </w:rPr>
        <w:t>; competition; delays in research and development; dependence on sole or limited source suppliers; inability to increase product sales; inventory risks; dependence</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key personnel; inability to protect our intellectual property rights, including the possibility of an adverse outcome in the litigation in which we are currently engaged; potential future acquisitions;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7"/>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0" w:type="dxa"/>
            <w:vAlign w:val="bottom"/>
          </w:tcPr>
          <w:p>
            <w:pPr>
              <w:spacing w:after="0"/>
              <w:rPr>
                <w:sz w:val="12"/>
                <w:szCs w:val="12"/>
                <w:color w:val="auto"/>
              </w:rPr>
            </w:pPr>
          </w:p>
        </w:tc>
        <w:tc>
          <w:tcPr>
            <w:tcW w:w="182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5"/>
                <w:szCs w:val="15"/>
                <w:color w:val="auto"/>
              </w:rPr>
            </w:pPr>
          </w:p>
        </w:tc>
        <w:tc>
          <w:tcPr>
            <w:tcW w:w="18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2,988</w:t>
            </w:r>
          </w:p>
        </w:tc>
        <w:tc>
          <w:tcPr>
            <w:tcW w:w="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6,484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3,178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10,398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(5,488)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(7,213)</w:t>
            </w: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(18,740)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(22,183)</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(5,066)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(6,415)</w:t>
            </w:r>
          </w:p>
        </w:tc>
        <w:tc>
          <w:tcPr>
            <w:tcW w:w="12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(17,323)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(19,661)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41,995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41,415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41,869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to common shareholders per share—basic &amp; diluted</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(0.41)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80" w:type="dxa"/>
            <w:vAlign w:val="bottom"/>
          </w:tcPr>
          <w:p>
            <w:pPr>
              <w:jc w:val="right"/>
              <w:ind w:right="14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-737870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-737870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-737870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-737870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-737870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-737870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-737870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-737870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-737870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-737870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-737870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-737870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220" w:type="dxa"/>
            <w:vAlign w:val="bottom"/>
            <w:gridSpan w:val="4"/>
          </w:tcPr>
          <w:p>
            <w:pPr>
              <w:ind w:left="48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Cash &amp; investments</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76,193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90,044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Inventories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3,565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11,069</w:t>
            </w:r>
          </w:p>
        </w:tc>
        <w:tc>
          <w:tcPr>
            <w:tcW w:w="1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Deferred revenue</w:t>
            </w:r>
          </w:p>
        </w:tc>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89,520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860" w:type="dxa"/>
            <w:vAlign w:val="bottom"/>
            <w:vMerge w:val="restart"/>
          </w:tcPr>
          <w:p>
            <w:pPr>
              <w:jc w:val="right"/>
              <w:ind w:right="3355"/>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tcPr>
          <w:p>
            <w:pPr>
              <w:jc w:val="right"/>
              <w:ind w:right="343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-2238375</wp:posOffset>
            </wp:positionV>
            <wp:extent cx="51879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-2238375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-2238375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-2238375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-557530</wp:posOffset>
            </wp:positionV>
            <wp:extent cx="51879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2019-12-12T00:52:06Z</dcterms:created>
  <dcterms:modified xsi:type="dcterms:W3CDTF">2019-12-12T00:52:06Z</dcterms:modified>
</cp:coreProperties>
</file>