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80"/>
        <w:spacing w:after="0" w:line="24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-241935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520" w:type="dxa"/>
            <w:vAlign w:val="bottom"/>
            <w:vMerge w:val="restart"/>
          </w:tcPr>
          <w:p>
            <w:pPr>
              <w:jc w:val="center"/>
              <w:ind w:right="23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14"/>
              <w:spacing w:after="0" w:line="192"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26670</wp:posOffset>
            </wp:positionV>
            <wp:extent cx="7324090" cy="5065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06539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380"/>
            <w:col w:w="8820"/>
          </w:cols>
          <w:pgMar w:left="240" w:top="218"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Milner J Douglas</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0" w:lineRule="exact"/>
        <w:rPr>
          <w:sz w:val="24"/>
          <w:szCs w:val="24"/>
          <w:color w:val="auto"/>
        </w:rPr>
      </w:pPr>
    </w:p>
    <w:p>
      <w:pPr>
        <w:ind w:left="120" w:right="1040"/>
        <w:spacing w:after="0" w:line="306" w:lineRule="auto"/>
        <w:rPr>
          <w:sz w:val="20"/>
          <w:szCs w:val="20"/>
          <w:color w:val="auto"/>
        </w:rPr>
      </w:pPr>
      <w:r>
        <w:rPr>
          <w:rFonts w:ascii="Times New Roman" w:cs="Times New Roman" w:eastAsia="Times New Roman" w:hAnsi="Times New Roman"/>
          <w:sz w:val="17"/>
          <w:szCs w:val="17"/>
          <w:color w:val="0000FF"/>
        </w:rPr>
        <w:t>C/O ACTIVE POWER INC. 2128 W. BRAKER LN., BK 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ACTIVE POWER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ACPW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03/01/2012</w:t>
      </w:r>
    </w:p>
    <w:p>
      <w:pPr>
        <w:spacing w:after="0" w:line="20" w:lineRule="exact"/>
        <w:rPr>
          <w:sz w:val="24"/>
          <w:szCs w:val="24"/>
          <w:color w:val="auto"/>
        </w:rPr>
      </w:pPr>
      <w:r>
        <w:rPr>
          <w:sz w:val="24"/>
          <w:szCs w:val="24"/>
          <w:color w:val="auto"/>
        </w:rPr>
        <w:br w:type="column"/>
      </w:r>
    </w:p>
    <w:p>
      <w:pPr>
        <w:ind w:left="-9" w:right="680" w:firstLine="9"/>
        <w:spacing w:after="0" w:line="26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11" w:type="dxa"/>
        <w:tblCellMar>
          <w:top w:w="0" w:type="dxa"/>
          <w:left w:w="0" w:type="dxa"/>
          <w:bottom w:w="0" w:type="dxa"/>
          <w:right w:w="0" w:type="dxa"/>
        </w:tblCellMar>
      </w:tblPr>
      <w:tr>
        <w:trPr>
          <w:trHeight w:val="178"/>
        </w:trPr>
        <w:tc>
          <w:tcPr>
            <w:tcW w:w="220" w:type="dxa"/>
            <w:vAlign w:val="bottom"/>
          </w:tcPr>
          <w:p>
            <w:pPr>
              <w:spacing w:after="0"/>
              <w:rPr>
                <w:sz w:val="15"/>
                <w:szCs w:val="15"/>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91"/>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6" w:lineRule="exact"/>
        <w:rPr>
          <w:sz w:val="24"/>
          <w:szCs w:val="24"/>
          <w:color w:val="auto"/>
        </w:rPr>
      </w:pPr>
    </w:p>
    <w:p>
      <w:pPr>
        <w:sectPr>
          <w:pgSz w:w="11900" w:h="16838" w:orient="portrait"/>
          <w:cols w:equalWidth="0" w:num="3">
            <w:col w:w="3340" w:space="720"/>
            <w:col w:w="3269" w:space="720"/>
            <w:col w:w="3471"/>
          </w:cols>
          <w:pgMar w:left="240" w:top="218" w:right="13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800" w:type="dxa"/>
            <w:vAlign w:val="bottom"/>
            <w:gridSpan w:val="7"/>
          </w:tcPr>
          <w:p>
            <w:pPr>
              <w:ind w:left="160"/>
              <w:spacing w:after="0" w:line="116" w:lineRule="exact"/>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line="11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AUSTIN</w:t>
            </w:r>
          </w:p>
        </w:tc>
        <w:tc>
          <w:tcPr>
            <w:tcW w:w="18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TX</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78758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0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4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0" w:type="dxa"/>
            <w:vAlign w:val="bottom"/>
            <w:tcBorders>
              <w:bottom w:val="single" w:sz="8" w:color="2C2C2C"/>
            </w:tcBorders>
            <w:gridSpan w:val="4"/>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28"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750,000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0000FF"/>
              </w:rPr>
              <w:t>Option</w:t>
            </w:r>
          </w:p>
        </w:tc>
        <w:tc>
          <w:tcPr>
            <w:tcW w:w="740" w:type="dxa"/>
            <w:vAlign w:val="bottom"/>
          </w:tcPr>
          <w:p>
            <w:pPr>
              <w:jc w:val="center"/>
              <w:ind w:right="158"/>
              <w:spacing w:after="0" w:line="132"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0.69</w:t>
            </w:r>
          </w:p>
        </w:tc>
        <w:tc>
          <w:tcPr>
            <w:tcW w:w="1100" w:type="dxa"/>
            <w:vAlign w:val="bottom"/>
          </w:tcPr>
          <w:p>
            <w:pPr>
              <w:jc w:val="right"/>
              <w:ind w:right="174"/>
              <w:spacing w:after="0" w:line="132" w:lineRule="exact"/>
              <w:rPr>
                <w:sz w:val="20"/>
                <w:szCs w:val="20"/>
                <w:color w:val="auto"/>
              </w:rPr>
            </w:pPr>
            <w:r>
              <w:rPr>
                <w:rFonts w:ascii="Times New Roman" w:cs="Times New Roman" w:eastAsia="Times New Roman" w:hAnsi="Times New Roman"/>
                <w:sz w:val="13"/>
                <w:szCs w:val="13"/>
                <w:color w:val="0000FF"/>
              </w:rPr>
              <w:t>03/01/2012</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20"/>
              <w:spacing w:after="0" w:line="132" w:lineRule="exact"/>
              <w:rPr>
                <w:sz w:val="20"/>
                <w:szCs w:val="20"/>
                <w:color w:val="auto"/>
              </w:rPr>
            </w:pPr>
            <w:r>
              <w:rPr>
                <w:rFonts w:ascii="Times New Roman" w:cs="Times New Roman" w:eastAsia="Times New Roman" w:hAnsi="Times New Roman"/>
                <w:sz w:val="13"/>
                <w:szCs w:val="13"/>
                <w:color w:val="0000FF"/>
              </w:rPr>
              <w:t>750,000</w:t>
            </w:r>
          </w:p>
        </w:tc>
        <w:tc>
          <w:tcPr>
            <w:tcW w:w="2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tcPr>
          <w:p>
            <w:pPr>
              <w:jc w:val="right"/>
              <w:ind w:right="20"/>
              <w:spacing w:after="0" w:line="132" w:lineRule="exact"/>
              <w:rPr>
                <w:sz w:val="20"/>
                <w:szCs w:val="20"/>
                <w:color w:val="auto"/>
              </w:rPr>
            </w:pPr>
            <w:r>
              <w:rPr>
                <w:rFonts w:ascii="Times New Roman" w:cs="Times New Roman" w:eastAsia="Times New Roman" w:hAnsi="Times New Roman"/>
                <w:sz w:val="13"/>
                <w:szCs w:val="13"/>
                <w:color w:val="0000FF"/>
              </w:rPr>
              <w:t>03/01/2012</w:t>
            </w: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60"/>
              <w:spacing w:after="0" w:line="132"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00" w:type="dxa"/>
            <w:vAlign w:val="bottom"/>
            <w:gridSpan w:val="2"/>
          </w:tcPr>
          <w:p>
            <w:pPr>
              <w:ind w:left="220"/>
              <w:spacing w:after="0" w:line="132" w:lineRule="exact"/>
              <w:rPr>
                <w:sz w:val="20"/>
                <w:szCs w:val="20"/>
                <w:color w:val="auto"/>
              </w:rPr>
            </w:pPr>
            <w:r>
              <w:rPr>
                <w:rFonts w:ascii="Times New Roman" w:cs="Times New Roman" w:eastAsia="Times New Roman" w:hAnsi="Times New Roman"/>
                <w:sz w:val="13"/>
                <w:szCs w:val="13"/>
                <w:color w:val="0000FF"/>
              </w:rPr>
              <w:t>750,000</w:t>
            </w:r>
          </w:p>
        </w:tc>
        <w:tc>
          <w:tcPr>
            <w:tcW w:w="680" w:type="dxa"/>
            <w:vAlign w:val="bottom"/>
          </w:tcPr>
          <w:p>
            <w:pPr>
              <w:ind w:left="340"/>
              <w:spacing w:after="0" w:line="132"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60"/>
              <w:spacing w:after="0" w:line="146"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right"/>
              <w:ind w:right="258"/>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vMerge w:val="restart"/>
          </w:tcPr>
          <w:p>
            <w:pPr>
              <w:jc w:val="right"/>
              <w:ind w:righ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250,000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vMerge w:val="continue"/>
          </w:tcPr>
          <w:p>
            <w:pPr>
              <w:spacing w:after="0"/>
              <w:rPr>
                <w:sz w:val="11"/>
                <w:szCs w:val="11"/>
                <w:color w:val="auto"/>
              </w:rPr>
            </w:pPr>
          </w:p>
        </w:tc>
        <w:tc>
          <w:tcPr>
            <w:tcW w:w="1100" w:type="dxa"/>
            <w:vAlign w:val="bottom"/>
          </w:tcPr>
          <w:p>
            <w:pPr>
              <w:jc w:val="right"/>
              <w:ind w:right="174"/>
              <w:spacing w:after="0" w:line="132" w:lineRule="exact"/>
              <w:rPr>
                <w:sz w:val="20"/>
                <w:szCs w:val="20"/>
                <w:color w:val="auto"/>
              </w:rPr>
            </w:pPr>
            <w:r>
              <w:rPr>
                <w:rFonts w:ascii="Times New Roman" w:cs="Times New Roman" w:eastAsia="Times New Roman" w:hAnsi="Times New Roman"/>
                <w:sz w:val="13"/>
                <w:szCs w:val="13"/>
                <w:color w:val="0000FF"/>
              </w:rPr>
              <w:t>03/01/2012</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ind w:left="20"/>
              <w:spacing w:after="0" w:line="132"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20"/>
              <w:spacing w:after="0" w:line="132" w:lineRule="exact"/>
              <w:rPr>
                <w:sz w:val="20"/>
                <w:szCs w:val="20"/>
                <w:color w:val="auto"/>
              </w:rPr>
            </w:pPr>
            <w:r>
              <w:rPr>
                <w:rFonts w:ascii="Times New Roman" w:cs="Times New Roman" w:eastAsia="Times New Roman" w:hAnsi="Times New Roman"/>
                <w:sz w:val="13"/>
                <w:szCs w:val="13"/>
                <w:color w:val="0000FF"/>
              </w:rPr>
              <w:t>250,000</w:t>
            </w:r>
          </w:p>
        </w:tc>
        <w:tc>
          <w:tcPr>
            <w:tcW w:w="2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60"/>
              <w:spacing w:after="0" w:line="132"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00" w:type="dxa"/>
            <w:vAlign w:val="bottom"/>
            <w:gridSpan w:val="2"/>
          </w:tcPr>
          <w:p>
            <w:pPr>
              <w:ind w:left="220"/>
              <w:spacing w:after="0" w:line="132" w:lineRule="exact"/>
              <w:rPr>
                <w:sz w:val="20"/>
                <w:szCs w:val="20"/>
                <w:color w:val="auto"/>
              </w:rPr>
            </w:pPr>
            <w:r>
              <w:rPr>
                <w:rFonts w:ascii="Times New Roman" w:cs="Times New Roman" w:eastAsia="Times New Roman" w:hAnsi="Times New Roman"/>
                <w:sz w:val="13"/>
                <w:szCs w:val="13"/>
                <w:color w:val="0000FF"/>
              </w:rPr>
              <w:t>250,000</w:t>
            </w:r>
          </w:p>
        </w:tc>
        <w:tc>
          <w:tcPr>
            <w:tcW w:w="680" w:type="dxa"/>
            <w:vAlign w:val="bottom"/>
          </w:tcPr>
          <w:p>
            <w:pPr>
              <w:ind w:left="340"/>
              <w:spacing w:after="0" w:line="132"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6"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440" w:firstLine="6"/>
        <w:spacing w:after="0" w:line="269"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With continued service, 25% of the option shares shall vest and become exercisable on 3/1/2013, and the balance shall vest and become exercisable in a series of twelve equal quarterly installments upon the completion of each additional quarter of service through 3/1/2016.</w:t>
      </w:r>
    </w:p>
    <w:p>
      <w:pPr>
        <w:spacing w:after="0" w:line="8"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common stock.</w:t>
      </w:r>
    </w:p>
    <w:p>
      <w:pPr>
        <w:spacing w:after="0" w:line="48" w:lineRule="exact"/>
        <w:rPr>
          <w:rFonts w:ascii="Times New Roman" w:cs="Times New Roman" w:eastAsia="Times New Roman" w:hAnsi="Times New Roman"/>
          <w:sz w:val="13"/>
          <w:szCs w:val="13"/>
          <w:color w:val="008000"/>
        </w:rPr>
      </w:pPr>
    </w:p>
    <w:p>
      <w:pPr>
        <w:ind w:left="40" w:right="200" w:firstLine="6"/>
        <w:spacing w:after="0" w:line="251"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With continued service, 25% of the restricted stock units shall vest on 3/1/2013, and the balance shall vest in a series of twelve equal quarterly installments upon the completion of each additional quarter of service through 3/1/2016. Vested shares will be delivered to the reporting person as soon as practicable after vesting, but in each case within the period ending no later than the later of the 15th day of the 3rd month following the end of (i) the fiscal year or (ii) the calendar year, which in either case includes the vesting date.</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 John K. Penver</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03/02/2012</w:t>
            </w:r>
          </w:p>
        </w:tc>
      </w:tr>
      <w:tr>
        <w:trPr>
          <w:trHeight w:val="234"/>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5253"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2019-12-17T04:51:10Z</dcterms:created>
  <dcterms:modified xsi:type="dcterms:W3CDTF">2019-12-17T04:51:10Z</dcterms:modified>
</cp:coreProperties>
</file>