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February 19,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February 19, 2010, Active Power, Inc. (the “Company”) entered into an Underwriting Agreement (the “Underwriting Agreement”) in which Thomas Weisel Partners LLC is serving as the sole underwriter (the “Underwriter”) relating to an offering by the Company of up to an aggregate of 13,229,500 shares of common stock of the Company, par value $0.001 per share (the “Common Stock”). The Underwriting Agreement contains other terms and conditions that are generally customary for transactions of this nature. The Common Stock is being sold at a purchase price of $0.75 per share, for gross proceeds to the Company of approximately $9,922,125. The net offering proceeds to the Company from the sale of the shares, after deducting the underwriting discounts and commissions and other estimated offering expenses payable by the Company, are expected to be approximately $9.0 million. The closing of the offering is expected to take place on or about February 24, 2010, subject to the satisfaction of customary closing conditions.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shares of Common Stock are being offered and sold pursuant to a prospectus included in the Company’s shelf registration statement on Form S-3 dated November 24, 2009, as amended on December 17, 2009 (Registration No. 333-163301), which was declared effective by the Securities and Exchange Commission on December 21, 2009, as supplemented by a preliminary prospectus supplement dated February 18, 2010 and a final prospectus supplement dated February 19, 2010 filed with the Securities and Exchange Commission pursuant to Rule 424(b) under the Securities Act of 1933, as amended.</w:t>
      </w:r>
    </w:p>
    <w:p>
      <w:pPr>
        <w:spacing w:after="0" w:line="11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foregoing is only a brief description of the material terms of the Underwriting Agreement and does not purport to be a complete description of the rights and obligations of the parties thereunder and is qualified in its entirety by reference to the Underwriting Agreement that is filed as Exhibit 1.1 to this Current Report on Form 8-K and incorporated by reference herein.</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Current Report contains forward-looking statements that involve risk and uncertainties, such as statements related to the anticipated closing of the offering and the amount of net proceeds expected from the offering. The risks and uncertainties involved include the Company’s ability to satisfy certain conditions to closing on a timely basis or at all, as well as other risks detailed in the prospectus supplement and from time to time in the Company’s Securities and Exchange Commission filings, including its annual report on Form 10-K for the fiscal year ended December 31, 2008 and quarterly report on Form 10-Q for the fiscal quarter ended September 30, 2009.</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legal opinion, including the related consent, of Wilson Sonsini Goodrich &amp; Rosati, Professional Corporation relating to this offering is filed as Exhibit 5.1 to this Current Report on Form 8-K.</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February 19, 2010, the Company issued a press release announcing the offering. A copy of the press release is attached hereto as Exhibit 99.1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Exhibits</w:t>
      </w:r>
    </w:p>
    <w:p>
      <w:pPr>
        <w:spacing w:after="0" w:line="212"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Underwriting Agreement dated February 19, 2010 between Active Power, Inc. and Thomas Weisel Partners LLC.</w:t>
      </w:r>
    </w:p>
    <w:p>
      <w:pPr>
        <w:spacing w:after="0" w:line="117"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Wilson Sonsini Goodrich &amp; Rosati, Professional Corporation (included as part of Exhibit 5.1).</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February 19, 2010.</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 w:leader="none" w:pos="7840" w:val="left"/>
          <w:tab w:leader="none" w:pos="8180" w:val="left"/>
        </w:tabs>
        <w:rPr>
          <w:sz w:val="20"/>
          <w:szCs w:val="20"/>
          <w:color w:val="auto"/>
        </w:rPr>
      </w:pPr>
      <w:r>
        <w:rPr>
          <w:rFonts w:ascii="Arial" w:cs="Arial" w:eastAsia="Arial" w:hAnsi="Arial"/>
          <w:sz w:val="18"/>
          <w:szCs w:val="18"/>
          <w:color w:val="auto"/>
        </w:rPr>
        <w:t>Date: February 22,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w:t>
      </w:r>
      <w:r>
        <w:rPr>
          <w:rFonts w:ascii="Arial" w:cs="Arial" w:eastAsia="Arial" w:hAnsi="Arial"/>
          <w:sz w:val="13"/>
          <w:szCs w:val="13"/>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John Penver</w:t>
      </w:r>
    </w:p>
    <w:p>
      <w:pPr>
        <w:spacing w:after="0" w:line="1"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4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5380" w:type="dxa"/>
            <w:vAlign w:val="bottom"/>
            <w:vMerge w:val="restart"/>
          </w:tcPr>
          <w:p>
            <w:pPr>
              <w:ind w:left="760"/>
              <w:spacing w:after="0"/>
              <w:rPr>
                <w:sz w:val="20"/>
                <w:szCs w:val="20"/>
                <w:color w:val="auto"/>
              </w:rPr>
            </w:pPr>
            <w:r>
              <w:rPr>
                <w:rFonts w:ascii="Arial" w:cs="Arial" w:eastAsia="Arial" w:hAnsi="Arial"/>
                <w:sz w:val="18"/>
                <w:szCs w:val="18"/>
                <w:color w:val="auto"/>
                <w:w w:val="87"/>
              </w:rPr>
              <w:t>Underwriting Agreement dated February 19, 2010 between Active</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jc w:val="right"/>
              <w:ind w:right="322"/>
              <w:spacing w:after="0"/>
              <w:rPr>
                <w:sz w:val="20"/>
                <w:szCs w:val="20"/>
                <w:color w:val="auto"/>
              </w:rPr>
            </w:pPr>
            <w:r>
              <w:rPr>
                <w:rFonts w:ascii="Arial" w:cs="Arial" w:eastAsia="Arial" w:hAnsi="Arial"/>
                <w:sz w:val="18"/>
                <w:szCs w:val="18"/>
                <w:color w:val="auto"/>
              </w:rPr>
              <w:t>1.1</w:t>
            </w:r>
          </w:p>
        </w:tc>
        <w:tc>
          <w:tcPr>
            <w:tcW w:w="5380" w:type="dxa"/>
            <w:vAlign w:val="bottom"/>
            <w:vMerge w:val="continue"/>
          </w:tcPr>
          <w:p>
            <w:pPr>
              <w:spacing w:after="0"/>
              <w:rPr>
                <w:sz w:val="18"/>
                <w:szCs w:val="18"/>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w w:val="87"/>
              </w:rPr>
              <w:t>Power, Inc. and Thomas Weisel Partners LLC.</w:t>
            </w:r>
          </w:p>
        </w:tc>
        <w:tc>
          <w:tcPr>
            <w:tcW w:w="0" w:type="dxa"/>
            <w:vAlign w:val="bottom"/>
          </w:tcPr>
          <w:p>
            <w:pPr>
              <w:spacing w:after="0"/>
              <w:rPr>
                <w:sz w:val="1"/>
                <w:szCs w:val="1"/>
                <w:color w:val="auto"/>
              </w:rPr>
            </w:pPr>
          </w:p>
        </w:tc>
      </w:tr>
      <w:tr>
        <w:trPr>
          <w:trHeight w:val="316"/>
        </w:trPr>
        <w:tc>
          <w:tcPr>
            <w:tcW w:w="720" w:type="dxa"/>
            <w:vAlign w:val="bottom"/>
            <w:gridSpan w:val="2"/>
          </w:tcPr>
          <w:p>
            <w:pPr>
              <w:jc w:val="right"/>
              <w:ind w:right="322"/>
              <w:spacing w:after="0"/>
              <w:rPr>
                <w:sz w:val="20"/>
                <w:szCs w:val="20"/>
                <w:color w:val="auto"/>
              </w:rPr>
            </w:pPr>
            <w:r>
              <w:rPr>
                <w:rFonts w:ascii="Arial" w:cs="Arial" w:eastAsia="Arial" w:hAnsi="Arial"/>
                <w:sz w:val="18"/>
                <w:szCs w:val="18"/>
                <w:color w:val="auto"/>
              </w:rPr>
              <w:t>5.1</w:t>
            </w:r>
          </w:p>
        </w:tc>
        <w:tc>
          <w:tcPr>
            <w:tcW w:w="8740" w:type="dxa"/>
            <w:vAlign w:val="bottom"/>
            <w:gridSpan w:val="3"/>
          </w:tcPr>
          <w:p>
            <w:pPr>
              <w:ind w:left="76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322"/>
              <w:spacing w:after="0"/>
              <w:rPr>
                <w:sz w:val="20"/>
                <w:szCs w:val="20"/>
                <w:color w:val="auto"/>
              </w:rPr>
            </w:pPr>
            <w:r>
              <w:rPr>
                <w:rFonts w:ascii="Arial" w:cs="Arial" w:eastAsia="Arial" w:hAnsi="Arial"/>
                <w:sz w:val="18"/>
                <w:szCs w:val="18"/>
                <w:color w:val="auto"/>
                <w:w w:val="85"/>
              </w:rPr>
              <w:t>23.1</w:t>
            </w:r>
          </w:p>
        </w:tc>
        <w:tc>
          <w:tcPr>
            <w:tcW w:w="8740" w:type="dxa"/>
            <w:vAlign w:val="bottom"/>
            <w:gridSpan w:val="3"/>
          </w:tcPr>
          <w:p>
            <w:pPr>
              <w:ind w:left="760"/>
              <w:spacing w:after="0"/>
              <w:rPr>
                <w:sz w:val="20"/>
                <w:szCs w:val="20"/>
                <w:color w:val="auto"/>
              </w:rPr>
            </w:pPr>
            <w:r>
              <w:rPr>
                <w:rFonts w:ascii="Arial" w:cs="Arial" w:eastAsia="Arial" w:hAnsi="Arial"/>
                <w:sz w:val="18"/>
                <w:szCs w:val="18"/>
                <w:color w:val="auto"/>
                <w:w w:val="96"/>
              </w:rPr>
              <w:t>Consent of Wilson Sonsini Goodrich &amp; Rosati, Professional Corporation (included as part of Exhibit 5.1).</w:t>
            </w:r>
          </w:p>
        </w:tc>
        <w:tc>
          <w:tcPr>
            <w:tcW w:w="0" w:type="dxa"/>
            <w:vAlign w:val="bottom"/>
          </w:tcPr>
          <w:p>
            <w:pPr>
              <w:spacing w:after="0"/>
              <w:rPr>
                <w:sz w:val="1"/>
                <w:szCs w:val="1"/>
                <w:color w:val="auto"/>
              </w:rPr>
            </w:pPr>
          </w:p>
        </w:tc>
      </w:tr>
      <w:tr>
        <w:trPr>
          <w:trHeight w:val="324"/>
        </w:trPr>
        <w:tc>
          <w:tcPr>
            <w:tcW w:w="720" w:type="dxa"/>
            <w:vAlign w:val="bottom"/>
            <w:gridSpan w:val="2"/>
          </w:tcPr>
          <w:p>
            <w:pPr>
              <w:jc w:val="right"/>
              <w:ind w:right="322"/>
              <w:spacing w:after="0"/>
              <w:rPr>
                <w:sz w:val="20"/>
                <w:szCs w:val="20"/>
                <w:color w:val="auto"/>
              </w:rPr>
            </w:pPr>
            <w:r>
              <w:rPr>
                <w:rFonts w:ascii="Arial" w:cs="Arial" w:eastAsia="Arial" w:hAnsi="Arial"/>
                <w:sz w:val="18"/>
                <w:szCs w:val="18"/>
                <w:color w:val="auto"/>
                <w:w w:val="85"/>
              </w:rPr>
              <w:t>99.1</w:t>
            </w:r>
          </w:p>
        </w:tc>
        <w:tc>
          <w:tcPr>
            <w:tcW w:w="8740" w:type="dxa"/>
            <w:vAlign w:val="bottom"/>
            <w:gridSpan w:val="3"/>
          </w:tcPr>
          <w:p>
            <w:pPr>
              <w:ind w:left="760"/>
              <w:spacing w:after="0"/>
              <w:rPr>
                <w:sz w:val="20"/>
                <w:szCs w:val="20"/>
                <w:color w:val="auto"/>
              </w:rPr>
            </w:pPr>
            <w:r>
              <w:rPr>
                <w:rFonts w:ascii="Arial" w:cs="Arial" w:eastAsia="Arial" w:hAnsi="Arial"/>
                <w:sz w:val="18"/>
                <w:szCs w:val="18"/>
                <w:color w:val="auto"/>
              </w:rPr>
              <w:t>Press Release of Active Power, Inc. dated February 19, 2010.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13,229,500 Shares</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177"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19, 2010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Thomas Weisel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Montgomery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Active Power,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proposes, subject to the terms and conditions stated herein, to issue and sell to the Underwriter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an aggregate of 13,229,500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common stock, par value $0.001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40"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Underwriter that:</w:t>
      </w:r>
    </w:p>
    <w:p>
      <w:pPr>
        <w:spacing w:after="0" w:line="171" w:lineRule="exact"/>
        <w:rPr>
          <w:rFonts w:ascii="Arial" w:cs="Arial" w:eastAsia="Arial" w:hAnsi="Arial"/>
          <w:sz w:val="18"/>
          <w:szCs w:val="18"/>
          <w:color w:val="auto"/>
        </w:rPr>
      </w:pPr>
    </w:p>
    <w:p>
      <w:pPr>
        <w:ind w:right="40" w:firstLine="921"/>
        <w:spacing w:after="0" w:line="312" w:lineRule="auto"/>
        <w:tabs>
          <w:tab w:leader="none" w:pos="1152" w:val="left"/>
        </w:tabs>
        <w:numPr>
          <w:ilvl w:val="1"/>
          <w:numId w:val="2"/>
        </w:numPr>
        <w:rPr>
          <w:rFonts w:ascii="Arial" w:cs="Arial" w:eastAsia="Arial" w:hAnsi="Arial"/>
          <w:sz w:val="15"/>
          <w:szCs w:val="15"/>
          <w:color w:val="auto"/>
        </w:rPr>
      </w:pPr>
      <w:r>
        <w:rPr>
          <w:rFonts w:ascii="Arial" w:cs="Arial" w:eastAsia="Arial" w:hAnsi="Arial"/>
          <w:sz w:val="15"/>
          <w:szCs w:val="15"/>
          <w:color w:val="auto"/>
        </w:rPr>
        <w:t>The Company has prepared and filed with the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a registration statement on Form S-3 (File No. 333-163301), and such amendments to such registration statement as may have been required to the date of this Agreement,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and the rules and regulations (the “</w:t>
      </w:r>
      <w:r>
        <w:rPr>
          <w:rFonts w:ascii="Arial" w:cs="Arial" w:eastAsia="Arial" w:hAnsi="Arial"/>
          <w:sz w:val="15"/>
          <w:szCs w:val="15"/>
          <w:b w:val="1"/>
          <w:bCs w:val="1"/>
          <w:i w:val="1"/>
          <w:iCs w:val="1"/>
          <w:color w:val="auto"/>
        </w:rPr>
        <w:t>Rules and Regulations</w:t>
      </w:r>
      <w:r>
        <w:rPr>
          <w:rFonts w:ascii="Arial" w:cs="Arial" w:eastAsia="Arial" w:hAnsi="Arial"/>
          <w:sz w:val="15"/>
          <w:szCs w:val="15"/>
          <w:color w:val="auto"/>
        </w:rPr>
        <w:t>”) of the Commission thereunder. Such registration statement, at any given time, including any amendments thereto to such time, the exhibits and any schedules thereto at such time, the documents incorporated by reference therein pursuant to Item 12 of Form S-3 under the Securities Act at such time and the documents and information otherwise deemed to be a part thereof or included therein by Rule 430B under the Securities Act (the “</w:t>
      </w:r>
      <w:r>
        <w:rPr>
          <w:rFonts w:ascii="Arial" w:cs="Arial" w:eastAsia="Arial" w:hAnsi="Arial"/>
          <w:sz w:val="15"/>
          <w:szCs w:val="15"/>
          <w:b w:val="1"/>
          <w:bCs w:val="1"/>
          <w:i w:val="1"/>
          <w:iCs w:val="1"/>
          <w:color w:val="auto"/>
        </w:rPr>
        <w:t>Rule 430B Information</w:t>
      </w:r>
      <w:r>
        <w:rPr>
          <w:rFonts w:ascii="Arial" w:cs="Arial" w:eastAsia="Arial" w:hAnsi="Arial"/>
          <w:sz w:val="15"/>
          <w:szCs w:val="15"/>
          <w:color w:val="auto"/>
        </w:rPr>
        <w:t>”) or otherwise pursuant to the Rules and Regulations at such time, is herein called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The Registration Statement at the time it originally became effective is herein called the “</w:t>
      </w:r>
      <w:r>
        <w:rPr>
          <w:rFonts w:ascii="Arial" w:cs="Arial" w:eastAsia="Arial" w:hAnsi="Arial"/>
          <w:sz w:val="15"/>
          <w:szCs w:val="15"/>
          <w:b w:val="1"/>
          <w:bCs w:val="1"/>
          <w:i w:val="1"/>
          <w:iCs w:val="1"/>
          <w:color w:val="auto"/>
        </w:rPr>
        <w:t>Initial Registration Statement</w:t>
      </w:r>
      <w:r>
        <w:rPr>
          <w:rFonts w:ascii="Arial" w:cs="Arial" w:eastAsia="Arial" w:hAnsi="Arial"/>
          <w:sz w:val="15"/>
          <w:szCs w:val="15"/>
          <w:color w:val="auto"/>
        </w:rPr>
        <w:t>.”</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prospectus in the form in which it appeared in the Initial Registration Statement is herein called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Each preliminary prospectus supplement to the Base Prospectus (including the Base Prospectus as so supplemented) that described the Shares and the offering thereof, that omitted the Rule 430B Information and that was used prior to the filing of the final prospectus supplement referred to in the following sentence is herein called a “</w:t>
      </w:r>
      <w:r>
        <w:rPr>
          <w:rFonts w:ascii="Arial" w:cs="Arial" w:eastAsia="Arial" w:hAnsi="Arial"/>
          <w:sz w:val="16"/>
          <w:szCs w:val="16"/>
          <w:b w:val="1"/>
          <w:bCs w:val="1"/>
          <w:i w:val="1"/>
          <w:i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Promptly after the execution and delivery of this Agreement, the Company will prepare and file with the Commission a final prospectus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Base Prospectus relating to the Shares and the offering thereof in accordance with the provisions of Rule 430B and Rule 424(b) of the Rules and Regulations. Such final supplemental form of prospectus (including the Base Prospectus as so supplemented), in the form filed with the Commission pursuant to Rule 424(b) under the Securities Act is herein called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Any reference herein to the Base Prospectus, any Preliminary Prospectus or the Prospectus shall be deemed to refer to and include the documents incorporated by reference therein pursuant to Item 12 of Form S-3 under the Securities Act as of the date of such prospectus.</w:t>
      </w:r>
    </w:p>
    <w:p>
      <w:pPr>
        <w:sectPr>
          <w:pgSz w:w="11900" w:h="16838" w:orient="portrait"/>
          <w:cols w:equalWidth="0" w:num="1">
            <w:col w:w="11420"/>
          </w:cols>
          <w:pgMar w:left="240" w:top="125" w:right="239" w:bottom="1440" w:gutter="0" w:footer="0" w:header="0"/>
        </w:sectPr>
      </w:pPr>
    </w:p>
    <w:bookmarkStart w:id="5" w:name="page6"/>
    <w:bookmarkEnd w:id="5"/>
    <w:p>
      <w:pPr>
        <w:ind w:right="20" w:firstLine="456"/>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 all references to the Registration Statement, the Base Prospectus, any Preliminary Prospectus, the Prospectus or any amendment or supplement to any of the foregoing shall be deemed to include the copy filed with the Commission pursuant to its Electronic Data Gathering, Analysis and Retrieval System (“</w:t>
      </w:r>
      <w:r>
        <w:rPr>
          <w:rFonts w:ascii="Arial" w:cs="Arial" w:eastAsia="Arial" w:hAnsi="Arial"/>
          <w:sz w:val="15"/>
          <w:szCs w:val="15"/>
          <w:b w:val="1"/>
          <w:bCs w:val="1"/>
          <w:i w:val="1"/>
          <w:iCs w:val="1"/>
          <w:color w:val="auto"/>
        </w:rPr>
        <w:t>EDGAR</w:t>
      </w:r>
      <w:r>
        <w:rPr>
          <w:rFonts w:ascii="Arial" w:cs="Arial" w:eastAsia="Arial" w:hAnsi="Arial"/>
          <w:sz w:val="15"/>
          <w:szCs w:val="15"/>
          <w:color w:val="auto"/>
        </w:rPr>
        <w:t>”). All references in this Agreement to financial statements and schedules and other information that is “described,” “contained,” “included” or “stated” in the Registration Statement, the Base Prospectus, any Preliminary Prospectus or the Prospectus (or other references of like import) shall be deemed to mean and include all such financial statements and schedules and other information that is incorporated by reference in or otherwise deemed by the Rules and Regulations to be a part of or included in the Registration Statement, the Base Prospectus, any Preliminary Prospectus or the Prospectus, as the case may be; and all references in this Agreement to amendments or supplements to the Registration Statement, the Base Prospectus, any Preliminary Prospectus or the Prospectus shall be deemed to mean and include the subsequent filing of any document under the Securities Exchange Act of 1934, as amended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and which is deemed to be incorporated by reference therein or otherwise deemed by the Rules and Regulations to be a part thereof.</w:t>
      </w:r>
    </w:p>
    <w:p>
      <w:pPr>
        <w:spacing w:after="0" w:line="108" w:lineRule="exact"/>
        <w:rPr>
          <w:sz w:val="20"/>
          <w:szCs w:val="20"/>
          <w:color w:val="auto"/>
        </w:rPr>
      </w:pPr>
    </w:p>
    <w:p>
      <w:pPr>
        <w:ind w:right="80" w:firstLine="921"/>
        <w:spacing w:after="0" w:line="255" w:lineRule="auto"/>
        <w:tabs>
          <w:tab w:leader="none" w:pos="1162"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time of the filing of the Initial Registration Statement with the Commission, the conditions for use of Form S-3, set forth in the General Instructions thereto, were satisfied. The Initial Registration Statement was declared effective by the Commission under the Securities Act on December 21, 2009. No other document with respect to the Initial Registration Statement has heretofore been filed with the Commission. No stop order suspending the effectiveness of the Registration Statement or any post-effective amendment thereto has been issued, and, to the Company’s knowledge, no proceeding for that purpose has been initiated or threatened by the Commission.</w:t>
      </w:r>
    </w:p>
    <w:p>
      <w:pPr>
        <w:spacing w:after="0" w:line="142" w:lineRule="exact"/>
        <w:rPr>
          <w:rFonts w:ascii="Arial" w:cs="Arial" w:eastAsia="Arial" w:hAnsi="Arial"/>
          <w:sz w:val="18"/>
          <w:szCs w:val="18"/>
          <w:color w:val="auto"/>
        </w:rPr>
      </w:pPr>
    </w:p>
    <w:p>
      <w:pPr>
        <w:ind w:right="40" w:firstLine="921"/>
        <w:spacing w:after="0" w:line="314" w:lineRule="auto"/>
        <w:tabs>
          <w:tab w:leader="none" w:pos="1152" w:val="left"/>
        </w:tabs>
        <w:numPr>
          <w:ilvl w:val="0"/>
          <w:numId w:val="3"/>
        </w:numPr>
        <w:rPr>
          <w:rFonts w:ascii="Arial" w:cs="Arial" w:eastAsia="Arial" w:hAnsi="Arial"/>
          <w:sz w:val="15"/>
          <w:szCs w:val="15"/>
          <w:color w:val="auto"/>
        </w:rPr>
      </w:pPr>
      <w:r>
        <w:rPr>
          <w:rFonts w:ascii="Arial" w:cs="Arial" w:eastAsia="Arial" w:hAnsi="Arial"/>
          <w:sz w:val="15"/>
          <w:szCs w:val="15"/>
          <w:color w:val="auto"/>
        </w:rPr>
        <w:t>For the purposes of this Agreement, the “</w:t>
      </w:r>
      <w:r>
        <w:rPr>
          <w:rFonts w:ascii="Arial" w:cs="Arial" w:eastAsia="Arial" w:hAnsi="Arial"/>
          <w:sz w:val="15"/>
          <w:szCs w:val="15"/>
          <w:b w:val="1"/>
          <w:bCs w:val="1"/>
          <w:i w:val="1"/>
          <w:iCs w:val="1"/>
          <w:color w:val="auto"/>
        </w:rPr>
        <w:t>Applicable Time</w:t>
      </w:r>
      <w:r>
        <w:rPr>
          <w:rFonts w:ascii="Arial" w:cs="Arial" w:eastAsia="Arial" w:hAnsi="Arial"/>
          <w:sz w:val="15"/>
          <w:szCs w:val="15"/>
          <w:color w:val="auto"/>
        </w:rPr>
        <w:t>” is 8:30 a.m. (Eastern time) on the date of this Agreement. The Disclosure Package (as defined below) at the Applicable Time complied in all material respects with the requirements of the Securities Act and the Rules and Regulations and did not include any untrue statement of a material fact or omit to state any material fact required to be stated therein or necessary in order to make the statements therein, in the light of the circumstances under which they were made, not misleading. The preceding sentence does not apply to statements or omissions from the Disclosure Package made in reliance upon and in conformity with information furnished in writing to the Company by the Underwriter expressly for use therein; it being understood and agreed that the only such information furnished by the Underwriter consists of the information described as such in Section 10(f).</w:t>
      </w:r>
    </w:p>
    <w:p>
      <w:pPr>
        <w:spacing w:after="0" w:line="104" w:lineRule="exact"/>
        <w:rPr>
          <w:rFonts w:ascii="Arial" w:cs="Arial" w:eastAsia="Arial" w:hAnsi="Arial"/>
          <w:sz w:val="15"/>
          <w:szCs w:val="15"/>
          <w:color w:val="auto"/>
        </w:rPr>
      </w:pPr>
    </w:p>
    <w:p>
      <w:pPr>
        <w:ind w:firstLine="921"/>
        <w:spacing w:after="0" w:line="286" w:lineRule="auto"/>
        <w:tabs>
          <w:tab w:leader="none" w:pos="1162" w:val="left"/>
        </w:tabs>
        <w:numPr>
          <w:ilvl w:val="0"/>
          <w:numId w:val="3"/>
        </w:numPr>
        <w:rPr>
          <w:rFonts w:ascii="Arial" w:cs="Arial" w:eastAsia="Arial" w:hAnsi="Arial"/>
          <w:sz w:val="16"/>
          <w:szCs w:val="16"/>
          <w:color w:val="auto"/>
        </w:rPr>
      </w:pPr>
      <w:r>
        <w:rPr>
          <w:rFonts w:ascii="Arial" w:cs="Arial" w:eastAsia="Arial" w:hAnsi="Arial"/>
          <w:sz w:val="16"/>
          <w:szCs w:val="16"/>
          <w:color w:val="auto"/>
        </w:rPr>
        <w:t>Each part of the Registration Statement and any post-effective amendment thereto, at the time that such part became effective (including each deemed effective date with respect to the Underwriter pursuant to Rule 430B or otherwise under the Securities Act), at all other subsequent times until the expiration of the Prospectus Delivery Period (as defined below), and at the Time of Delivery (as defined below), and the Prospectus, at the time of filing or the time of first use within the meaning of the Rules and Regulations, at all subsequent times until expiration of the Prospectus Delivery Period, and at the Time of Delivery, complied and will comply in all material respects with the applicable requirements and provisions of the Securities Act, the Rules and Regulations and the Exchange Act and did not and will not contain any untrue statement of a material fact or omit to state a material fact required to be stated therein or necessary to make the statements therein not misleading. The Prospectus, as amended or supplemented, as of its date, or the time of first use within the meaning of the Rules and Regulations, at all subsequent times until the expiration of the Prospectus Delivery Period, and at the Time of Delivery,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or any post-effective amendment thereto, or the Prospectus made in reliance upon and in conformity with information furnished in writing to the Company by the Underwriter expressly for use therein; it being understood and agreed that the only such information furnished by the Underwriter consists of the information described as such in Section 10(f).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20" w:firstLine="921"/>
        <w:spacing w:after="0" w:line="310" w:lineRule="auto"/>
        <w:tabs>
          <w:tab w:leader="none" w:pos="1152" w:val="left"/>
        </w:tabs>
        <w:numPr>
          <w:ilvl w:val="0"/>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Neither (i) any Issuer General Free Writing Prospectus(es) issued at or prior to the Applicable Time and set forth on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the Statutory Prospectus at the Applicable Time and the information set forth on </w:t>
      </w:r>
      <w:r>
        <w:rPr>
          <w:rFonts w:ascii="Arial" w:cs="Arial" w:eastAsia="Arial" w:hAnsi="Arial"/>
          <w:sz w:val="15"/>
          <w:szCs w:val="15"/>
          <w:u w:val="single" w:color="auto"/>
          <w:color w:val="auto"/>
        </w:rPr>
        <w:t>Schedule III</w:t>
      </w:r>
      <w:r>
        <w:rPr>
          <w:rFonts w:ascii="Arial" w:cs="Arial" w:eastAsia="Arial" w:hAnsi="Arial"/>
          <w:sz w:val="15"/>
          <w:szCs w:val="15"/>
          <w:color w:val="auto"/>
        </w:rPr>
        <w:t>, all considered together (collectively, the “</w:t>
      </w:r>
      <w:r>
        <w:rPr>
          <w:rFonts w:ascii="Arial" w:cs="Arial" w:eastAsia="Arial" w:hAnsi="Arial"/>
          <w:sz w:val="15"/>
          <w:szCs w:val="15"/>
          <w:b w:val="1"/>
          <w:bCs w:val="1"/>
          <w:i w:val="1"/>
          <w:iCs w:val="1"/>
          <w:color w:val="auto"/>
        </w:rPr>
        <w:t>Disclosure Package</w:t>
      </w:r>
      <w:r>
        <w:rPr>
          <w:rFonts w:ascii="Arial" w:cs="Arial" w:eastAsia="Arial" w:hAnsi="Arial"/>
          <w:sz w:val="15"/>
          <w:szCs w:val="15"/>
          <w:color w:val="auto"/>
        </w:rPr>
        <w:t>”); nor (ii) any individual Issuer Limited-Use Free Writing Prospectus, when considered together with the Disclosure Package, includes or included as of the Applicable Time any untrue statement of a material fact or omits or omitted as of the Applicable Time to state any material fact necessary in order to make the statements therein, in the light of the circumstances under which they were made, not misleading. The representations and warranties set forth in the immediately preceding sentence do not apply to statements in or omissions from any Statutory Prospectus or any Issuer Free Writing Prospectus made in reliance upon and in conformity with information furnished in writing to the Company by the Underwriter expressly for use therein; it being understood and agreed that the only such information furnished by the Underwriter consists of the information described as such in Section 10(f). As used in this paragraph and elsewhere in this Agreement:</w:t>
      </w:r>
    </w:p>
    <w:p>
      <w:pPr>
        <w:spacing w:after="0" w:line="108" w:lineRule="exact"/>
        <w:rPr>
          <w:rFonts w:ascii="Arial" w:cs="Arial" w:eastAsia="Arial" w:hAnsi="Arial"/>
          <w:sz w:val="15"/>
          <w:szCs w:val="15"/>
          <w:color w:val="auto"/>
        </w:rPr>
      </w:pPr>
    </w:p>
    <w:p>
      <w:pPr>
        <w:ind w:right="140" w:firstLine="1492"/>
        <w:spacing w:after="0" w:line="298" w:lineRule="auto"/>
        <w:tabs>
          <w:tab w:leader="none" w:pos="1693" w:val="left"/>
        </w:tabs>
        <w:numPr>
          <w:ilvl w:val="1"/>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Statutory Prospectus</w:t>
      </w:r>
      <w:r>
        <w:rPr>
          <w:rFonts w:ascii="Arial" w:cs="Arial" w:eastAsia="Arial" w:hAnsi="Arial"/>
          <w:sz w:val="16"/>
          <w:szCs w:val="16"/>
          <w:color w:val="auto"/>
        </w:rPr>
        <w:t>” means the Base Prospectus, as amended and supplemented immediately prior to the Applicable Time, including any document incorporated by reference therein and any prospectus supplement deemed to be a part thereof. For purposes of this definition, Rule 430B Information contained in a form of prospectus that is deemed retroactively to be a part of the Registration Statement shall be considered to be included in the Statutory Prospectus as of the actual time that form of prospectus is filed with the Commission pursuant to Rule 424(b) under the Securities Act.</w:t>
      </w:r>
    </w:p>
    <w:p>
      <w:pPr>
        <w:spacing w:after="0" w:line="112" w:lineRule="exact"/>
        <w:rPr>
          <w:rFonts w:ascii="Arial" w:cs="Arial" w:eastAsia="Arial" w:hAnsi="Arial"/>
          <w:sz w:val="16"/>
          <w:szCs w:val="16"/>
          <w:color w:val="auto"/>
        </w:rPr>
      </w:pPr>
    </w:p>
    <w:p>
      <w:pPr>
        <w:ind w:firstLine="1492"/>
        <w:spacing w:after="0" w:line="294" w:lineRule="auto"/>
        <w:tabs>
          <w:tab w:leader="none" w:pos="1742" w:val="left"/>
        </w:tabs>
        <w:numPr>
          <w:ilvl w:val="1"/>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 Free Writing Prospectus</w:t>
      </w:r>
      <w:r>
        <w:rPr>
          <w:rFonts w:ascii="Arial" w:cs="Arial" w:eastAsia="Arial" w:hAnsi="Arial"/>
          <w:sz w:val="16"/>
          <w:szCs w:val="16"/>
          <w:color w:val="auto"/>
        </w:rPr>
        <w:t>” means any “issuer free writing prospectus,” as defined in Rule 433 under the Securities Act, relating to the Shares that (A) is required to be filed with the Commission by the Company; or (B) is exempt from filing pursuant to Rule 433(d)(5)(i) under the Securities Act because it contains a description of the Shares or of the offering that does not reflect the final terms, or is a “bona fide electronic roadshow,” as defined in Rule 433 of the Rules and Regulations, in each case in the form filed or required to be filed with the Commission or, if not required to be filed, in the form retained in the Company’s records pursuant to Rule 433(g) under the Securities Act.</w:t>
      </w:r>
    </w:p>
    <w:p>
      <w:pPr>
        <w:spacing w:after="0" w:line="115" w:lineRule="exact"/>
        <w:rPr>
          <w:rFonts w:ascii="Arial" w:cs="Arial" w:eastAsia="Arial" w:hAnsi="Arial"/>
          <w:sz w:val="16"/>
          <w:szCs w:val="16"/>
          <w:color w:val="auto"/>
        </w:rPr>
      </w:pPr>
    </w:p>
    <w:p>
      <w:pPr>
        <w:ind w:right="580" w:firstLine="1492"/>
        <w:spacing w:after="0" w:line="268" w:lineRule="auto"/>
        <w:tabs>
          <w:tab w:leader="none" w:pos="1791"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Issuer General Free Writing Prospectus</w:t>
      </w:r>
      <w:r>
        <w:rPr>
          <w:rFonts w:ascii="Arial" w:cs="Arial" w:eastAsia="Arial" w:hAnsi="Arial"/>
          <w:sz w:val="18"/>
          <w:szCs w:val="18"/>
          <w:color w:val="auto"/>
        </w:rPr>
        <w:t xml:space="preserve">” means any Issuer Free Writing Prospectus that is intended for general distribution to prospective investors, as evidenced by its being specified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Issuer Limited-Use Free Writing Prospectus</w:t>
      </w:r>
      <w:r>
        <w:rPr>
          <w:rFonts w:ascii="Arial" w:cs="Arial" w:eastAsia="Arial" w:hAnsi="Arial"/>
          <w:sz w:val="16"/>
          <w:szCs w:val="16"/>
          <w:color w:val="auto"/>
        </w:rPr>
        <w:t>” means any Issuer Free Writing Prospectus that is not an Issuer General Free Writing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Prospectus.</w:t>
      </w:r>
    </w:p>
    <w:p>
      <w:pPr>
        <w:spacing w:after="0" w:line="164" w:lineRule="exact"/>
        <w:rPr>
          <w:rFonts w:ascii="Arial" w:cs="Arial" w:eastAsia="Arial" w:hAnsi="Arial"/>
          <w:sz w:val="16"/>
          <w:szCs w:val="16"/>
          <w:color w:val="auto"/>
        </w:rPr>
      </w:pPr>
    </w:p>
    <w:p>
      <w:pPr>
        <w:ind w:firstLine="921"/>
        <w:spacing w:after="0" w:line="291" w:lineRule="auto"/>
        <w:tabs>
          <w:tab w:leader="none" w:pos="1132"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Issuer Free Writing Prospectus, as of its issue date and at all subsequent times through the Prospectus Delivery Period or until any earlier date that the Company notified or notifies the Underwriter as described in Section 7(c), did not, does not and will not include any information that conflicted, conflicts or will conflict with the information contained in the Registration Statement, any Statutory Prospectus or the Prospectus. The foregoing sentence does not apply to statements in or omissions from any Issuer Free Writing Prospectus made in reliance upon and in conformity with information furnished in writing to the Company by the Underwriter expressly for use therein; it being understood and agreed that the only such information furnished by the Underwriter consists of the information described as such in Section 10(f).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ind w:left="-20" w:right="280" w:firstLine="921"/>
        <w:spacing w:after="0" w:line="268" w:lineRule="auto"/>
        <w:tabs>
          <w:tab w:leader="none" w:pos="114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Issuer Free Writing Prospectus satisfied, as of its issue date and at all subsequent times through the Prospectus Delivery Period, all other conditions to use thereof as set forth in Rules 164 and 433 under the Securities Act.</w:t>
      </w:r>
    </w:p>
    <w:p>
      <w:pPr>
        <w:spacing w:after="0" w:line="131" w:lineRule="exact"/>
        <w:rPr>
          <w:rFonts w:ascii="Arial" w:cs="Arial" w:eastAsia="Arial" w:hAnsi="Arial"/>
          <w:sz w:val="18"/>
          <w:szCs w:val="18"/>
          <w:color w:val="auto"/>
        </w:rPr>
      </w:pPr>
    </w:p>
    <w:p>
      <w:pPr>
        <w:ind w:left="-20" w:right="60" w:firstLine="921"/>
        <w:spacing w:after="0" w:line="290" w:lineRule="auto"/>
        <w:tabs>
          <w:tab w:leader="none" w:pos="114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documents incorporated by reference in the Disclosure Package and in the Prospectus, when they became effective or were filed with the Commission, as the case may be, conformed in all material respects to the requirements of the Securities Act or the Exchange Act, as applicable,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Disclosure Package or in the Prospectus, when such documents are filed with the Commission, will conform in all material respects to the requirements of the Exchange Act, and will not contain an untrue statement of a material fact or omit to state a material fact necessary to make the statements therein, in the light of the circumstances under which they were made, not misleading.</w:t>
      </w:r>
    </w:p>
    <w:p>
      <w:pPr>
        <w:spacing w:after="0" w:line="118" w:lineRule="exact"/>
        <w:rPr>
          <w:rFonts w:ascii="Arial" w:cs="Arial" w:eastAsia="Arial" w:hAnsi="Arial"/>
          <w:sz w:val="16"/>
          <w:szCs w:val="16"/>
          <w:color w:val="auto"/>
        </w:rPr>
      </w:pPr>
    </w:p>
    <w:p>
      <w:pPr>
        <w:ind w:left="-20" w:right="160" w:firstLine="921"/>
        <w:spacing w:after="0" w:line="290" w:lineRule="auto"/>
        <w:tabs>
          <w:tab w:leader="none" w:pos="110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Delaware, with corporate power and authority to own its properties and conduct its business as currently being conducted and as described in the Registration Statement, the Disclosure Package and the Prospectus, and is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in any such jurisdiction would not reasonably be expected to have a Material Adverse Effect. Complete and correct copies of the charter and bylaws of the Company and all amendments thereto have been delivered to the Underwriter, and no changes therein will be made on or after the date hereof through and including the Time of Delivery.</w:t>
      </w:r>
    </w:p>
    <w:p>
      <w:pPr>
        <w:spacing w:after="0" w:line="118" w:lineRule="exact"/>
        <w:rPr>
          <w:rFonts w:ascii="Arial" w:cs="Arial" w:eastAsia="Arial" w:hAnsi="Arial"/>
          <w:sz w:val="16"/>
          <w:szCs w:val="16"/>
          <w:color w:val="auto"/>
        </w:rPr>
      </w:pPr>
    </w:p>
    <w:p>
      <w:pPr>
        <w:ind w:left="-20" w:firstLine="921"/>
        <w:spacing w:after="0" w:line="284" w:lineRule="auto"/>
        <w:tabs>
          <w:tab w:leader="none" w:pos="110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no subsidiaries (as defined under the Securities Act) other than the subsidiaries set forth in Exhibit 21 to the Company’s annual report on Form 10-K for the year ended December 31, 2008 (collectively, the “</w:t>
      </w:r>
      <w:r>
        <w:rPr>
          <w:rFonts w:ascii="Arial" w:cs="Arial" w:eastAsia="Arial" w:hAnsi="Arial"/>
          <w:sz w:val="16"/>
          <w:szCs w:val="16"/>
          <w:b w:val="1"/>
          <w:bCs w:val="1"/>
          <w:i w:val="1"/>
          <w:iCs w:val="1"/>
          <w:color w:val="auto"/>
        </w:rPr>
        <w:t>Subsidiaries</w:t>
      </w:r>
      <w:r>
        <w:rPr>
          <w:rFonts w:ascii="Arial" w:cs="Arial" w:eastAsia="Arial" w:hAnsi="Arial"/>
          <w:sz w:val="16"/>
          <w:szCs w:val="16"/>
          <w:color w:val="auto"/>
        </w:rPr>
        <w:t>”). The Company owns all of the issued and outstanding capital stock of each of the Subsidiaries other than Active Power (Switzerland) AG, of which the Company holds 99,997 shares, John Penver holds 1 share, Felix Mathis holds 1 share and Hans Shuber holds 1 share for a total of 100,000 outstanding shares. Other than the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bylaws of each Subsidiary and all amendments thereto have been delivered to the Underwriter, and no changes therein will be made on or after the date hereof through and including the Time of Delivery. Each Subsidiary has been duly organized and is validly existing as a corporation in good standing under the laws of the jurisdiction of its incorporation, with full corporate power and authority to own, lease and operate its properties and to conduct its business as described in the Registration Statement, the Disclosure Package and the Prospectus, except where failure to be in good standing would not, individually or in the aggregate, reasonably be expected to have a material adverse effect on the business, prospects, operations, assets, financial condition, stockholders’ equity or results of operations of the Company and its consolidated Subsidiaries taken as a whole (a “</w:t>
      </w:r>
      <w:r>
        <w:rPr>
          <w:rFonts w:ascii="Arial" w:cs="Arial" w:eastAsia="Arial" w:hAnsi="Arial"/>
          <w:sz w:val="16"/>
          <w:szCs w:val="16"/>
          <w:b w:val="1"/>
          <w:bCs w:val="1"/>
          <w:i w:val="1"/>
          <w:iCs w:val="1"/>
          <w:color w:val="auto"/>
        </w:rPr>
        <w:t>Material Adverse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Effect</w:t>
      </w:r>
      <w:r>
        <w:rPr>
          <w:rFonts w:ascii="Arial" w:cs="Arial" w:eastAsia="Arial" w:hAnsi="Arial"/>
          <w:sz w:val="16"/>
          <w:szCs w:val="16"/>
          <w:color w:val="auto"/>
        </w:rPr>
        <w:t>”). Each Subsidiary is duly qualified to do business as a foreign corporation and is in good standing in each jurisdiction where the ownership or leasing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properties or the conduct of its business requires such qualification, except where the failure to be so qualified and in good standing would not, individually or in the aggregate, reasonably be expected to have a Material Adverse Effect. All of the outstanding shares of capital stock of each of the Subsidiaries have been duly authorized and validly issued, are fully paid and non-assessable, have been issued in material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The Company has no “significant subsidiary,” as that term is defined in Rule 1-02(w) of Regulation S-X under the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8" w:name="page9"/>
    <w:bookmarkEnd w:id="8"/>
    <w:p>
      <w:pPr>
        <w:ind w:left="-20" w:firstLine="921"/>
        <w:spacing w:after="0" w:line="285" w:lineRule="auto"/>
        <w:tabs>
          <w:tab w:leader="none" w:pos="1142"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had the authorized and outstanding capitalization as set forth in the Registration Statement, the Disclosure Package and the Prospectus as of the date set forth therein, and all of the issued shares of capital stock of the Company have been duly authorized and validly issued, are fully paid and non-assessable, have been issued in compliance with all federal and state securities laws, were not issued in violation of or subject to any preemptive rights or other rights to subscribe for or purchase securities that have not been waived in writing (a copy of which has been delivered to counsel to the Underwriter) and conform in all material respects to the description thereof contained in the Registration Statement, the Disclosure Package and the Prospectus under the caption “Description of Common Stock.” Except as otherwise described in the Registration Statement, the Disclosure Package and the Prospectus, there are no preemptive rights or other rights to subscribe for or to purchase, or any restriction upon the voting or transfer of, any shares of Common Stock pursuant to the Company’s charter, bylaws or any agreement or other instrument to which the Company is a party or by which the Company is bound. Except as described in the Registration Statement, the Disclosure Package and the Prospectus, neither the filing of the Registration Statement nor the offering or sale of the Shares as contemplated by this Agreement gives rise to any rights for or relating to the registration of any shares of Common Stock or other securities of the Company that have not been fully complied with or previously waived. Except as described or contemplated in the Registration Statement, the Disclosure Package and the Prospectus, there are no options, warrants, agreements, contracts or other rights in existence to purchase or acquire from the Company any shares of the capital stock of the Company (other than as a result of the grant of stock options under the Company’s existing equity incentive plans after the date(s) set forth in the Registration Statement, the Disclosure Package and the Prospectus). The description of the Company’s stock option, stock bonus and other stock plans or arrangements, and the options or other rights granted thereunder, set forth in the Disclosure Package and the Prospectus accurately and fairly presents the information required to be shown with respect to such plans, arrangements, options and rights.</w:t>
      </w:r>
    </w:p>
    <w:p>
      <w:pPr>
        <w:spacing w:after="0" w:line="123" w:lineRule="exact"/>
        <w:rPr>
          <w:rFonts w:ascii="Arial" w:cs="Arial" w:eastAsia="Arial" w:hAnsi="Arial"/>
          <w:sz w:val="16"/>
          <w:szCs w:val="16"/>
          <w:color w:val="auto"/>
        </w:rPr>
      </w:pPr>
    </w:p>
    <w:p>
      <w:pPr>
        <w:ind w:left="-20" w:right="60" w:firstLine="921"/>
        <w:spacing w:after="0" w:line="254" w:lineRule="auto"/>
        <w:tabs>
          <w:tab w:leader="none" w:pos="11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against payment therefor as provided herein, will be validly issued and fully paid and non-assessable and free of statutory and contractual preemptive rights, resale rights, rights of first refusal and similar rights and of any restriction upon the voting or transfer thereof pursuant to the Delaware General Corporation Law or the Company’s charter or bylaws or any agreement or other instrument to which the Company is a party. The Shares will conform in all material respects to the description of the Shares contained in the Registration Statement, the Disclosure Package and the Prospectus under the caption “Description of Common Stock.” The certificates for the Shares, if any, when issued, will be in due and proper form.</w:t>
      </w:r>
    </w:p>
    <w:p>
      <w:pPr>
        <w:spacing w:after="0" w:line="144" w:lineRule="exact"/>
        <w:rPr>
          <w:rFonts w:ascii="Arial" w:cs="Arial" w:eastAsia="Arial" w:hAnsi="Arial"/>
          <w:sz w:val="18"/>
          <w:szCs w:val="18"/>
          <w:color w:val="auto"/>
        </w:rPr>
      </w:pPr>
    </w:p>
    <w:p>
      <w:pPr>
        <w:ind w:left="-20" w:right="20" w:firstLine="921"/>
        <w:spacing w:after="0" w:line="286" w:lineRule="auto"/>
        <w:tabs>
          <w:tab w:leader="none" w:pos="11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issuance and sale of the Shares to be sold by the Company pursuant hereto, the execution, delivery and performance by the Company of this Agreement and the consummation of the transactions herein contemplated will not conflict with, result in any breach or violation of or constitute a default under (nor constitute any event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any indenture, mortgage, deed of trust, loan agreement or other evidence of indebtedness, lease, license, contract or other agreement or instrument to which the Company or any of its Subsidiaries is a party or by which the Company or any of its Subsidiaries is bound or to which any of the property or assets of the Company or any of its Subsidiaries is subject, except for such breaches or violations as would not, individually or in the aggregate, have a Material Adverse Effect, nor will such action result in any violation of (a) the provisions of the charter or bylaws of the Company or any of its Subsidiaries or (b) any statute or any order, rule or regulation of any court, arbitrator, governmental agency or body having jurisdiction over the Company or any of its Subsidiaries or any of their properties or (c) any rule or regulation of any self-regulatory organization or other non-governmental regulatory authority (including, without limitation, the rules and regulations of the NASDAQ Global Market), except in the case of (b) or (c) above for such violations as would not, individually or in the aggregate, have a Material Adverse Effect.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9" w:name="page10"/>
    <w:bookmarkEnd w:id="9"/>
    <w:p>
      <w:pPr>
        <w:ind w:left="-20" w:firstLine="921"/>
        <w:spacing w:after="0" w:line="289" w:lineRule="auto"/>
        <w:tabs>
          <w:tab w:leader="none" w:pos="1142"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order, registration, qualification, permit, license, exemption, filing or notice (each, an “</w:t>
      </w:r>
      <w:r>
        <w:rPr>
          <w:rFonts w:ascii="Arial" w:cs="Arial" w:eastAsia="Arial" w:hAnsi="Arial"/>
          <w:sz w:val="16"/>
          <w:szCs w:val="16"/>
          <w:b w:val="1"/>
          <w:bCs w:val="1"/>
          <w:i w:val="1"/>
          <w:iCs w:val="1"/>
          <w:color w:val="auto"/>
        </w:rPr>
        <w:t>Authorization</w:t>
      </w:r>
      <w:r>
        <w:rPr>
          <w:rFonts w:ascii="Arial" w:cs="Arial" w:eastAsia="Arial" w:hAnsi="Arial"/>
          <w:sz w:val="16"/>
          <w:szCs w:val="16"/>
          <w:color w:val="auto"/>
        </w:rPr>
        <w:t>”) of, from, with or to any court, government, governmental or regulatory authority, self-regulatory organization or body (each, a “</w:t>
      </w:r>
      <w:r>
        <w:rPr>
          <w:rFonts w:ascii="Arial" w:cs="Arial" w:eastAsia="Arial" w:hAnsi="Arial"/>
          <w:sz w:val="16"/>
          <w:szCs w:val="16"/>
          <w:b w:val="1"/>
          <w:bCs w:val="1"/>
          <w:i w:val="1"/>
          <w:iCs w:val="1"/>
          <w:color w:val="auto"/>
        </w:rPr>
        <w:t>Regulatory Body</w:t>
      </w:r>
      <w:r>
        <w:rPr>
          <w:rFonts w:ascii="Arial" w:cs="Arial" w:eastAsia="Arial" w:hAnsi="Arial"/>
          <w:sz w:val="16"/>
          <w:szCs w:val="16"/>
          <w:color w:val="auto"/>
        </w:rPr>
        <w:t>”) is required for the execution, delivery or performance of this Agreement or the issuance and sale of the Shares by the Company, except (i) the registration of the Shares under the Securities Act; (ii) such consents, approvals, authorizations, registrations or qualifications as may be required under the rules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or state securities or Blue Sky laws or any securities laws of jurisdictions outside of the United States; and (iii) such other Authorizations the absence of which would not, individually or in the aggregate, have a Material Adverse Effect;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w:t>
      </w:r>
    </w:p>
    <w:p>
      <w:pPr>
        <w:spacing w:after="0" w:line="118" w:lineRule="exact"/>
        <w:rPr>
          <w:rFonts w:ascii="Arial" w:cs="Arial" w:eastAsia="Arial" w:hAnsi="Arial"/>
          <w:sz w:val="16"/>
          <w:szCs w:val="16"/>
          <w:color w:val="auto"/>
        </w:rPr>
      </w:pPr>
    </w:p>
    <w:p>
      <w:pPr>
        <w:ind w:left="-20" w:right="20" w:firstLine="921"/>
        <w:spacing w:after="0" w:line="256" w:lineRule="auto"/>
        <w:tabs>
          <w:tab w:leader="none" w:pos="114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spacing w:after="0" w:line="143" w:lineRule="exact"/>
        <w:rPr>
          <w:rFonts w:ascii="Arial" w:cs="Arial" w:eastAsia="Arial" w:hAnsi="Arial"/>
          <w:sz w:val="18"/>
          <w:szCs w:val="18"/>
          <w:color w:val="auto"/>
        </w:rPr>
      </w:pPr>
    </w:p>
    <w:p>
      <w:pPr>
        <w:ind w:left="-20" w:firstLine="921"/>
        <w:spacing w:after="0" w:line="294" w:lineRule="auto"/>
        <w:tabs>
          <w:tab w:leader="none" w:pos="114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full power and authority to enter into this Agreement and to consummate the transactions contemplated hereby, including, without limitation, the authorization, issuance and sale of the Shares as contemplated by this Agreement. All corporate actions (including those of stockholders) necessary for the Company to consummate the transactions contemplated in this Agreement have been obtained and are in effect. Except as described in the Disclosure Package and the Prospectus, no approval of the Company (including the approval of its stockholders) is required under the rules and regulations of any trading market for the Company to issue and deliver to the Underwriter the Shares.</w:t>
      </w:r>
    </w:p>
    <w:p>
      <w:pPr>
        <w:spacing w:after="0" w:line="115" w:lineRule="exact"/>
        <w:rPr>
          <w:rFonts w:ascii="Arial" w:cs="Arial" w:eastAsia="Arial" w:hAnsi="Arial"/>
          <w:sz w:val="16"/>
          <w:szCs w:val="16"/>
          <w:color w:val="auto"/>
        </w:rPr>
      </w:pPr>
    </w:p>
    <w:p>
      <w:pPr>
        <w:ind w:left="1140" w:hanging="239"/>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conditions for use of Form S-3, set forth in the General Instructions thereto, have been satisfied.</w:t>
      </w:r>
    </w:p>
    <w:p>
      <w:pPr>
        <w:spacing w:after="0" w:line="171" w:lineRule="exact"/>
        <w:rPr>
          <w:rFonts w:ascii="Arial" w:cs="Arial" w:eastAsia="Arial" w:hAnsi="Arial"/>
          <w:sz w:val="18"/>
          <w:szCs w:val="18"/>
          <w:color w:val="auto"/>
        </w:rPr>
      </w:pPr>
    </w:p>
    <w:p>
      <w:pPr>
        <w:ind w:left="-20" w:right="80" w:firstLine="921"/>
        <w:spacing w:after="0" w:line="288" w:lineRule="auto"/>
        <w:tabs>
          <w:tab w:leader="none" w:pos="1112"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in breach or violation of or in default under (nor has any event occurred which, with notice, lapse of time or both, would result in any breach or violation of, constitute a default under or give the holder of any indebtedness (or a person acting on such holder’s behalf) the right to require the repurchase, redemption or repayment of all or a part of such indebtedness under) (i) its charter or bylaws or other organizational documents; (ii) any indenture, mortgage, deed of trust, loan agreement or other evidence of indebtedness, lease, license, contract or other agreement or instrument to which it is a party or by which it or any of its properties may be bound or affected; (iii) any federal, state, local or foreign law, regulation or rule, including, without limitation,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or the rules and regulations of the Commission thereunder; (iv) any rule or regulation of any self-regulatory organization or other non-governmental regulatory authority (including, without limitation, the rules and regulations of the NASDAQ Global Market); or (v) any decree, judgment or order applicable to it or any of its properties, except for such defaults specified under subparagraphs (ii) through (v) herein that would not have a Material Adverse Effect.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0" w:name="page11"/>
    <w:bookmarkEnd w:id="10"/>
    <w:p>
      <w:pPr>
        <w:ind w:left="-20" w:right="60" w:firstLine="921"/>
        <w:spacing w:after="0" w:line="286" w:lineRule="auto"/>
        <w:tabs>
          <w:tab w:leader="none" w:pos="1122"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has sustained since the date of the latest audited financial statements included in the Prospectus any loss or interference with its business from fire, explosion, flood or other calamity, whether or not covered by insurance, or from any labor dispute or, to the knowledge of the Company, court or governmental action, order or decree, otherwise than as described in the Disclosure Package and the Prospectus, except for such loss or interference as would not, individually or in the aggregate, reasonably be expected to have a Material Adverse Effect; and, since the respective dates as of which information is given in the Registration Statement, the Disclosure Package and the Prospectus, there has not been any change in the capital stock or short-term or long-term debt, or any issuance of options, warrants, convertible securities or other rights to purchase capital stock (in each case, other than as a result of the grant or exercise of stock options and the offer to sell shares of stock and award shares of restricted stock under the Company’s existing equity incentive plans or the repurchase of shares of capital stock pursuant to agreements providing for an option to repurchase or a right of first refusal on behalf of the Company), of the Company or any of its Subsidiaries or any material adverse change in or affecting the business, prospects, operations, assets, condition (financial or otherwise) or results of operations of the Company and its consolidated Subsidiaries taken as a whole, other than as described or contemplated in the Disclosure Package and the Prospectus. Except as described in the Disclosure Package and the Prospectus, neither the Company nor any of its Subsidiaries has incurred any material liabilities or obligations, direct or contingent, entered into any material transactions, or declared or paid any dividends or made any distribution of any kind with respect to its capital stock.</w:t>
      </w:r>
    </w:p>
    <w:p>
      <w:pPr>
        <w:spacing w:after="0" w:line="120" w:lineRule="exact"/>
        <w:rPr>
          <w:rFonts w:ascii="Arial" w:cs="Arial" w:eastAsia="Arial" w:hAnsi="Arial"/>
          <w:sz w:val="16"/>
          <w:szCs w:val="16"/>
          <w:color w:val="auto"/>
        </w:rPr>
      </w:pPr>
    </w:p>
    <w:p>
      <w:pPr>
        <w:ind w:left="-20" w:right="60" w:firstLine="921"/>
        <w:spacing w:after="0" w:line="290" w:lineRule="auto"/>
        <w:tabs>
          <w:tab w:leader="none" w:pos="110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to all real property and good and marketable title to all material personal property (other than Intellectual Property, which is addressed in subsection (v) below) described in the Registration Statement, the Disclosure Package or the Prospectus as being owned by them, in each case free and clear of all liens, encumbrances and defects except such as are described in the Registration Statement, the Disclosure Package and the Prospectus or such as do not materially affect the value of such property and do not materially interfere with the use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of such property and buildings by the Company and its Subsidiaries.</w:t>
      </w:r>
    </w:p>
    <w:p>
      <w:pPr>
        <w:spacing w:after="0" w:line="118" w:lineRule="exact"/>
        <w:rPr>
          <w:rFonts w:ascii="Arial" w:cs="Arial" w:eastAsia="Arial" w:hAnsi="Arial"/>
          <w:sz w:val="16"/>
          <w:szCs w:val="16"/>
          <w:color w:val="auto"/>
        </w:rPr>
      </w:pPr>
    </w:p>
    <w:p>
      <w:pPr>
        <w:ind w:left="-20" w:firstLine="921"/>
        <w:spacing w:after="0" w:line="294" w:lineRule="auto"/>
        <w:tabs>
          <w:tab w:leader="none" w:pos="114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each of its Subsidiaries holds, and is operating in compliance with, all franchises, grants, authorizations, licenses, permits, easements, consents, certificates and orders (each, a “</w:t>
      </w:r>
      <w:r>
        <w:rPr>
          <w:rFonts w:ascii="Arial" w:cs="Arial" w:eastAsia="Arial" w:hAnsi="Arial"/>
          <w:sz w:val="16"/>
          <w:szCs w:val="16"/>
          <w:b w:val="1"/>
          <w:bCs w:val="1"/>
          <w:i w:val="1"/>
          <w:iCs w:val="1"/>
          <w:color w:val="auto"/>
        </w:rPr>
        <w:t>Permit</w:t>
      </w:r>
      <w:r>
        <w:rPr>
          <w:rFonts w:ascii="Arial" w:cs="Arial" w:eastAsia="Arial" w:hAnsi="Arial"/>
          <w:sz w:val="16"/>
          <w:szCs w:val="16"/>
          <w:color w:val="auto"/>
        </w:rPr>
        <w:t>”) of any Regulatory Body required for the conduct of its business, except where the failure to hold or comply with any such Permits would not, individually or in the aggregate, result in a Material Adverse Effect; all such Permits are valid and in full force and effect; and neither the Company nor any of its Subsidiaries has received notice of any revocation, suspension or modification of any such Permit or has reason to believe that any such Permit will not be renewed in the ordinary course of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11" w:name="page12"/>
    <w:bookmarkEnd w:id="11"/>
    <w:p>
      <w:pPr>
        <w:ind w:right="140" w:firstLine="921"/>
        <w:spacing w:after="0" w:line="302" w:lineRule="auto"/>
        <w:tabs>
          <w:tab w:leader="none" w:pos="1162" w:val="left"/>
        </w:tabs>
        <w:numPr>
          <w:ilvl w:val="1"/>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each of its Subsidiaries owns, possesses or can acquire on reasonable terms all Intellectual Property (as defined below) necessary for the conduct of its business as now conducted or as described in the Registration Statement, the Disclosure Package and the Prospectus to be conducted, except for such failure to own, possess, or ability to acquire such rights as would not result in a Material Adverse Effect. Except as set forth in the Registration Statement, the Disclosure Package and the Prospectus, (i) to the knowledge of the Company, there is no infringement, misappropriation or violation by third parties of any such Intellectual Property, except for such infringement, misappropriation or violation as would not result in a Material Adverse Effect;</w:t>
      </w:r>
    </w:p>
    <w:p>
      <w:pPr>
        <w:spacing w:after="0" w:line="1" w:lineRule="exact"/>
        <w:rPr>
          <w:rFonts w:ascii="Arial" w:cs="Arial" w:eastAsia="Arial" w:hAnsi="Arial"/>
          <w:sz w:val="15"/>
          <w:szCs w:val="15"/>
          <w:color w:val="auto"/>
        </w:rPr>
      </w:pPr>
    </w:p>
    <w:p>
      <w:pPr>
        <w:ind w:right="20" w:firstLine="8"/>
        <w:spacing w:after="0" w:line="300" w:lineRule="auto"/>
        <w:tabs>
          <w:tab w:leader="none" w:pos="258"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there is no pending or, to the knowledge of the Company, threatened action, suit or proceeding by others challenging the Company’s or any of its Subsidiaries’ rights in or to any such Intellectual Property; (iii) the Intellectual Property owned by the Company and its Subsidiaries, and, to the knowledge of the Company, the Intellectual Property licensed to the Company and its Subsidiaries has not been adjudged invalid or unenforceable, in whole or in part, there is no pending or, to the knowledge of the Company, threatened action, suit or proceeding by others challenging the validity or scope of any such Intellectual Property; and</w:t>
      </w:r>
    </w:p>
    <w:p>
      <w:pPr>
        <w:spacing w:after="0" w:line="1" w:lineRule="exact"/>
        <w:rPr>
          <w:rFonts w:ascii="Arial" w:cs="Arial" w:eastAsia="Arial" w:hAnsi="Arial"/>
          <w:sz w:val="15"/>
          <w:szCs w:val="15"/>
          <w:color w:val="auto"/>
        </w:rPr>
      </w:pPr>
    </w:p>
    <w:p>
      <w:pPr>
        <w:ind w:right="40" w:firstLine="8"/>
        <w:spacing w:after="0" w:line="295" w:lineRule="auto"/>
        <w:tabs>
          <w:tab w:leader="none" w:pos="29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is no pending or, to the knowledge of the Company, threatened action, suit or proceeding by others that the Company or any of its Subsidiaries infringes, misappropriates or otherwise violates any Intellectual Property or other proprietary rights of others, and neither the Company nor any of its Subsidiaries has received any written notice of such claim. “</w:t>
      </w:r>
      <w:r>
        <w:rPr>
          <w:rFonts w:ascii="Arial" w:cs="Arial" w:eastAsia="Arial" w:hAnsi="Arial"/>
          <w:sz w:val="16"/>
          <w:szCs w:val="16"/>
          <w:b w:val="1"/>
          <w:bCs w:val="1"/>
          <w:i w:val="1"/>
          <w:iCs w:val="1"/>
          <w:color w:val="auto"/>
        </w:rPr>
        <w:t>Intellectual Property</w:t>
      </w:r>
      <w:r>
        <w:rPr>
          <w:rFonts w:ascii="Arial" w:cs="Arial" w:eastAsia="Arial" w:hAnsi="Arial"/>
          <w:sz w:val="16"/>
          <w:szCs w:val="16"/>
          <w:color w:val="auto"/>
        </w:rPr>
        <w:t>” shall mean all patents, patent applications, trade and service marks, trade and service mark registrations, trade names, copyrights, licenses, inventions, trade secrets, technology, know-how and other intellectual property.</w:t>
      </w:r>
    </w:p>
    <w:p>
      <w:pPr>
        <w:spacing w:after="0" w:line="115" w:lineRule="exact"/>
        <w:rPr>
          <w:sz w:val="20"/>
          <w:szCs w:val="20"/>
          <w:color w:val="auto"/>
        </w:rPr>
      </w:pPr>
    </w:p>
    <w:p>
      <w:pPr>
        <w:ind w:firstLine="921"/>
        <w:spacing w:after="0" w:line="291" w:lineRule="auto"/>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of its Subsidiaries (i) is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(ii) has received and is in material compliance with all Permits required of it under applicable Environmental Laws to conduct its business; and (iii) has not received notice of any actual or potential liability for the investigation or remediation of any disposal or release of hazardous or toxic substances or wastes, pollutants or contaminants, except in any such case for any such failure to comply, failure to receive required Permits or liability as would not, individually or in the aggregate, reasonably be expected to result in a Material Adverse Effect.</w:t>
      </w:r>
    </w:p>
    <w:p>
      <w:pPr>
        <w:spacing w:after="0" w:line="120" w:lineRule="exact"/>
        <w:rPr>
          <w:rFonts w:ascii="Arial" w:cs="Arial" w:eastAsia="Arial" w:hAnsi="Arial"/>
          <w:sz w:val="16"/>
          <w:szCs w:val="16"/>
          <w:color w:val="auto"/>
        </w:rPr>
      </w:pPr>
    </w:p>
    <w:p>
      <w:pPr>
        <w:ind w:right="20" w:firstLine="921"/>
        <w:spacing w:after="0" w:line="291" w:lineRule="auto"/>
        <w:tabs>
          <w:tab w:leader="none" w:pos="1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each of its Subsidiaries (i)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6"/>
          <w:szCs w:val="16"/>
          <w:b w:val="1"/>
          <w:bCs w:val="1"/>
          <w:i w:val="1"/>
          <w:iCs w:val="1"/>
          <w:color w:val="auto"/>
        </w:rPr>
        <w:t>Occupational Laws</w:t>
      </w:r>
      <w:r>
        <w:rPr>
          <w:rFonts w:ascii="Arial" w:cs="Arial" w:eastAsia="Arial" w:hAnsi="Arial"/>
          <w:sz w:val="16"/>
          <w:szCs w:val="16"/>
          <w:color w:val="auto"/>
        </w:rPr>
        <w:t>”); (ii) has received all material Permits required of it under applicable Occupational Laws to conduct its business as currently conducted; and (iii) is in compliance, in all material respects, with all terms and conditions of such Permit. No action, proceeding, revocation proceeding, writ, injunction or claim is pending or, to the Company’s knowledge, threatened against the Company or any of its Subsidiaries relating to Occupational Laws.</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employee benefit plan, within the meaning of Section 3(3) of the Employee Retirement Income Security Act of 1974, as amended</w:t>
      </w:r>
    </w:p>
    <w:p>
      <w:pPr>
        <w:spacing w:after="0" w:line="3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that is maintained, administered or contributed to by the Company or any of its affiliates for employees or former employees of the Company or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No prohibited transaction, within the meaning of Section 406 of ERISA or Section 4975 of the Code, has occurred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 w:name="page13"/>
    <w:bookmarkEnd w:id="12"/>
    <w:p>
      <w:pPr>
        <w:ind w:left="-20" w:right="440" w:firstLine="921"/>
        <w:spacing w:after="0" w:line="268" w:lineRule="auto"/>
        <w:tabs>
          <w:tab w:leader="none" w:pos="1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labor disturbance by the employees of the Company or any of its Subsidiaries exists or, to the knowledge of the Company, is threatened, which would reasonably be expected, individually or in the aggregate, to have a Material Adverse Effect.</w:t>
      </w:r>
    </w:p>
    <w:p>
      <w:pPr>
        <w:spacing w:after="0" w:line="132" w:lineRule="exact"/>
        <w:rPr>
          <w:sz w:val="20"/>
          <w:szCs w:val="20"/>
          <w:color w:val="auto"/>
        </w:rPr>
      </w:pPr>
    </w:p>
    <w:p>
      <w:pPr>
        <w:ind w:left="-20" w:firstLine="921"/>
        <w:spacing w:after="0" w:line="306" w:lineRule="auto"/>
        <w:tabs>
          <w:tab w:leader="none" w:pos="1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Nothing has come to the attention of the Company that has caused the Company to believe that the statistical and market-related data included in the Registration Statement, the Disclosure Package and the Prospectus is not based on or derived from sources that are reliable and accurate in all material respects.</w:t>
      </w:r>
    </w:p>
    <w:p>
      <w:pPr>
        <w:spacing w:after="0" w:line="106" w:lineRule="exact"/>
        <w:rPr>
          <w:rFonts w:ascii="Arial" w:cs="Arial" w:eastAsia="Arial" w:hAnsi="Arial"/>
          <w:sz w:val="16"/>
          <w:szCs w:val="16"/>
          <w:color w:val="auto"/>
        </w:rPr>
      </w:pPr>
    </w:p>
    <w:p>
      <w:pPr>
        <w:ind w:left="-20" w:firstLine="921"/>
        <w:spacing w:after="0" w:line="291" w:lineRule="auto"/>
        <w:tabs>
          <w:tab w:leader="none" w:pos="12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each of its Subsidiaries carries, or is covered by, insurance issued by insurers of nationally recognized financial responsibility in such amounts and covering such risks as is adequate for the conduct of its business and the value of its properties and as is customary for companies engaged in similar businesses in similar industries; and neither the Company nor any of its Subsidiaries has (i) received notice from any insurer or agent of such insurer that capital improvements or other expenditures are required or necessary to be made in order to continue such insurance; or (ii) reason to believe that it will not be able to renew its existing insurance coverage as and when such coverage expires or to obtain similar coverage at reasonable cost from similar insurers as may be necessary to continue its business. All such insurance is outstanding and in force on the date hereof.</w:t>
      </w:r>
    </w:p>
    <w:p>
      <w:pPr>
        <w:spacing w:after="0" w:line="120" w:lineRule="exact"/>
        <w:rPr>
          <w:rFonts w:ascii="Arial" w:cs="Arial" w:eastAsia="Arial" w:hAnsi="Arial"/>
          <w:sz w:val="16"/>
          <w:szCs w:val="16"/>
          <w:color w:val="auto"/>
        </w:rPr>
      </w:pPr>
    </w:p>
    <w:p>
      <w:pPr>
        <w:ind w:left="-20" w:right="220" w:firstLine="921"/>
        <w:spacing w:after="0" w:line="291" w:lineRule="auto"/>
        <w:tabs>
          <w:tab w:leader="none" w:pos="1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and each of its Subsidiaries has timely filed all federal, state, local and foreign income and franchise tax returns required to be filed and are not in default in the payment of any taxes which were payable pursuant to said returns or any assessments with respect thereto, other than any that the Company or such Subsidiary is contesting in good faith, except for such taxes and assessments which would not reasonably be expected to have a Material Adverse Effect. There is no pending dispute with any taxing authority relating to any of such returns, and the Company has no knowledge of any proposed liability for any tax to be imposed upon the properties or assets of the Company or any of its Subsidiaries for which there is not an adequate reserve reflected in the Company’s financial statements included in the Registration Statement, the Disclosure Package and the Prospectus.</w:t>
      </w:r>
    </w:p>
    <w:p>
      <w:pPr>
        <w:spacing w:after="0" w:line="120" w:lineRule="exact"/>
        <w:rPr>
          <w:rFonts w:ascii="Arial" w:cs="Arial" w:eastAsia="Arial" w:hAnsi="Arial"/>
          <w:sz w:val="16"/>
          <w:szCs w:val="16"/>
          <w:color w:val="auto"/>
        </w:rPr>
      </w:pPr>
    </w:p>
    <w:p>
      <w:pPr>
        <w:ind w:left="-20" w:right="40" w:firstLine="921"/>
        <w:spacing w:after="0" w:line="268" w:lineRule="auto"/>
        <w:tabs>
          <w:tab w:leader="none" w:pos="1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statements set forth in the Prospectus under the caption “Description of Common Stock,” insofar as they purport to constitute a summary of the terms of the Common Stock, represent an accurate summary of such terms in all material respects.</w:t>
      </w:r>
    </w:p>
    <w:p>
      <w:pPr>
        <w:spacing w:after="0" w:line="131" w:lineRule="exact"/>
        <w:rPr>
          <w:rFonts w:ascii="Arial" w:cs="Arial" w:eastAsia="Arial" w:hAnsi="Arial"/>
          <w:sz w:val="18"/>
          <w:szCs w:val="18"/>
          <w:color w:val="auto"/>
        </w:rPr>
      </w:pPr>
    </w:p>
    <w:p>
      <w:pPr>
        <w:ind w:left="-20" w:right="60" w:firstLine="921"/>
        <w:spacing w:after="0" w:line="291" w:lineRule="auto"/>
        <w:tabs>
          <w:tab w:leader="none" w:pos="121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reasonably be expected to, individually or in the aggregate, have a Material Adverse Effect; and, to the Company’s knowledge, no such proceedings are threatened by governmental authorities or others. There are no current or pending legal, governmental or regulatory actions, suits or proceedings that are required to be described in the Registration Statement, the Disclosure Package and the Prospectus that have not been so described.</w:t>
      </w:r>
    </w:p>
    <w:p>
      <w:pPr>
        <w:spacing w:after="0" w:line="120" w:lineRule="exact"/>
        <w:rPr>
          <w:rFonts w:ascii="Arial" w:cs="Arial" w:eastAsia="Arial" w:hAnsi="Arial"/>
          <w:sz w:val="16"/>
          <w:szCs w:val="16"/>
          <w:color w:val="auto"/>
        </w:rPr>
      </w:pPr>
    </w:p>
    <w:p>
      <w:pPr>
        <w:jc w:val="both"/>
        <w:ind w:left="-20" w:right="40" w:firstLine="921"/>
        <w:spacing w:after="0" w:line="259" w:lineRule="auto"/>
        <w:tabs>
          <w:tab w:leader="none" w:pos="11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no statutes, regulations, contracts or documents that are required to be described in the Registration Statement, the Disclosure Package and the Prospectus or to be filed as exhibits to the Registration Statement by the Securities Act or by the Rules and Regulations that have not been so described or filed.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3" w:name="page14"/>
    <w:bookmarkEnd w:id="13"/>
    <w:p>
      <w:pPr>
        <w:ind w:left="-20" w:right="20" w:firstLine="921"/>
        <w:spacing w:after="0" w:line="370" w:lineRule="auto"/>
        <w:tabs>
          <w:tab w:leader="none" w:pos="1229" w:val="left"/>
        </w:tabs>
        <w:numPr>
          <w:ilvl w:val="0"/>
          <w:numId w:val="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and, after giving effect to the offering and sale of the Shares and the application of the proceeds thereof as set forth in the Prospectus, will not be an “investment company,” as such term is defined in the Investment Company Act of 1940, as amended (the “</w:t>
      </w:r>
      <w:r>
        <w:rPr>
          <w:rFonts w:ascii="Arial" w:cs="Arial" w:eastAsia="Arial" w:hAnsi="Arial"/>
          <w:sz w:val="15"/>
          <w:szCs w:val="15"/>
          <w:b w:val="1"/>
          <w:bCs w:val="1"/>
          <w:i w:val="1"/>
          <w:iCs w:val="1"/>
          <w:color w:val="auto"/>
        </w:rPr>
        <w:t>Investment Company Act</w:t>
      </w:r>
      <w:r>
        <w:rPr>
          <w:rFonts w:ascii="Arial" w:cs="Arial" w:eastAsia="Arial" w:hAnsi="Arial"/>
          <w:sz w:val="15"/>
          <w:szCs w:val="15"/>
          <w:color w:val="auto"/>
        </w:rPr>
        <w:t>”).</w:t>
      </w:r>
    </w:p>
    <w:p>
      <w:pPr>
        <w:spacing w:after="0" w:line="62" w:lineRule="exact"/>
        <w:rPr>
          <w:rFonts w:ascii="Arial" w:cs="Arial" w:eastAsia="Arial" w:hAnsi="Arial"/>
          <w:sz w:val="15"/>
          <w:szCs w:val="15"/>
          <w:color w:val="auto"/>
        </w:rPr>
      </w:pPr>
    </w:p>
    <w:p>
      <w:pPr>
        <w:ind w:left="-20" w:firstLine="921"/>
        <w:spacing w:after="0" w:line="294" w:lineRule="auto"/>
        <w:tabs>
          <w:tab w:leader="none" w:pos="122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At the earliest time after the filing of the Registration Statement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Shares and at the date hereof, the Company was not and is not an “ineligible issuer,” as defined in Rule 405 under the Securities Act, in the preceding three years not having been convicted of a felony or misdemeanor or having been made the subject of a judicial or administrative decree or order as described in Rule 405 (without taking account of any determination by the Commission pursuant to Rule 405 that it is not necessary that the Company be considered an ineligible issuer), nor an “excluded issuer” as defined in Rule 164 under the Securities Act.</w:t>
      </w:r>
    </w:p>
    <w:p>
      <w:pPr>
        <w:spacing w:after="0" w:line="115" w:lineRule="exact"/>
        <w:rPr>
          <w:rFonts w:ascii="Arial" w:cs="Arial" w:eastAsia="Arial" w:hAnsi="Arial"/>
          <w:sz w:val="16"/>
          <w:szCs w:val="16"/>
          <w:color w:val="auto"/>
        </w:rPr>
      </w:pPr>
    </w:p>
    <w:p>
      <w:pPr>
        <w:ind w:left="-20" w:right="100" w:firstLine="921"/>
        <w:spacing w:after="0" w:line="298" w:lineRule="auto"/>
        <w:tabs>
          <w:tab w:leader="none" w:pos="11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Company has not distributed and will not distribute any prospectus or other offering material in connection with the offering and sale of the Shares other than the Disclosure Package or the Prospectus, or other materials permitted by the Securities Act to be distributed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set forth 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II</w:t>
      </w:r>
      <w:r>
        <w:rPr>
          <w:rFonts w:ascii="Arial" w:cs="Arial" w:eastAsia="Arial" w:hAnsi="Arial"/>
          <w:sz w:val="16"/>
          <w:szCs w:val="16"/>
          <w:color w:val="auto"/>
        </w:rPr>
        <w:t>, the Company has not made and will not make any offer relating to the Shares that would constitute a “free</w:t>
      </w:r>
      <w:r>
        <w:rPr>
          <w:rFonts w:ascii="Arial" w:cs="Arial" w:eastAsia="Arial" w:hAnsi="Arial"/>
          <w:sz w:val="16"/>
          <w:szCs w:val="16"/>
          <w:i w:val="1"/>
          <w:iCs w:val="1"/>
          <w:color w:val="auto"/>
        </w:rPr>
        <w:t xml:space="preserve"> </w:t>
      </w:r>
      <w:r>
        <w:rPr>
          <w:rFonts w:ascii="Arial" w:cs="Arial" w:eastAsia="Arial" w:hAnsi="Arial"/>
          <w:sz w:val="16"/>
          <w:szCs w:val="16"/>
          <w:color w:val="auto"/>
        </w:rPr>
        <w:t>writing prospectus” as defined in Rule 405 under the Securities Act, except in accordance with the provisions of Section 7(a) of this Agreement.</w:t>
      </w:r>
    </w:p>
    <w:p>
      <w:pPr>
        <w:spacing w:after="0" w:line="112" w:lineRule="exact"/>
        <w:rPr>
          <w:rFonts w:ascii="Arial" w:cs="Arial" w:eastAsia="Arial" w:hAnsi="Arial"/>
          <w:sz w:val="16"/>
          <w:szCs w:val="16"/>
          <w:color w:val="auto"/>
        </w:rPr>
      </w:pPr>
    </w:p>
    <w:p>
      <w:pPr>
        <w:ind w:left="-20" w:firstLine="921"/>
        <w:spacing w:after="0" w:line="288" w:lineRule="auto"/>
        <w:tabs>
          <w:tab w:leader="none" w:pos="11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Common Stock of the Company is registered pursuant to Section 12(b) of the Exchange Act and is listed on the NASDAQ Global Market under the ticker symbol “ACPW.” The Company has taken no action designed to, or likely to have the effect of, terminating the registration of the Common Stock under the Exchange Act or delisting the Common Stock from the NASDAQ Global Market nor, except as described in the Registration Statement, the Disclosure Package or the Prospectus with respect to the Company’s compliance with Rule 4450(a)(5) relating to the minimum $1.00 per share bid price requirement for continued listing (the “</w:t>
      </w:r>
      <w:r>
        <w:rPr>
          <w:rFonts w:ascii="Arial" w:cs="Arial" w:eastAsia="Arial" w:hAnsi="Arial"/>
          <w:sz w:val="16"/>
          <w:szCs w:val="16"/>
          <w:b w:val="1"/>
          <w:bCs w:val="1"/>
          <w:i w:val="1"/>
          <w:iCs w:val="1"/>
          <w:color w:val="auto"/>
        </w:rPr>
        <w:t>Rule</w:t>
      </w:r>
      <w:r>
        <w:rPr>
          <w:rFonts w:ascii="Arial" w:cs="Arial" w:eastAsia="Arial" w:hAnsi="Arial"/>
          <w:sz w:val="16"/>
          <w:szCs w:val="16"/>
          <w:color w:val="auto"/>
        </w:rPr>
        <w:t>”), has the Company received any notice that it is not in compliance with the listing or maintenance requirements of the NASDAQ Global Market. The Company believes that it is, and other than with respect to the Rule, has no reason to believe that it will not in the foreseeable future continue to be, in material compliance with all such listing and maintenance requirements. Except as described in the Registration Statement, the Disclosure Package or the Prospectus, to the knowledge of the Company, there are no affiliations among the Company’s directors and officers and members of FINRA. A registration statement relating to the Common Stock on Form 8-A or other applicable form under the Exchange Act has become effective.</w:t>
      </w:r>
    </w:p>
    <w:p>
      <w:pPr>
        <w:spacing w:after="0" w:line="119" w:lineRule="exact"/>
        <w:rPr>
          <w:rFonts w:ascii="Arial" w:cs="Arial" w:eastAsia="Arial" w:hAnsi="Arial"/>
          <w:sz w:val="16"/>
          <w:szCs w:val="16"/>
          <w:color w:val="auto"/>
        </w:rPr>
      </w:pPr>
    </w:p>
    <w:p>
      <w:pPr>
        <w:ind w:left="-20" w:right="100" w:firstLine="921"/>
        <w:spacing w:after="0" w:line="255" w:lineRule="auto"/>
        <w:tabs>
          <w:tab w:leader="none" w:pos="12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Ernst &amp; Young LLP, who have certified certain financial statements of the Company and its Subsidiaries filed as a part of the Registration Statement and included in the Registration Statement, the Disclosure Package and the Prospectus, is (i) an independent public accounting firm as required by the Securities Act and the Rules and Regulations; (ii) a registered public accounting firm (as defined in Section 2(a)(12) of the Sarbanes-Oxley Act); and (iii) in the performance of its work for the Company, not in violation of the auditor independence requirements of the Sarbanes-Oxley Act and the rules and regulations of the Commission thereunder.</w:t>
      </w:r>
    </w:p>
    <w:p>
      <w:pPr>
        <w:spacing w:after="0" w:line="142" w:lineRule="exact"/>
        <w:rPr>
          <w:rFonts w:ascii="Arial" w:cs="Arial" w:eastAsia="Arial" w:hAnsi="Arial"/>
          <w:sz w:val="18"/>
          <w:szCs w:val="18"/>
          <w:color w:val="auto"/>
        </w:rPr>
      </w:pPr>
    </w:p>
    <w:p>
      <w:pPr>
        <w:ind w:left="-20" w:right="60" w:firstLine="921"/>
        <w:spacing w:after="0" w:line="287" w:lineRule="auto"/>
        <w:tabs>
          <w:tab w:leader="none" w:pos="11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financial statements of the Company and its Subsidiaries (including all notes and schedules thereto) set forth or incorporated by reference in the Registration Statement, the Disclosure Package and the Prospectus comply in all material respects with the requirements of the Securities Act and the Exchange Act and present fairly, in all material respects, the financial position of the Company and its consolidated Subsidiaries at the dates indicated and the statement of operations, stockholders’ equity and cash flows of the Company and its Subsidiaries for the periods specified in conformity with generally accepted accounting principles in the United States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consistently applied throughout the periods involved, except as otherwise stated in the Registration Statement, the Disclosure Package and the Prospectus. No other schedules or financial statements are required to be included in the Registration Statement, the Disclosure Package or the Prospectus. Except as described in the Disclosure Package and the Prospectus, there are no material off-balance sheet transactions, arrangements, obligations (including contingent obligations), or any other relationships with unconsolidated entities or other persons, that may have a material current effect on the Company’s financial condition, changes in financial condition, results of operations, liquidity, capital expenditures, capital resources or significant components of revenue or expenses.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14" w:name="page15"/>
    <w:bookmarkEnd w:id="14"/>
    <w:p>
      <w:pPr>
        <w:ind w:left="-8" w:firstLine="921"/>
        <w:spacing w:after="0" w:line="303" w:lineRule="auto"/>
        <w:tabs>
          <w:tab w:leader="none" w:pos="1339" w:val="left"/>
        </w:tabs>
        <w:numPr>
          <w:ilvl w:val="1"/>
          <w:numId w:val="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assurances that (i) transactions are executed in accordance with management’s general or specific authorization;</w:t>
      </w:r>
    </w:p>
    <w:p>
      <w:pPr>
        <w:spacing w:after="0" w:line="1" w:lineRule="exact"/>
        <w:rPr>
          <w:rFonts w:ascii="Arial" w:cs="Arial" w:eastAsia="Arial" w:hAnsi="Arial"/>
          <w:sz w:val="15"/>
          <w:szCs w:val="15"/>
          <w:color w:val="auto"/>
        </w:rPr>
      </w:pPr>
    </w:p>
    <w:p>
      <w:pPr>
        <w:ind w:left="252" w:hanging="252"/>
        <w:spacing w:after="0"/>
        <w:tabs>
          <w:tab w:leader="none" w:pos="2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w:t>
      </w:r>
    </w:p>
    <w:p>
      <w:pPr>
        <w:spacing w:after="0" w:line="32" w:lineRule="exact"/>
        <w:rPr>
          <w:rFonts w:ascii="Arial" w:cs="Arial" w:eastAsia="Arial" w:hAnsi="Arial"/>
          <w:sz w:val="16"/>
          <w:szCs w:val="16"/>
          <w:color w:val="auto"/>
        </w:rPr>
      </w:pPr>
    </w:p>
    <w:p>
      <w:pPr>
        <w:ind w:left="-8" w:right="120" w:firstLine="8"/>
        <w:spacing w:after="0" w:line="292" w:lineRule="auto"/>
        <w:tabs>
          <w:tab w:leader="none" w:pos="29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(iv) the recorded accountability for assets is compared with existing assets at reasonable intervals and appropriate action is taken with respect to any differences. The Company’s board of directors has, subject to the exceptions, cure periods and the phase in periods specified in the applicable stock exchange rules (“</w:t>
      </w:r>
      <w:r>
        <w:rPr>
          <w:rFonts w:ascii="Arial" w:cs="Arial" w:eastAsia="Arial" w:hAnsi="Arial"/>
          <w:sz w:val="16"/>
          <w:szCs w:val="16"/>
          <w:b w:val="1"/>
          <w:bCs w:val="1"/>
          <w:i w:val="1"/>
          <w:iCs w:val="1"/>
          <w:color w:val="auto"/>
        </w:rPr>
        <w:t>Exchange Rules</w:t>
      </w:r>
      <w:r>
        <w:rPr>
          <w:rFonts w:ascii="Arial" w:cs="Arial" w:eastAsia="Arial" w:hAnsi="Arial"/>
          <w:sz w:val="16"/>
          <w:szCs w:val="16"/>
          <w:color w:val="auto"/>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spacing w:after="0" w:line="116" w:lineRule="exact"/>
        <w:rPr>
          <w:rFonts w:ascii="Arial" w:cs="Arial" w:eastAsia="Arial" w:hAnsi="Arial"/>
          <w:sz w:val="16"/>
          <w:szCs w:val="16"/>
          <w:color w:val="auto"/>
        </w:rPr>
      </w:pPr>
    </w:p>
    <w:p>
      <w:pPr>
        <w:ind w:left="-8" w:right="40" w:firstLine="921"/>
        <w:spacing w:after="0" w:line="294" w:lineRule="auto"/>
        <w:tabs>
          <w:tab w:leader="none" w:pos="1241" w:val="left"/>
        </w:tabs>
        <w:numPr>
          <w:ilvl w:val="1"/>
          <w:numId w:val="17"/>
        </w:numPr>
        <w:rPr>
          <w:rFonts w:ascii="Arial" w:cs="Arial" w:eastAsia="Arial" w:hAnsi="Arial"/>
          <w:sz w:val="16"/>
          <w:szCs w:val="16"/>
          <w:color w:val="auto"/>
        </w:rPr>
      </w:pPr>
      <w:r>
        <w:rPr>
          <w:rFonts w:ascii="Arial" w:cs="Arial" w:eastAsia="Arial" w:hAnsi="Arial"/>
          <w:sz w:val="16"/>
          <w:szCs w:val="16"/>
          <w:color w:val="auto"/>
        </w:rPr>
        <w:t>Neither the Company’s board of directors nor the audit committee has been informed, nor is any director of the Company or the Company aware, of (i) during the past 36 months, any “significant deficiencies” or “material weaknesses” (each as defined by the Public Company Accounting Oversight Board) in the design or operation of the Company’s internal controls that could adversely affect the Company’s ability to record, process, summarize and report financial data, other than the material weakness disclosed in the Company’s annual report on Form 10 K for the year ended December 31, 2006; or (ii) any fraud, whether or not material, that involves management or other employees of the Company who have a significant role in the Company’s internal controls.</w:t>
      </w:r>
    </w:p>
    <w:p>
      <w:pPr>
        <w:spacing w:after="0" w:line="115" w:lineRule="exact"/>
        <w:rPr>
          <w:rFonts w:ascii="Arial" w:cs="Arial" w:eastAsia="Arial" w:hAnsi="Arial"/>
          <w:sz w:val="16"/>
          <w:szCs w:val="16"/>
          <w:color w:val="auto"/>
        </w:rPr>
      </w:pPr>
    </w:p>
    <w:p>
      <w:pPr>
        <w:ind w:left="-8" w:right="40" w:firstLine="921"/>
        <w:spacing w:after="0" w:line="259" w:lineRule="auto"/>
        <w:tabs>
          <w:tab w:leader="none" w:pos="1241" w:val="left"/>
        </w:tabs>
        <w:numPr>
          <w:ilvl w:val="1"/>
          <w:numId w:val="17"/>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Disclosure Package and the Prospectus).</w:t>
      </w:r>
    </w:p>
    <w:p>
      <w:pPr>
        <w:spacing w:after="0" w:line="140" w:lineRule="exact"/>
        <w:rPr>
          <w:rFonts w:ascii="Arial" w:cs="Arial" w:eastAsia="Arial" w:hAnsi="Arial"/>
          <w:sz w:val="18"/>
          <w:szCs w:val="18"/>
          <w:color w:val="auto"/>
        </w:rPr>
      </w:pPr>
    </w:p>
    <w:p>
      <w:pPr>
        <w:ind w:left="-8" w:right="240" w:firstLine="921"/>
        <w:spacing w:after="0" w:line="255" w:lineRule="auto"/>
        <w:tabs>
          <w:tab w:leader="none" w:pos="1241"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The Company has utilized such controls and procedures in preparing and evaluating the disclosures in the Registration Statement, the Disclosure Package and the Prospectus.</w:t>
      </w:r>
    </w:p>
    <w:p>
      <w:pPr>
        <w:spacing w:after="0" w:line="1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52"/>
          </w:cols>
          <w:pgMar w:left="248" w:top="280" w:right="299" w:bottom="1440" w:gutter="0" w:footer="0" w:header="0"/>
        </w:sectPr>
      </w:pPr>
    </w:p>
    <w:bookmarkStart w:id="15" w:name="page16"/>
    <w:bookmarkEnd w:id="15"/>
    <w:p>
      <w:pPr>
        <w:ind w:left="-8" w:right="60" w:firstLine="921"/>
        <w:spacing w:after="0" w:line="323" w:lineRule="auto"/>
        <w:tabs>
          <w:tab w:leader="none" w:pos="1241" w:val="left"/>
        </w:tabs>
        <w:numPr>
          <w:ilvl w:val="2"/>
          <w:numId w:val="1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relationship, direct or indirect, exists between or among the Company, on the one hand, and the directors or officers or, to the knowledge of the Company, stockholders, customers or suppliers of the Company, on the other hand, which is required to be described in the Registration Statement, the Disclosure Package and the Prospectus and which is not so described. There are no outstanding loans, advances or guarantees of indebtedness by the Company to or for the benefit of any of the executive officers or directors of the Company in violation of applicable laws, including Section 402 of the Sarbanes-Oxley Act.</w:t>
      </w:r>
    </w:p>
    <w:p>
      <w:pPr>
        <w:spacing w:after="0" w:line="97" w:lineRule="exact"/>
        <w:rPr>
          <w:rFonts w:ascii="Arial" w:cs="Arial" w:eastAsia="Arial" w:hAnsi="Arial"/>
          <w:sz w:val="15"/>
          <w:szCs w:val="15"/>
          <w:color w:val="auto"/>
        </w:rPr>
      </w:pPr>
    </w:p>
    <w:p>
      <w:pPr>
        <w:jc w:val="both"/>
        <w:ind w:left="-8" w:right="540" w:firstLine="921"/>
        <w:spacing w:after="0" w:line="286" w:lineRule="auto"/>
        <w:tabs>
          <w:tab w:leader="none" w:pos="1183" w:val="left"/>
        </w:tabs>
        <w:numPr>
          <w:ilvl w:val="2"/>
          <w:numId w:val="18"/>
        </w:numPr>
        <w:rPr>
          <w:rFonts w:ascii="Arial" w:cs="Arial" w:eastAsia="Arial" w:hAnsi="Arial"/>
          <w:sz w:val="16"/>
          <w:szCs w:val="16"/>
          <w:color w:val="auto"/>
        </w:rPr>
      </w:pPr>
      <w:r>
        <w:rPr>
          <w:rFonts w:ascii="Arial" w:cs="Arial" w:eastAsia="Arial" w:hAnsi="Arial"/>
          <w:sz w:val="16"/>
          <w:szCs w:val="16"/>
          <w:color w:val="auto"/>
        </w:rPr>
        <w:t>To the actual knowledge of the Company, no person associated with or acting on behalf of the Company, including without limitation any director, officer, agent or employee of the Company or its Subsidiaries has, directly or indirectly, while acting on behalf of the Company or its Subsidiaries</w:t>
      </w:r>
    </w:p>
    <w:p>
      <w:pPr>
        <w:ind w:left="-8" w:right="140" w:firstLine="8"/>
        <w:spacing w:after="0" w:line="255" w:lineRule="auto"/>
        <w:tabs>
          <w:tab w:leader="none" w:pos="2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or (iii) violated any provision of the Foreign Corrupt Practices Act of 1977, as amended;</w:t>
      </w:r>
    </w:p>
    <w:p>
      <w:pPr>
        <w:spacing w:after="0" w:line="144" w:lineRule="exact"/>
        <w:rPr>
          <w:rFonts w:ascii="Arial" w:cs="Arial" w:eastAsia="Arial" w:hAnsi="Arial"/>
          <w:sz w:val="18"/>
          <w:szCs w:val="18"/>
          <w:color w:val="auto"/>
        </w:rPr>
      </w:pPr>
    </w:p>
    <w:p>
      <w:pPr>
        <w:ind w:left="-8" w:right="60" w:firstLine="921"/>
        <w:spacing w:after="0" w:line="370" w:lineRule="auto"/>
        <w:tabs>
          <w:tab w:leader="none" w:pos="1202" w:val="left"/>
        </w:tabs>
        <w:numPr>
          <w:ilvl w:val="2"/>
          <w:numId w:val="19"/>
        </w:numPr>
        <w:rPr>
          <w:rFonts w:ascii="Arial" w:cs="Arial" w:eastAsia="Arial" w:hAnsi="Arial"/>
          <w:sz w:val="15"/>
          <w:szCs w:val="15"/>
          <w:color w:val="auto"/>
        </w:rPr>
      </w:pPr>
      <w:r>
        <w:rPr>
          <w:rFonts w:ascii="Arial" w:cs="Arial" w:eastAsia="Arial" w:hAnsi="Arial"/>
          <w:sz w:val="15"/>
          <w:szCs w:val="15"/>
          <w:color w:val="auto"/>
        </w:rPr>
        <w:t>Except as contemplated by this Agreement and as disclosed in the Registration Statement, the Disclosure Package and the Prospectus, no person is entitled to receive from the Company a brokerage commission, finder’s fee or other like payment in connection with the transactions contemplated herein.</w:t>
      </w:r>
    </w:p>
    <w:p>
      <w:pPr>
        <w:spacing w:after="0" w:line="62" w:lineRule="exact"/>
        <w:rPr>
          <w:rFonts w:ascii="Arial" w:cs="Arial" w:eastAsia="Arial" w:hAnsi="Arial"/>
          <w:sz w:val="15"/>
          <w:szCs w:val="15"/>
          <w:color w:val="auto"/>
        </w:rPr>
      </w:pPr>
    </w:p>
    <w:p>
      <w:pPr>
        <w:ind w:left="-8" w:right="60" w:firstLine="921"/>
        <w:spacing w:after="0" w:line="256" w:lineRule="auto"/>
        <w:tabs>
          <w:tab w:leader="none" w:pos="1163"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might reasonably be expected to cause or result in, or which has constituted, the stabilization or manipulation of the price of any security of the Company to facilitate the sale or resale of the Shares, and has not effected any sales of Common Stock which are required to be disclosed in response to Item 701 of Regulation S-K under the Securities Act which have not been so disclosed in the Registration Statement.</w:t>
      </w:r>
    </w:p>
    <w:p>
      <w:pPr>
        <w:spacing w:after="0" w:line="143" w:lineRule="exact"/>
        <w:rPr>
          <w:rFonts w:ascii="Arial" w:cs="Arial" w:eastAsia="Arial" w:hAnsi="Arial"/>
          <w:sz w:val="18"/>
          <w:szCs w:val="18"/>
          <w:color w:val="auto"/>
        </w:rPr>
      </w:pPr>
    </w:p>
    <w:p>
      <w:pPr>
        <w:ind w:left="-8" w:right="60" w:firstLine="921"/>
        <w:spacing w:after="0" w:line="294" w:lineRule="auto"/>
        <w:tabs>
          <w:tab w:leader="none" w:pos="1241" w:val="left"/>
        </w:tabs>
        <w:numPr>
          <w:ilvl w:val="2"/>
          <w:numId w:val="19"/>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controlled affiliates does business with the government of, or with any person located in any country in a manner that violates in any material respect any of the economic sanctions programs or similar sanctions-related measures of the United States as administered by the United States Treasury Department’s Office of Foreign Assets Control; and the net proceeds from this offering will not be used to fund any operations in, finance any investments in or make any payments to any country, or to make any payments to any person, in a manner that violates any of the economic sanctions of the United States administered by the United States Treasury Department’s Office of Foreign Assets Control.</w:t>
      </w:r>
    </w:p>
    <w:p>
      <w:pPr>
        <w:spacing w:after="0" w:line="115" w:lineRule="exact"/>
        <w:rPr>
          <w:rFonts w:ascii="Arial" w:cs="Arial" w:eastAsia="Arial" w:hAnsi="Arial"/>
          <w:sz w:val="16"/>
          <w:szCs w:val="16"/>
          <w:color w:val="auto"/>
        </w:rPr>
      </w:pPr>
    </w:p>
    <w:p>
      <w:pPr>
        <w:ind w:left="-8" w:right="400" w:firstLine="464"/>
        <w:spacing w:after="0" w:line="332" w:lineRule="auto"/>
        <w:tabs>
          <w:tab w:leader="none" w:pos="624"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herein set forth, the Company agrees to sell to the Underwriter, and the Underwriter agrees to purchase from the Company, at a purchase price per share of $0.705, the number of Shares set forth opposite the name of the Underwriter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w:t>
      </w:r>
    </w:p>
    <w:p>
      <w:pPr>
        <w:spacing w:after="0" w:line="85" w:lineRule="exact"/>
        <w:rPr>
          <w:rFonts w:ascii="Arial" w:cs="Arial" w:eastAsia="Arial" w:hAnsi="Arial"/>
          <w:sz w:val="16"/>
          <w:szCs w:val="16"/>
          <w:color w:val="auto"/>
        </w:rPr>
      </w:pPr>
    </w:p>
    <w:p>
      <w:pPr>
        <w:ind w:left="-8" w:right="680" w:firstLine="464"/>
        <w:spacing w:after="0" w:line="268" w:lineRule="auto"/>
        <w:tabs>
          <w:tab w:leader="none" w:pos="624"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the authorization by the Underwriter of the release of the Shares, the Underwriter proposes to offer the Shares for sale upon the terms and conditions set forth in the Prospectus.</w:t>
      </w:r>
    </w:p>
    <w:p>
      <w:pPr>
        <w:spacing w:after="0" w:line="131" w:lineRule="exact"/>
        <w:rPr>
          <w:rFonts w:ascii="Arial" w:cs="Arial" w:eastAsia="Arial" w:hAnsi="Arial"/>
          <w:sz w:val="18"/>
          <w:szCs w:val="18"/>
          <w:color w:val="auto"/>
        </w:rPr>
      </w:pPr>
    </w:p>
    <w:p>
      <w:pPr>
        <w:ind w:left="-8" w:firstLine="464"/>
        <w:spacing w:after="0" w:line="291" w:lineRule="auto"/>
        <w:tabs>
          <w:tab w:leader="none" w:pos="62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The Shares to be purchased by the Underwriter hereunder will be represented by one or more definitive global shares in book-entry form, which will be deposited by or on behalf of the Company with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or its designated custodian. The Company will deliver the Shares to the Underwriter, for the account of the Underwriter, against payment by or on behalf of the Underwriter of the purchase price therefor by wire transfer of Federal (same-day) funds to the account specified by the Company to the Underwriter, by causing DTC to credit the Shares to the account of the Underwriter at DTC. The time and date of such delivery and payment shall be 10:00 a.m., New York time, on February 24, 2010, or such other time and date as the Underwriter and the Company may agree upon in writing. Such time and date for delivery of the Shares is herein called the “</w:t>
      </w:r>
      <w:r>
        <w:rPr>
          <w:rFonts w:ascii="Arial" w:cs="Arial" w:eastAsia="Arial" w:hAnsi="Arial"/>
          <w:sz w:val="16"/>
          <w:szCs w:val="16"/>
          <w:b w:val="1"/>
          <w:bCs w:val="1"/>
          <w:i w:val="1"/>
          <w:iCs w:val="1"/>
          <w:color w:val="auto"/>
        </w:rPr>
        <w:t>Time of Delivery</w:t>
      </w:r>
      <w:r>
        <w:rPr>
          <w:rFonts w:ascii="Arial" w:cs="Arial" w:eastAsia="Arial" w:hAnsi="Arial"/>
          <w:sz w:val="16"/>
          <w:szCs w:val="16"/>
          <w:color w:val="auto"/>
        </w:rPr>
        <w:t>.”</w:t>
      </w:r>
    </w:p>
    <w:p>
      <w:pPr>
        <w:spacing w:after="0" w:line="1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16" w:name="page17"/>
    <w:bookmarkEnd w:id="16"/>
    <w:p>
      <w:pPr>
        <w:ind w:right="60" w:firstLine="921"/>
        <w:spacing w:after="0" w:line="298" w:lineRule="auto"/>
        <w:tabs>
          <w:tab w:leader="none" w:pos="1162" w:val="left"/>
        </w:tabs>
        <w:numPr>
          <w:ilvl w:val="1"/>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to be delivered at the Time of Delivery by or on behalf of the parties hereto pursuant to Section 9 hereof, including the cross receipt for the Shares and any additional documents requested by the Underwriter pursuant to Section 9(o) hereof, will be delivered at the offices of Goodwin Procter LLP at The New York Times Building, 620 Eighth Avenue, New York, New York (the “</w:t>
      </w:r>
      <w:r>
        <w:rPr>
          <w:rFonts w:ascii="Arial" w:cs="Arial" w:eastAsia="Arial" w:hAnsi="Arial"/>
          <w:sz w:val="16"/>
          <w:szCs w:val="16"/>
          <w:b w:val="1"/>
          <w:bCs w:val="1"/>
          <w:i w:val="1"/>
          <w:iCs w:val="1"/>
          <w:color w:val="auto"/>
        </w:rPr>
        <w:t>Closing Location</w:t>
      </w:r>
      <w:r>
        <w:rPr>
          <w:rFonts w:ascii="Arial" w:cs="Arial" w:eastAsia="Arial" w:hAnsi="Arial"/>
          <w:sz w:val="16"/>
          <w:szCs w:val="16"/>
          <w:color w:val="auto"/>
        </w:rPr>
        <w:t>”), and the Shares will be delivered at the office of DTC or its designated custodian (the “</w:t>
      </w:r>
      <w:r>
        <w:rPr>
          <w:rFonts w:ascii="Arial" w:cs="Arial" w:eastAsia="Arial" w:hAnsi="Arial"/>
          <w:sz w:val="16"/>
          <w:szCs w:val="16"/>
          <w:b w:val="1"/>
          <w:bCs w:val="1"/>
          <w:i w:val="1"/>
          <w:iCs w:val="1"/>
          <w:color w:val="auto"/>
        </w:rPr>
        <w:t>Designated Office</w:t>
      </w:r>
      <w:r>
        <w:rPr>
          <w:rFonts w:ascii="Arial" w:cs="Arial" w:eastAsia="Arial" w:hAnsi="Arial"/>
          <w:sz w:val="16"/>
          <w:szCs w:val="16"/>
          <w:color w:val="auto"/>
        </w:rPr>
        <w:t>”), all at such Time of Delivery.</w:t>
      </w:r>
    </w:p>
    <w:p>
      <w:pPr>
        <w:spacing w:after="0" w:line="112" w:lineRule="exact"/>
        <w:rPr>
          <w:rFonts w:ascii="Arial" w:cs="Arial" w:eastAsia="Arial" w:hAnsi="Arial"/>
          <w:sz w:val="16"/>
          <w:szCs w:val="16"/>
          <w:color w:val="auto"/>
        </w:rPr>
      </w:pPr>
    </w:p>
    <w:p>
      <w:pPr>
        <w:ind w:right="20" w:firstLine="921"/>
        <w:spacing w:after="0" w:line="332" w:lineRule="auto"/>
        <w:tabs>
          <w:tab w:leader="none" w:pos="1152" w:val="left"/>
        </w:tabs>
        <w:numPr>
          <w:ilvl w:val="1"/>
          <w:numId w:val="20"/>
        </w:numPr>
        <w:rPr>
          <w:rFonts w:ascii="Arial" w:cs="Arial" w:eastAsia="Arial" w:hAnsi="Arial"/>
          <w:sz w:val="16"/>
          <w:szCs w:val="16"/>
          <w:color w:val="auto"/>
        </w:rPr>
      </w:pPr>
      <w:r>
        <w:rPr>
          <w:rFonts w:ascii="Arial" w:cs="Arial" w:eastAsia="Arial" w:hAnsi="Arial"/>
          <w:sz w:val="16"/>
          <w:szCs w:val="16"/>
          <w:color w:val="auto"/>
        </w:rPr>
        <w:t>For the purposes of this Agreement, “</w:t>
      </w:r>
      <w:r>
        <w:rPr>
          <w:rFonts w:ascii="Arial" w:cs="Arial" w:eastAsia="Arial" w:hAnsi="Arial"/>
          <w:sz w:val="16"/>
          <w:szCs w:val="16"/>
          <w:b w:val="1"/>
          <w:bCs w:val="1"/>
          <w:i w:val="1"/>
          <w:iCs w:val="1"/>
          <w:color w:val="auto"/>
        </w:rPr>
        <w:t>New York Business Day</w:t>
      </w:r>
      <w:r>
        <w:rPr>
          <w:rFonts w:ascii="Arial" w:cs="Arial" w:eastAsia="Arial" w:hAnsi="Arial"/>
          <w:sz w:val="16"/>
          <w:szCs w:val="16"/>
          <w:color w:val="auto"/>
        </w:rPr>
        <w:t>” shall mean each Monday, Tuesday, Wednesday, Thursday and Friday which is not a day on which banking institutions in New York City are generally authorized or obligated by law or executive order to close.</w:t>
      </w:r>
    </w:p>
    <w:p>
      <w:pPr>
        <w:spacing w:after="0" w:line="85" w:lineRule="exact"/>
        <w:rPr>
          <w:rFonts w:ascii="Arial" w:cs="Arial" w:eastAsia="Arial" w:hAnsi="Arial"/>
          <w:sz w:val="16"/>
          <w:szCs w:val="16"/>
          <w:color w:val="auto"/>
        </w:rPr>
      </w:pPr>
    </w:p>
    <w:p>
      <w:pPr>
        <w:ind w:right="60" w:firstLine="464"/>
        <w:spacing w:after="0" w:line="286"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acknowledges and agrees that (a) the purchase and sale of the Shares pursuant to this Agreement is an arm’s-length commercial transaction between the Company and the Underwriter; (b) in connection therewith and with the process leading to such transaction, the Underwriter is acting solely as a principal and not the agent or fiduciary of the Company; (c) the Underwriter has not assumed an advisory or fiduciary responsibility in favor of the Company with respect to the offering contemplated hereby or the process leading thereto (irrespective of whether the Underwriter has advised or is currently advising the Company on other matters) or any other obligation to the Company except the obligations expressly set forth in this Agreement; (d) the Company has consulted its own legal and financial advisors to the extent it deemed appropriate and is capable of evaluating and understanding and understands and accepts the terms, risks and conditions of the transactions contemplated by this Agreement; and (e) the Company has been advised that the Underwriter and its affiliates are engaged in a broad range of transactions which may involve interests that differ from those of the Company and that the Underwriter has no obligation to disclose such interest and transactions to the Company by virtue of any fiduciary, advisory or agency relationship. The Company agrees that it will not claim that the Underwriter has rendered advisory services of any nature or respect, or owes a fiduciary duty, to the Company in connection with such transaction or the process leading thereto.</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This Agreement supersedes all prior agreements and understandings (whether written or oral) between the Company and the Underwriter with respect to the subject matter hereof.</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Each of the Company and the Underwriter hereby irrevocably waives, to the fullest extent permitted by applicable law, any and all right to trial by jury in any legal proceeding arising out of or relating to this Agreement or the transactions contemplated hereby.</w:t>
      </w:r>
    </w:p>
    <w:p>
      <w:pPr>
        <w:spacing w:after="0" w:line="132"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agrees with the Underwriter:</w:t>
      </w:r>
    </w:p>
    <w:p>
      <w:pPr>
        <w:spacing w:after="0" w:line="171" w:lineRule="exact"/>
        <w:rPr>
          <w:rFonts w:ascii="Arial" w:cs="Arial" w:eastAsia="Arial" w:hAnsi="Arial"/>
          <w:sz w:val="18"/>
          <w:szCs w:val="18"/>
          <w:color w:val="auto"/>
        </w:rPr>
      </w:pPr>
    </w:p>
    <w:p>
      <w:pPr>
        <w:ind w:firstLine="921"/>
        <w:spacing w:after="0" w:line="285" w:lineRule="auto"/>
        <w:tabs>
          <w:tab w:leader="none" w:pos="1152" w:val="left"/>
        </w:tabs>
        <w:numPr>
          <w:ilvl w:val="1"/>
          <w:numId w:val="22"/>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Underwriter and to file such Prospectus pursuant to Rule 424(b) under the Securities Act not later than the Commission’s close of business on the second New York Business Day following the execution and delivery of this Agreement, or, if applicable, such earlier time as may be required by Rule 430A(a)(3) under the Securities Act; during the period beginning on the date hereof and ending on the later of the Time of Delivery and the date, as determined in the opinion of counsel for the Underwriter, that the Prospectus is no longer required by law to be delivered (assuming the absence of Rule 172 of the Securities Act) in connection with the sales by an underwriter or a dealer (the “</w:t>
      </w:r>
      <w:r>
        <w:rPr>
          <w:rFonts w:ascii="Arial" w:cs="Arial" w:eastAsia="Arial" w:hAnsi="Arial"/>
          <w:sz w:val="16"/>
          <w:szCs w:val="16"/>
          <w:b w:val="1"/>
          <w:bCs w:val="1"/>
          <w:i w:val="1"/>
          <w:iCs w:val="1"/>
          <w:color w:val="auto"/>
        </w:rPr>
        <w:t>Prospectus Delivery Period</w:t>
      </w:r>
      <w:r>
        <w:rPr>
          <w:rFonts w:ascii="Arial" w:cs="Arial" w:eastAsia="Arial" w:hAnsi="Arial"/>
          <w:sz w:val="16"/>
          <w:szCs w:val="16"/>
          <w:color w:val="auto"/>
        </w:rPr>
        <w:t>”), to furnish to the Underwriter for review a copy of any proposed amendment or supplement to the Registration Statement, the Disclosure Package or the Prospectus; to make no amendment or supplement to the Registration Statement, the Disclosure Package or the Prospectus during the Prospectus Delivery Period to which the Underwriter or its counsel reasonably objects; to advise the Underwriter, promptly after the Company receives notice thereof, of the time when any amendment to the Registration Statement has been filed or becomes effective or any supplement to the Disclosure Package or Prospectus or any amended Prospectus has been filed and to furnish the Underwriter with copies thereof; to file promptly all material required to be filed by the Company with the Commission pursuant to Rule 433(d) under the Securities Act; to advise the Underwriter, promptly after it receives notice or obtains knowledge thereof, of the issuance by the Commission of any stop order or of any order suspending the effectiveness of the Registration Statement or any post-effective amendment thereto or preventing or suspending the use of any Preliminary Prospectus, the Disclosure Package, the Prospectus or any Issuer Free Writing Prospectus, of the suspension of the qualification of the Shares for offering or sale in any jurisdiction, of the initiation or threatening of any proceeding for any such purpose or of any request by the Commission for the amending or supplementing of the Registration Statement, the Disclosure Package or the Prospectus or for additional information; to use its best efforts to prevent and to promptly use its best efforts to obtain the withdrawal of any such order.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7" w:name="page18"/>
    <w:bookmarkEnd w:id="17"/>
    <w:p>
      <w:pPr>
        <w:ind w:right="120" w:firstLine="921"/>
        <w:spacing w:after="0" w:line="287" w:lineRule="auto"/>
        <w:tabs>
          <w:tab w:leader="none" w:pos="1162"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Prospectus Delivery Period, to comply with all requirements imposed upon it by the Securities Act and by the Rules and Regulations and by the Exchange Act so far as necessary to permit the continuance of sales of or dealings in the Shares as contemplated by the provisions of this Agreement, the Disclosure Package and the Prospectus; if, during the Prospectus Delivery Period, any event shall occur or condition shall exist as a result of which the Prospectus (or if the Prospectus is not yet available to prospective purchasers, the Disclosure Package) would include an untrue statement of a material fact or omit to state a material fact necessary to make the statements therein, in the light of the circumstances then existing, not misleading, or if during such period it is necessary to amend the Registration Statement or supplement the Prospectus (or, if the Prospectus is not yet available to prospective purchasers, the Disclosure Package) to comply with the Securities Act or to file under the Exchange Act any document which would be deemed to be incorporated by reference in the Prospectus in order to comply with the Securities Act or the Exchange Act, to promptly notify the Underwriter and to amend the Registration Statement or supplement the Prospectus (or, if the Prospectus is not yet available to prospective purchasers, the Disclosure Package) or file such document (at the expense of the Company) so as to correct such statement or omission or effect such compliance;</w:t>
      </w:r>
    </w:p>
    <w:p>
      <w:pPr>
        <w:spacing w:after="0" w:line="122" w:lineRule="exact"/>
        <w:rPr>
          <w:rFonts w:ascii="Arial" w:cs="Arial" w:eastAsia="Arial" w:hAnsi="Arial"/>
          <w:sz w:val="16"/>
          <w:szCs w:val="16"/>
          <w:color w:val="auto"/>
        </w:rPr>
      </w:pPr>
    </w:p>
    <w:p>
      <w:pPr>
        <w:ind w:firstLine="921"/>
        <w:spacing w:after="0" w:line="255"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Promptly from time to time to take such action as the Underwriter may reasonably request to qualify the Shares for offering and sale under the securities laws of such jurisdictions as the Underwriter may reasonably request and to comply with such laws so as to permit the continuance of sales and dealings therein in such jurisdictions for as long as may be necessary to complete the distribution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therewith the Company shall not be required to qualify as a foreign corporation or to file a general consent to service of process in any jurisdiction or to subject itself to taxation in any such jurisdiction in which it was not otherwise subject to taxation;</w:t>
      </w:r>
    </w:p>
    <w:p>
      <w:pPr>
        <w:spacing w:after="0" w:line="142" w:lineRule="exact"/>
        <w:rPr>
          <w:rFonts w:ascii="Arial" w:cs="Arial" w:eastAsia="Arial" w:hAnsi="Arial"/>
          <w:sz w:val="18"/>
          <w:szCs w:val="18"/>
          <w:color w:val="auto"/>
        </w:rPr>
      </w:pPr>
    </w:p>
    <w:p>
      <w:pPr>
        <w:ind w:right="80" w:firstLine="921"/>
        <w:spacing w:after="0" w:line="298" w:lineRule="auto"/>
        <w:tabs>
          <w:tab w:leader="none" w:pos="11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furnish, at its own expense, to the Underwriter and counsel for the Underwriter copies of the Registration Statement (which will include three complete manually signed copies of the Registration Statement and all consents and exhibits filed therewith), and to the Underwriter and any dealer the Disclosure Package, the Prospectus, any Issuer Free Writing Prospectus and all amendments and supplements to such documents, in each case as soon as available and in such quantities as the Underwriter may from time to time reasonably request;</w:t>
      </w:r>
    </w:p>
    <w:p>
      <w:pPr>
        <w:spacing w:after="0" w:line="112" w:lineRule="exact"/>
        <w:rPr>
          <w:rFonts w:ascii="Arial" w:cs="Arial" w:eastAsia="Arial" w:hAnsi="Arial"/>
          <w:sz w:val="16"/>
          <w:szCs w:val="16"/>
          <w:color w:val="auto"/>
        </w:rPr>
      </w:pPr>
    </w:p>
    <w:p>
      <w:pPr>
        <w:ind w:right="20" w:firstLine="921"/>
        <w:spacing w:after="0" w:line="306" w:lineRule="auto"/>
        <w:tabs>
          <w:tab w:leader="none" w:pos="11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make generally available to its securityholders as soon as practicable, but in any event not later than eighteen months after the effective date of the Registration Statement (as defined in Rule 158(c) under the Act), an earning statement of the Company and its Subsidiaries (which need not be audited) complying with Section 11(a) of the Securities Act and the Rules and Regulations (including, at the option of the Company, Rule 158);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ind w:left="-80" w:firstLine="921"/>
        <w:spacing w:after="0" w:line="287" w:lineRule="auto"/>
        <w:tabs>
          <w:tab w:leader="none" w:pos="1052"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period beginning from the date hereof and continuing to and including the date 90 days after the date of the Prospectus (the “</w:t>
      </w:r>
      <w:r>
        <w:rPr>
          <w:rFonts w:ascii="Arial" w:cs="Arial" w:eastAsia="Arial" w:hAnsi="Arial"/>
          <w:sz w:val="16"/>
          <w:szCs w:val="16"/>
          <w:b w:val="1"/>
          <w:bCs w:val="1"/>
          <w:i w:val="1"/>
          <w:i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not to offer, sell, contract to sell or otherwise dispose of, except as provided hereunder, any securities of the Company, including but not limited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securities that are convertible into or exchangeable for, or that represent the right to receive, shares of Common Stock or any such substantially similar securities (other than pursuant to employee stock option plans existing on, or upon the conversion or exchange of convertible or exchangeable securities outstanding as of, the date of this Agreement), without the Underwriter’s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 during the last 17 days of the Lock-Up Period, the Company releases earnings results or announces material news or a material event, or (ii) prior to the expiration of the Lock-Up Period, the Company announces that it will release earnings results during the 15-day period following the last day of the Lock-Up Period, then, in each case, the Lock-Up Period will be automatically extended until the expiration of the 18-day period beginning on the date of release of the earnings results or the announcement of the material news or material event, as applicable, unless the Underwriter waives, in writing, such extension; the Company will provide the Underwriter with prior notice of any such announcement that gives rise to an extension of the Lock-Up Period;</w:t>
      </w:r>
    </w:p>
    <w:p>
      <w:pPr>
        <w:spacing w:after="0" w:line="122" w:lineRule="exact"/>
        <w:rPr>
          <w:rFonts w:ascii="Arial" w:cs="Arial" w:eastAsia="Arial" w:hAnsi="Arial"/>
          <w:sz w:val="16"/>
          <w:szCs w:val="16"/>
          <w:color w:val="auto"/>
        </w:rPr>
      </w:pPr>
    </w:p>
    <w:p>
      <w:pPr>
        <w:ind w:left="-80" w:right="260" w:firstLine="921"/>
        <w:spacing w:after="0" w:line="268" w:lineRule="auto"/>
        <w:tabs>
          <w:tab w:leader="none" w:pos="10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issue stop transfer instructions to the transfer agent for the Common Stock with respect to any transaction or contemplated transaction that would constitute a breach of or default under the agreements required by Section 9(j);</w:t>
      </w:r>
    </w:p>
    <w:p>
      <w:pPr>
        <w:spacing w:after="0" w:line="131" w:lineRule="exact"/>
        <w:rPr>
          <w:rFonts w:ascii="Arial" w:cs="Arial" w:eastAsia="Arial" w:hAnsi="Arial"/>
          <w:sz w:val="18"/>
          <w:szCs w:val="18"/>
          <w:color w:val="auto"/>
        </w:rPr>
      </w:pPr>
    </w:p>
    <w:p>
      <w:pPr>
        <w:ind w:left="-80" w:right="20" w:firstLine="921"/>
        <w:spacing w:after="0" w:line="254" w:lineRule="auto"/>
        <w:tabs>
          <w:tab w:leader="none" w:pos="10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a period of three years from the effective date of the Registration Statement, unless otherwise publicly available in electronic format on the website of the Company or the Commission,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w:t>
      </w:r>
    </w:p>
    <w:p>
      <w:pPr>
        <w:spacing w:after="0" w:line="144" w:lineRule="exact"/>
        <w:rPr>
          <w:rFonts w:ascii="Arial" w:cs="Arial" w:eastAsia="Arial" w:hAnsi="Arial"/>
          <w:sz w:val="18"/>
          <w:szCs w:val="18"/>
          <w:color w:val="auto"/>
        </w:rPr>
      </w:pPr>
    </w:p>
    <w:p>
      <w:pPr>
        <w:ind w:left="-80" w:right="20" w:firstLine="921"/>
        <w:spacing w:after="0" w:line="289" w:lineRule="auto"/>
        <w:tabs>
          <w:tab w:leader="none" w:pos="10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During a period of three years from the effective date of the Registration Statement, unless otherwise publicly available in electronic format on the website of the Company or the Commission, to furnish to the Underwriter copies of all reports or other communications (financial or other) furnished to stockholders, and to deliver to the Underwriter (i) as soon as they are available, copies of any reports and financial statements furnished to or filed with the Commission, FINRA or any national securities exchange on which any class of securities of the Company is listed; and (ii) such additional information concerning the business and financial condition of the Company as the Underwriter may from time to time reasonably request (such financial statements to be on a consolidated basis to the extent the accounts of the Company and its Subsidiaries are consolidated in reports furnished to its stockholders generally or to the Commission);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provide documents the provision of which would require public disclosure by the Company under Regulation FD;</w:t>
      </w:r>
    </w:p>
    <w:p>
      <w:pPr>
        <w:spacing w:after="0" w:line="118" w:lineRule="exact"/>
        <w:rPr>
          <w:rFonts w:ascii="Arial" w:cs="Arial" w:eastAsia="Arial" w:hAnsi="Arial"/>
          <w:sz w:val="16"/>
          <w:szCs w:val="16"/>
          <w:color w:val="auto"/>
        </w:rPr>
      </w:pPr>
    </w:p>
    <w:p>
      <w:pPr>
        <w:ind w:left="-80" w:right="80" w:firstLine="921"/>
        <w:spacing w:after="0" w:line="268" w:lineRule="auto"/>
        <w:tabs>
          <w:tab w:leader="none" w:pos="10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Prospectus under the caption “Use of Proceeds”;</w:t>
      </w:r>
    </w:p>
    <w:p>
      <w:pPr>
        <w:spacing w:after="0" w:line="131" w:lineRule="exact"/>
        <w:rPr>
          <w:rFonts w:ascii="Arial" w:cs="Arial" w:eastAsia="Arial" w:hAnsi="Arial"/>
          <w:sz w:val="18"/>
          <w:szCs w:val="18"/>
          <w:color w:val="auto"/>
        </w:rPr>
      </w:pPr>
    </w:p>
    <w:p>
      <w:pPr>
        <w:jc w:val="both"/>
        <w:ind w:left="-80" w:right="20" w:firstLine="921"/>
        <w:spacing w:after="0" w:line="256" w:lineRule="auto"/>
        <w:tabs>
          <w:tab w:leader="none" w:pos="10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to take, directly or indirectly, any action designed to or which might reasonably be expected to cause or result in, or which has constituted, the stabilization or manipulation of the price of any security of the Company to facilitate the sale or resale of the Shares, and not to effect any sales of Common Stock which are required to be disclosed in response to Item 701 of Regulation S-K under the Securities Act which have not been so disclosed in the Registration Statement;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320" w:top="280" w:right="299" w:bottom="1440" w:gutter="0" w:footer="0" w:header="0"/>
        </w:sectPr>
      </w:pPr>
    </w:p>
    <w:bookmarkStart w:id="19" w:name="page20"/>
    <w:bookmarkEnd w:id="19"/>
    <w:p>
      <w:pPr>
        <w:ind w:right="60" w:firstLine="921"/>
        <w:spacing w:after="0" w:line="268" w:lineRule="auto"/>
        <w:tabs>
          <w:tab w:leader="none" w:pos="1123" w:val="left"/>
        </w:tabs>
        <w:numPr>
          <w:ilvl w:val="2"/>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as contemplated by this Agreement, not to incur any liability for any finder’s or broker’s fee or agent’s commission in connection with the execution and delivery of this Agreement or the consummation of the transactions contemplated hereby;</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2"/>
          <w:numId w:val="25"/>
        </w:numPr>
        <w:rPr>
          <w:rFonts w:ascii="Arial" w:cs="Arial" w:eastAsia="Arial" w:hAnsi="Arial"/>
          <w:sz w:val="16"/>
          <w:szCs w:val="16"/>
          <w:color w:val="auto"/>
        </w:rPr>
      </w:pPr>
      <w:r>
        <w:rPr>
          <w:rFonts w:ascii="Arial" w:cs="Arial" w:eastAsia="Arial" w:hAnsi="Arial"/>
          <w:sz w:val="16"/>
          <w:szCs w:val="16"/>
          <w:color w:val="auto"/>
        </w:rPr>
        <w:t>During the Prospectus Delivery Period, to file with the Commission such periodic and special reports as required by the Rules and Regulations;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64" w:lineRule="exact"/>
        <w:rPr>
          <w:rFonts w:ascii="Arial" w:cs="Arial" w:eastAsia="Arial" w:hAnsi="Arial"/>
          <w:sz w:val="16"/>
          <w:szCs w:val="16"/>
          <w:color w:val="auto"/>
        </w:rPr>
      </w:pPr>
    </w:p>
    <w:p>
      <w:pPr>
        <w:ind w:right="200" w:firstLine="921"/>
        <w:spacing w:after="0" w:line="256" w:lineRule="auto"/>
        <w:tabs>
          <w:tab w:leader="none" w:pos="1162" w:val="left"/>
        </w:tabs>
        <w:numPr>
          <w:ilvl w:val="2"/>
          <w:numId w:val="25"/>
        </w:numPr>
        <w:rPr>
          <w:rFonts w:ascii="Arial" w:cs="Arial" w:eastAsia="Arial" w:hAnsi="Arial"/>
          <w:sz w:val="18"/>
          <w:szCs w:val="18"/>
          <w:color w:val="auto"/>
        </w:rPr>
      </w:pPr>
      <w:r>
        <w:rPr>
          <w:rFonts w:ascii="Arial" w:cs="Arial" w:eastAsia="Arial" w:hAnsi="Arial"/>
          <w:sz w:val="18"/>
          <w:szCs w:val="18"/>
          <w:color w:val="auto"/>
        </w:rPr>
        <w:t>Upon request of the Underwriter, to furnish, or cause to be furnished, to the Underwriter an electronic version of the Company’s trademarks, servicemarks and corporate logo for use on the website, if any, operated by the Underwriter for the purpose of facilitating the on-line offering of the Shares (the “</w:t>
      </w:r>
      <w:r>
        <w:rPr>
          <w:rFonts w:ascii="Arial" w:cs="Arial" w:eastAsia="Arial" w:hAnsi="Arial"/>
          <w:sz w:val="18"/>
          <w:szCs w:val="18"/>
          <w:b w:val="1"/>
          <w:bCs w:val="1"/>
          <w:i w:val="1"/>
          <w:iCs w:val="1"/>
          <w:color w:val="auto"/>
        </w:rPr>
        <w:t>License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143" w:lineRule="exact"/>
        <w:rPr>
          <w:rFonts w:ascii="Arial" w:cs="Arial" w:eastAsia="Arial" w:hAnsi="Arial"/>
          <w:sz w:val="18"/>
          <w:szCs w:val="18"/>
          <w:color w:val="auto"/>
        </w:rPr>
      </w:pPr>
    </w:p>
    <w:p>
      <w:pPr>
        <w:ind w:right="180" w:firstLine="464"/>
        <w:spacing w:after="0" w:line="298" w:lineRule="auto"/>
        <w:tabs>
          <w:tab w:leader="none" w:pos="632"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(a) The Company represents and agrees that, without the prior consent of the Underwriter, it has not made and will not make any offer relating to the Shares that would constitute a “free writing prospectus” as defined in Rule 405 under the Securities Act; the Underwriter represents and agrees that, without the prior consent of the Company, it has not made and will not make any offer relating to the Shares that would constitute a free writing prospectus; any such free writing prospectus the use of which has been consented to by the Company and the Underwriter is listed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112" w:lineRule="exact"/>
        <w:rPr>
          <w:rFonts w:ascii="Arial" w:cs="Arial" w:eastAsia="Arial" w:hAnsi="Arial"/>
          <w:sz w:val="16"/>
          <w:szCs w:val="16"/>
          <w:color w:val="auto"/>
        </w:rPr>
      </w:pPr>
    </w:p>
    <w:p>
      <w:pPr>
        <w:jc w:val="both"/>
        <w:ind w:right="200" w:firstLine="921"/>
        <w:spacing w:after="0" w:line="256" w:lineRule="auto"/>
        <w:tabs>
          <w:tab w:leader="none" w:pos="1162"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Securities Act applicable to any Issuer Free Writing Prospectus, including, without limitation, timely filing with the Commission or retention where required and legending; and the Company represents that it has satisfied and agrees that it will satisfy the conditions under Rule 433 under the Securities Act to avoid a requirement to file with the Commission any electronic road show.</w:t>
      </w:r>
    </w:p>
    <w:p>
      <w:pPr>
        <w:spacing w:after="0" w:line="143" w:lineRule="exact"/>
        <w:rPr>
          <w:rFonts w:ascii="Arial" w:cs="Arial" w:eastAsia="Arial" w:hAnsi="Arial"/>
          <w:sz w:val="18"/>
          <w:szCs w:val="18"/>
          <w:color w:val="auto"/>
        </w:rPr>
      </w:pPr>
    </w:p>
    <w:p>
      <w:pPr>
        <w:ind w:right="40" w:firstLine="921"/>
        <w:spacing w:after="0" w:line="294" w:lineRule="auto"/>
        <w:tabs>
          <w:tab w:leader="none" w:pos="1152" w:val="left"/>
        </w:tabs>
        <w:numPr>
          <w:ilvl w:val="2"/>
          <w:numId w:val="26"/>
        </w:numPr>
        <w:rPr>
          <w:rFonts w:ascii="Arial" w:cs="Arial" w:eastAsia="Arial" w:hAnsi="Arial"/>
          <w:sz w:val="16"/>
          <w:szCs w:val="16"/>
          <w:color w:val="auto"/>
        </w:rPr>
      </w:pPr>
      <w:r>
        <w:rPr>
          <w:rFonts w:ascii="Arial" w:cs="Arial" w:eastAsia="Arial" w:hAnsi="Arial"/>
          <w:sz w:val="16"/>
          <w:szCs w:val="16"/>
          <w:color w:val="auto"/>
        </w:rPr>
        <w:t>The Company agrees that if at any time following issuance of an Issuer Free Writing Prospectus any event occurred or occurs as a result of which such Issuer Free Writing Prospectus would conflict with the information in the Registration Statement, the Disclosure Package or the Prospectus or would include an untrue statement of a material fact or omit to state any material fact necessary in order to make the statements therein, in the light of the circumstances then prevailing, not misleading, the Company will give prompt notice thereof to the Underwriter and, if requested by the Underwriter, will prepare and furnish without charge to the Underwriter an Issuer Free Writing Prospectus or other document which will correct such conflict, statement or omission.</w:t>
      </w:r>
    </w:p>
    <w:p>
      <w:pPr>
        <w:spacing w:after="0" w:line="115" w:lineRule="exact"/>
        <w:rPr>
          <w:rFonts w:ascii="Arial" w:cs="Arial" w:eastAsia="Arial" w:hAnsi="Arial"/>
          <w:sz w:val="16"/>
          <w:szCs w:val="16"/>
          <w:color w:val="auto"/>
        </w:rPr>
      </w:pPr>
    </w:p>
    <w:p>
      <w:pPr>
        <w:ind w:right="100" w:firstLine="464"/>
        <w:spacing w:after="0" w:line="301" w:lineRule="auto"/>
        <w:tabs>
          <w:tab w:leader="none" w:pos="632"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Company covenants and agrees with the Underwriter that the Company will pay or cause to be paid the following, whether or not the transactions contemplated hereunder are consummated or this Agreement is prevented from becoming effective or is terminated: (a) all expenses (including, without limitation, transfer taxes allocated to the respective transferees) in connection with the delivery to the Underwriter of the Shares; (b) all expenses (including, without limitation, the fees, disbursements and expenses of the Company’s counsel and accountants) in connection with the preparation, printing, reproduction, filing, delivery and shipping of the Registration Statement, any Issuer Free Writing Prospectus, the Disclosure Package and the Prospectus, and amendments and supplements thereto, and the mailing and delivery of copies thereof to the Underwriter and dealers; (c) the cost of printing or producing, delivery and shipping of this Agreement, the Blue Sky Memorandum, closing documents (including, without limitation, any compilations thereof) and any other documents in connection with the offering, purchase, sale and delivery of the Shares; (d) all expenses in connection with the qualification of the Shares for offering and sale under state securities laws as provided in Section 6(c) hereof, including, without limitation, the fees and disbursements of counsel for the Underwriter in connection with such qualification and in connection with the Blue Sky survey; (e) all fees and expenses in connection with listing the Shares on the NASDAQ Global Market;</w:t>
      </w:r>
    </w:p>
    <w:p>
      <w:pPr>
        <w:spacing w:after="0" w:line="3" w:lineRule="exact"/>
        <w:rPr>
          <w:rFonts w:ascii="Arial" w:cs="Arial" w:eastAsia="Arial" w:hAnsi="Arial"/>
          <w:sz w:val="15"/>
          <w:szCs w:val="15"/>
          <w:color w:val="auto"/>
        </w:rPr>
      </w:pPr>
    </w:p>
    <w:p>
      <w:pPr>
        <w:ind w:firstLine="8"/>
        <w:spacing w:after="0" w:line="290" w:lineRule="auto"/>
        <w:tabs>
          <w:tab w:leader="none" w:pos="21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filing fees incident to, and the fees and disbursements of counsel for the Underwriter in connection with, securing any required review by the FINRA of the terms of the sale of the Shares; (g) the cost of preparing stock certificates; (h) the cost and charges of any transfer agent or registrar; (i) costs and expenses of the Company relating to investor presentations or any “roadshow” undertaken in connection with the marketing of the Shares; (j) all other costs and expenses incident to the performance of the Company’s obligations hereunder which are not otherwise specifically provided for in this Section 8; and (k) all other costs and expenses of the Underwriter (including, without limitation, fees and disbursements of counsel) incident to the performance of the Underwriter’s obligations hereunder which are not otherwise specifically provided for in this Section 8, in an amount not to exceed $125,000 in the aggregate.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0" w:name="page21"/>
    <w:bookmarkEnd w:id="20"/>
    <w:p>
      <w:pPr>
        <w:ind w:left="-20" w:firstLine="464"/>
        <w:spacing w:after="0" w:line="255" w:lineRule="auto"/>
        <w:tabs>
          <w:tab w:leader="none" w:pos="612"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of the Underwriter hereunder, as to the Shares to be delivered at the Time of Delivery, shall be subject, in the Underwriter’s discretion, to the condition that all representations and warranties and other statements of the Company herein are, at and as of such Time of Delivery, true and correct, in all material respects (except for those representations and warranties that are qualified by materiality, in which case such representations and warranties shall be true and correct in all respects) the condition that the Company shall have performed all of its obligations hereunder theretofore to be performed, and the following additional conditions:</w:t>
      </w:r>
    </w:p>
    <w:p>
      <w:pPr>
        <w:spacing w:after="0" w:line="142" w:lineRule="exact"/>
        <w:rPr>
          <w:rFonts w:ascii="Arial" w:cs="Arial" w:eastAsia="Arial" w:hAnsi="Arial"/>
          <w:sz w:val="18"/>
          <w:szCs w:val="18"/>
          <w:color w:val="auto"/>
        </w:rPr>
      </w:pPr>
    </w:p>
    <w:p>
      <w:pPr>
        <w:ind w:left="-20" w:right="40" w:firstLine="921"/>
        <w:spacing w:after="0" w:line="253" w:lineRule="auto"/>
        <w:tabs>
          <w:tab w:leader="none" w:pos="11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filing of the Prospectus, or any amendment or supplement thereto, or any Issuer Free Writing Prospectus, is required under the Securities Act or the Rules and Regulations, the Company shall have filed the Prospectus (or such amendment or supplement) or such Issuer Free Writing Prospectus with the Commission in the manner and within the time period so required (without reliance on Rule 424(b)(8) or Rule 164(b)); the Registration Statement shall remain effective; no stop order suspending the effectiveness of the Registration Statement or any part thereof or any amendment thereto shall have been issued and no proceeding for that purpose shall have been initiated or threatened by the Commission; no stop order suspending or preventing the use of the Disclosure Package, the Prospectus or any Issuer Free Writing Prospectus shall have been issued and no proceeding for that purpose shall have been initiated or threatened by the Commission; and all requests for additional information on the part of the Commission shall have been complied with to the Underwriter’s reasonable satisfaction;</w:t>
      </w:r>
    </w:p>
    <w:p>
      <w:pPr>
        <w:spacing w:after="0" w:line="145" w:lineRule="exact"/>
        <w:rPr>
          <w:rFonts w:ascii="Arial" w:cs="Arial" w:eastAsia="Arial" w:hAnsi="Arial"/>
          <w:sz w:val="18"/>
          <w:szCs w:val="18"/>
          <w:color w:val="auto"/>
        </w:rPr>
      </w:pPr>
    </w:p>
    <w:p>
      <w:pPr>
        <w:ind w:left="-20" w:right="80" w:firstLine="921"/>
        <w:spacing w:after="0" w:line="291" w:lineRule="auto"/>
        <w:tabs>
          <w:tab w:leader="none" w:pos="1142"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Underwriter shall not have advised the Company that (i) the Registration Statement or any amendment thereof or supplement thereto contains an untrue statement of a material fact which, in the opinion of the Underwriter, is material or omits to state a material fact which, in the opinion of the Underwriter, is required to be stated therein or necessary to make the statements therein not misleading; or (ii) the Disclosure Package or the Prospectus, or any amendment thereof or supplement thereto, or any Issuer Free Writing Prospectus contains an untrue statement of fact which, in the opinion of the Underwriter, is material, or omits to state a fact which, in the opinion of the Underwriter, is material and is required to be stated therein, or necessary to make the statements therein, in light of the circumstances under which they are made, not misleading;</w:t>
      </w:r>
    </w:p>
    <w:p>
      <w:pPr>
        <w:spacing w:after="0" w:line="120" w:lineRule="exact"/>
        <w:rPr>
          <w:rFonts w:ascii="Arial" w:cs="Arial" w:eastAsia="Arial" w:hAnsi="Arial"/>
          <w:sz w:val="16"/>
          <w:szCs w:val="16"/>
          <w:color w:val="auto"/>
        </w:rPr>
      </w:pPr>
    </w:p>
    <w:p>
      <w:pPr>
        <w:ind w:left="-20" w:right="60" w:firstLine="921"/>
        <w:spacing w:after="0" w:line="335" w:lineRule="auto"/>
        <w:tabs>
          <w:tab w:leader="none" w:pos="1132" w:val="left"/>
        </w:tabs>
        <w:numPr>
          <w:ilvl w:val="1"/>
          <w:numId w:val="28"/>
        </w:numPr>
        <w:rPr>
          <w:rFonts w:ascii="Arial" w:cs="Arial" w:eastAsia="Arial" w:hAnsi="Arial"/>
          <w:sz w:val="15"/>
          <w:szCs w:val="15"/>
          <w:color w:val="auto"/>
        </w:rPr>
      </w:pPr>
      <w:r>
        <w:rPr>
          <w:rFonts w:ascii="Arial" w:cs="Arial" w:eastAsia="Arial" w:hAnsi="Arial"/>
          <w:sz w:val="15"/>
          <w:szCs w:val="15"/>
          <w:color w:val="auto"/>
        </w:rPr>
        <w:t>Goodwin Procter LLP, counsel for the Underwriter, shall have furnished to the Underwriter an opinion and written statement, dated the Time of Delivery, with respect to the validity of the Shares, the Registration Statement, the Disclosure Package, the Prospectus and other related matters as the Underwriter reasonably may request, and such counsel shall have received such papers and information as they request to enable them to pass upon such matters;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80" w:right="259" w:bottom="1440" w:gutter="0" w:footer="0" w:header="0"/>
        </w:sectPr>
      </w:pPr>
    </w:p>
    <w:bookmarkStart w:id="21" w:name="page22"/>
    <w:bookmarkEnd w:id="21"/>
    <w:p>
      <w:pPr>
        <w:ind w:left="-60" w:right="120" w:firstLine="921"/>
        <w:spacing w:after="0" w:line="268" w:lineRule="auto"/>
        <w:tabs>
          <w:tab w:leader="none" w:pos="1102"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Wilson Sonsini Goodrich &amp; Rosati, Professional Corporation, counsel for the Company, shall have furnished to the Underwriter an opinion and written statement, dated the Time of Delivery,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60" w:right="100" w:firstLine="921"/>
        <w:spacing w:after="0" w:line="256" w:lineRule="auto"/>
        <w:tabs>
          <w:tab w:leader="none" w:pos="10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the date of this Agreement and at the Time of Delivery, Ernst &amp; Young LLP shall have furnished to the Underwriter a letter or letters, dated the respective dates of delivery thereof, in form and substance satisfactory to the Underwriter, containing statements and information of the type ordinarily included in accountants’ “comfort letters” to underwriters with respect to the financial statements and certain financial information contained or incorporated by reference in the Registration Statement, the Disclosure Package and the Prospectus;</w:t>
      </w:r>
    </w:p>
    <w:p>
      <w:pPr>
        <w:spacing w:after="0" w:line="143" w:lineRule="exact"/>
        <w:rPr>
          <w:rFonts w:ascii="Arial" w:cs="Arial" w:eastAsia="Arial" w:hAnsi="Arial"/>
          <w:sz w:val="18"/>
          <w:szCs w:val="18"/>
          <w:color w:val="auto"/>
        </w:rPr>
      </w:pPr>
    </w:p>
    <w:p>
      <w:pPr>
        <w:ind w:left="-60" w:firstLine="921"/>
        <w:spacing w:after="0" w:line="285" w:lineRule="auto"/>
        <w:tabs>
          <w:tab w:leader="none" w:pos="10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 (ii) since the respective dates as of which information is given in the Disclosure Package, the Company shall not have incurred any material liabilities or obligations, direct or contingent, entered into any material transactions or declared or paid any dividends or made any distribution of any kind with respect to its capital stock; there shall not have been any change in the capital stock or short-term or long-term debt of the Company or any of its Subsidiaries; there shall not have been any issuance of options, warrants, convertible securities or other rights to purchase capital stock of the Company (in each case, other than as a result of the grant or exercise of stock options, the offer to sell shares of stock and award shares of restricted stock or performance shares/performance units under the Company’s existing equity incentive plans or the repurchase of shares of capital stock pursuant to agreements providing for an option to repurchase or a right of first refusal on behalf of the Company); and there shall not have been any change in or affecting the business, prospects, operations, assets, condition (financial or otherwise) or results of operations of the Company and its consolidated subsidiaries, otherwise than as set forth or contemplated in the Disclosure Package and the Prospectus, the effect of which, in any such case described in clause (i) or (ii), is in the judgment of the Underwriter so material and adverse as to make it impracticable or inadvisable to proceed with the public offering or the delivery of the Shares being delivered at the Time of Delivery on the terms and in the manner contemplated in the Disclosure Package and the Prospectus;</w:t>
      </w:r>
    </w:p>
    <w:p>
      <w:pPr>
        <w:spacing w:after="0" w:line="128" w:lineRule="exact"/>
        <w:rPr>
          <w:rFonts w:ascii="Arial" w:cs="Arial" w:eastAsia="Arial" w:hAnsi="Arial"/>
          <w:sz w:val="16"/>
          <w:szCs w:val="16"/>
          <w:color w:val="auto"/>
        </w:rPr>
      </w:pPr>
    </w:p>
    <w:p>
      <w:pPr>
        <w:ind w:left="-60" w:firstLine="921"/>
        <w:spacing w:after="0" w:line="289" w:lineRule="auto"/>
        <w:tabs>
          <w:tab w:leader="none" w:pos="1102"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New York Stock Exchange, the NASDAQ Global Select Market, the NASDAQ Global Market, the NASDAQ Capital Market or the NYSE Amex; (ii) a suspension or material limitation in trading in the Company’s securities on the NASDAQ Global Market;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the Time of Delivery on the terms and in the manner contemplated in the Disclosure Package or the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00" w:top="280" w:right="299" w:bottom="1440" w:gutter="0" w:footer="0" w:header="0"/>
        </w:sectPr>
      </w:pPr>
    </w:p>
    <w:bookmarkStart w:id="22" w:name="page23"/>
    <w:bookmarkEnd w:id="22"/>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to be sold at the Time of Delivery shall have been duly listed for quotation on the NASDAQ Global Market;</w:t>
      </w:r>
    </w:p>
    <w:p>
      <w:pPr>
        <w:spacing w:after="0" w:line="171" w:lineRule="exact"/>
        <w:rPr>
          <w:rFonts w:ascii="Arial" w:cs="Arial" w:eastAsia="Arial" w:hAnsi="Arial"/>
          <w:sz w:val="18"/>
          <w:szCs w:val="18"/>
          <w:color w:val="auto"/>
        </w:rPr>
      </w:pPr>
    </w:p>
    <w:p>
      <w:pPr>
        <w:ind w:right="800" w:firstLine="921"/>
        <w:spacing w:after="0" w:line="268" w:lineRule="auto"/>
        <w:tabs>
          <w:tab w:leader="none" w:pos="11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Underwriter shall not have received any unresolved objection from FINRA as to the fairness and reasonableness of the amount of compensation allowable or payable to the Underwriter in connection with the issuance and sale of the Shares;</w:t>
      </w:r>
    </w:p>
    <w:p>
      <w:pPr>
        <w:spacing w:after="0" w:line="131" w:lineRule="exact"/>
        <w:rPr>
          <w:rFonts w:ascii="Arial" w:cs="Arial" w:eastAsia="Arial" w:hAnsi="Arial"/>
          <w:sz w:val="18"/>
          <w:szCs w:val="18"/>
          <w:color w:val="auto"/>
        </w:rPr>
      </w:pPr>
    </w:p>
    <w:p>
      <w:pPr>
        <w:ind w:right="300" w:firstLine="921"/>
        <w:spacing w:after="0" w:line="268" w:lineRule="auto"/>
        <w:tabs>
          <w:tab w:leader="none" w:pos="11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Company has obtained and delivered to the Underwriter executed copies of an agreement from the executive officers and directors of the Company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hereto, substantially to the effect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right="30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6(d) hereof with respect to the furnishing of prospectuses on the New York Business Day next succeeding the date of this Agreement;</w:t>
      </w:r>
    </w:p>
    <w:p>
      <w:pPr>
        <w:spacing w:after="0" w:line="131" w:lineRule="exact"/>
        <w:rPr>
          <w:rFonts w:ascii="Arial" w:cs="Arial" w:eastAsia="Arial" w:hAnsi="Arial"/>
          <w:sz w:val="18"/>
          <w:szCs w:val="18"/>
          <w:color w:val="auto"/>
        </w:rPr>
      </w:pPr>
    </w:p>
    <w:p>
      <w:pPr>
        <w:ind w:right="60" w:firstLine="921"/>
        <w:spacing w:after="0" w:line="294" w:lineRule="auto"/>
        <w:tabs>
          <w:tab w:leader="none" w:pos="112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Underwriter at the Time of Delivery certificates of the chief executive officer and the chief financial officer of the Company satisfactory to the Underwriter as to the accuracy of the representations and warranties of the Company herein at and as of such Time of Delivery, as to the performance by the Company of all of its respective obligations hereunder to be performed at or prior to such Time of Delivery, and as to such other matters as the Underwriter may reasonably request, and the Company shall have furnished or caused to be furnished certificates as to the matters set forth in subsections (a) and (i) of this Section;</w:t>
      </w:r>
    </w:p>
    <w:p>
      <w:pPr>
        <w:spacing w:after="0" w:line="115" w:lineRule="exact"/>
        <w:rPr>
          <w:rFonts w:ascii="Arial" w:cs="Arial" w:eastAsia="Arial" w:hAnsi="Arial"/>
          <w:sz w:val="16"/>
          <w:szCs w:val="16"/>
          <w:color w:val="auto"/>
        </w:rPr>
      </w:pPr>
    </w:p>
    <w:p>
      <w:pPr>
        <w:ind w:left="1220" w:hanging="299"/>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Underwriter shall have received at the Time of Delivery a certificate of the Secretary of the Company;</w:t>
      </w:r>
    </w:p>
    <w:p>
      <w:pPr>
        <w:spacing w:after="0" w:line="171" w:lineRule="exact"/>
        <w:rPr>
          <w:rFonts w:ascii="Arial" w:cs="Arial" w:eastAsia="Arial" w:hAnsi="Arial"/>
          <w:sz w:val="18"/>
          <w:szCs w:val="18"/>
          <w:color w:val="auto"/>
        </w:rPr>
      </w:pPr>
    </w:p>
    <w:p>
      <w:pPr>
        <w:ind w:right="40" w:firstLine="921"/>
        <w:spacing w:after="0" w:line="268"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Underwriter shall have received at the Time of Delivery a certificate of the Chief Financial Officer of the Company in the form agreed to by the Company and the Underwriter; and</w:t>
      </w:r>
    </w:p>
    <w:p>
      <w:pPr>
        <w:spacing w:after="0" w:line="131" w:lineRule="exact"/>
        <w:rPr>
          <w:rFonts w:ascii="Arial" w:cs="Arial" w:eastAsia="Arial" w:hAnsi="Arial"/>
          <w:sz w:val="18"/>
          <w:szCs w:val="18"/>
          <w:color w:val="auto"/>
        </w:rPr>
      </w:pPr>
    </w:p>
    <w:p>
      <w:pPr>
        <w:jc w:val="both"/>
        <w:ind w:right="580" w:firstLine="921"/>
        <w:spacing w:after="0" w:line="259" w:lineRule="auto"/>
        <w:tabs>
          <w:tab w:leader="none" w:pos="11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furnished to the Underwriter such additional documents, certificates and evidence as the Underwriter may have reasonably requested to evidence the accuracy of any of the representations or warranties, or the fulfillment of any of the conditions, herein contained, or otherwise in connection with the offering of the Shares contemplated hereby.</w:t>
      </w:r>
    </w:p>
    <w:p>
      <w:pPr>
        <w:spacing w:after="0" w:line="140" w:lineRule="exact"/>
        <w:rPr>
          <w:sz w:val="20"/>
          <w:szCs w:val="20"/>
          <w:color w:val="auto"/>
        </w:rPr>
      </w:pPr>
    </w:p>
    <w:p>
      <w:pPr>
        <w:ind w:right="320" w:firstLine="913"/>
        <w:spacing w:after="0" w:line="306" w:lineRule="auto"/>
        <w:rPr>
          <w:sz w:val="20"/>
          <w:szCs w:val="20"/>
          <w:color w:val="auto"/>
        </w:rPr>
      </w:pPr>
      <w:r>
        <w:rPr>
          <w:rFonts w:ascii="Arial" w:cs="Arial" w:eastAsia="Arial" w:hAnsi="Arial"/>
          <w:sz w:val="16"/>
          <w:szCs w:val="16"/>
          <w:color w:val="auto"/>
        </w:rPr>
        <w:t>All such opinions, certificates, letters and other documents mentioned above and elsewhere in this Agreement will be in compliance with the provisions hereof only if they are satisfactory in form and substance to the Underwriter and its counsel. The Company will furnish the Underwriter with such conformed copies of such opinions, certificates, letters and other documents as the Underwriter shall reasonably request.</w:t>
      </w:r>
    </w:p>
    <w:p>
      <w:pPr>
        <w:spacing w:after="0" w:line="107" w:lineRule="exact"/>
        <w:rPr>
          <w:sz w:val="20"/>
          <w:szCs w:val="20"/>
          <w:color w:val="auto"/>
        </w:rPr>
      </w:pPr>
    </w:p>
    <w:p>
      <w:pPr>
        <w:ind w:firstLine="464"/>
        <w:spacing w:after="0" w:line="285" w:lineRule="auto"/>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 The Company will indemnify and hold harmless the Underwriter from and against any losses, claims, damages or liabilities, joint or several, to which the Underwriter may become subject, under the Securities Act or otherwise, insofar as such losses, claims, damages or liabilities (or actions in respect thereof) arise out of or are based upon an untrue statement or alleged untrue statement of a material fact contained in the Registration Statement, including the 430B Information and any other information deemed to be part of the Registration Statement at the time of effectiveness and at any subsequent time pursuant to the Rules and Regulations, if applicable, any Preliminary Prospectus, the Disclosure Package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and will reimburse the Underwriter for any legal or other expenses reasonably incurred by the Underwriter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Disclosure Package or the Prospectus, or any amendment or supplement thereto, or any Issuer Free Writing Prospectus, in reliance upon and in conformity with information furnished in writing to the Company by the Underwriter expressly for use therein; it being understood and agreed that the only such information furnished by the Underwriter consists of the information described as such in Section 10(f); and will reimburse the Underwriter for any legal or other expenses reasonably incurred by the Underwriter in connection with investigating or defending any such action or claim as such expenses are incurred.</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23" w:name="page24"/>
    <w:bookmarkEnd w:id="23"/>
    <w:p>
      <w:pPr>
        <w:ind w:left="-20" w:firstLine="921"/>
        <w:spacing w:after="0" w:line="308" w:lineRule="auto"/>
        <w:tabs>
          <w:tab w:leader="none" w:pos="1142" w:val="left"/>
        </w:tabs>
        <w:numPr>
          <w:ilvl w:val="0"/>
          <w:numId w:val="3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will indemnify and hold harmless the Company against any losses, claims, damages or liabilities to which the Company may become subject, under the Securities Act or otherwise, insofar as such losses, claims, damages or liabilities (or actions in respect thereof) arise out of or are based upon an untrue statement or alleged untrue statement of a material fact contained in the Registration Statement, any Preliminary Prospectus, the Disclosure Package,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Disclosure Package, the Prospectus, or any amendment or supplement thereto, or any Issuer Free Writing Prospectus, in reliance upon and in conformity with information furnished in writing to the Company by the Underwriter expressly for use therein; it being understood and agreed that the only such information furnished by the Underwriter consists of information described as such in Section 10(f); and will reimburse the Company for any legal or other expenses reasonably incurred by the Company in connection with investigating or defending any such action or claim as such expenses are incurred.</w:t>
      </w:r>
    </w:p>
    <w:p>
      <w:pPr>
        <w:spacing w:after="0" w:line="109" w:lineRule="exact"/>
        <w:rPr>
          <w:rFonts w:ascii="Arial" w:cs="Arial" w:eastAsia="Arial" w:hAnsi="Arial"/>
          <w:sz w:val="15"/>
          <w:szCs w:val="15"/>
          <w:color w:val="auto"/>
        </w:rPr>
      </w:pPr>
    </w:p>
    <w:p>
      <w:pPr>
        <w:ind w:left="-20" w:right="40" w:firstLine="921"/>
        <w:spacing w:after="0" w:line="285" w:lineRule="auto"/>
        <w:tabs>
          <w:tab w:leader="none" w:pos="11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except to the extent that such indemnifying party has been materially prejudiced by such failure.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80" w:right="259" w:bottom="1440" w:gutter="0" w:footer="0" w:header="0"/>
        </w:sectPr>
      </w:pPr>
    </w:p>
    <w:bookmarkStart w:id="24" w:name="page25"/>
    <w:bookmarkEnd w:id="24"/>
    <w:p>
      <w:pPr>
        <w:ind w:right="40" w:firstLine="921"/>
        <w:spacing w:after="0" w:line="284"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Section 10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 on the other shall be deemed to be in the same proportion as the total net proceeds from the offering (before deducting expenses) received by the Company bear to the total underwriting discounts and commissions received by the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 on the other and the parties’ relative intent, knowledge, access to information and opportunity to correct or prevent such statement or omission. The Company and the Underwriter agree that it would not be just and equitable if contributions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Underwriter shall not be required to contribute any amount in excess of the amount by which the total price at which the Shares underwritten by it and distributed to the public were offered to the public exceeds the amount of any damages which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26" w:lineRule="exact"/>
        <w:rPr>
          <w:rFonts w:ascii="Arial" w:cs="Arial" w:eastAsia="Arial" w:hAnsi="Arial"/>
          <w:sz w:val="16"/>
          <w:szCs w:val="16"/>
          <w:color w:val="auto"/>
        </w:rPr>
      </w:pPr>
    </w:p>
    <w:p>
      <w:pPr>
        <w:ind w:right="100" w:firstLine="921"/>
        <w:spacing w:after="0" w:line="254" w:lineRule="auto"/>
        <w:tabs>
          <w:tab w:leader="none" w:pos="11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10 shall be in addition to any liability which the Company may otherwise have and shall extend, upon the same terms and conditions, to each person, if any, who controls the Underwriter within the meaning of the Securities Act; and the obligations of the Underwriter under this Section 10 shall be in addition to any liability which the Underwriter may otherwise have and shall extend, upon the same terms and conditions, to director of the Company (including any person who, with his or her consent, is named in the Registration Statement as about to become a director of the Company), to each officer of the Company who has signed the Registration Statement and to each person, if any, who controls the Company within the meaning of the Securities Act.</w:t>
      </w:r>
    </w:p>
    <w:p>
      <w:pPr>
        <w:spacing w:after="0" w:line="144" w:lineRule="exact"/>
        <w:rPr>
          <w:rFonts w:ascii="Arial" w:cs="Arial" w:eastAsia="Arial" w:hAnsi="Arial"/>
          <w:sz w:val="18"/>
          <w:szCs w:val="18"/>
          <w:color w:val="auto"/>
        </w:rPr>
      </w:pPr>
    </w:p>
    <w:p>
      <w:pPr>
        <w:ind w:firstLine="921"/>
        <w:spacing w:after="0" w:line="298" w:lineRule="auto"/>
        <w:tabs>
          <w:tab w:leader="none" w:pos="11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Underwriter confirms and the Company acknowledges that the statements with respect to the public offering of the Shares by the Underwriter set forth in the fourth, seventh, twelfth and thirteenth paragraphs under the caption “Underwriting” in the Disclosure Package and in the Prospectus are correct and constitute the only information concerning the Underwriter furnished in writing to the Company by the Underwriter expressly for use in the Registration Statement, any Preliminary Prospectus, the Disclosure Package, the Prospectus or any Issuer Free Writing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ind w:left="-20" w:right="20" w:firstLine="464"/>
        <w:spacing w:after="0" w:line="289" w:lineRule="auto"/>
        <w:tabs>
          <w:tab w:leader="none" w:pos="693"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shall have the right to terminate this Agreement by giving notice to the Company as hereinafter specified at any time at or prior to the Time of Delivery, if (a) any condition of the Underwriter’s obligations hereunder is not fulfilled; (b) trading on the New York Stock Exchange, the NASDAQ Global Select Market, the NASDAQ Global Market, the NASDAQ Capital Market or the NYSE Amex shall have been suspended; (c) a banking moratorium shall have been declared by federal or state authorities; or (d) there shall have occurred any outbreak or escalation of hostilities, any change in financial markets or any calamity or crisis that, in the Underwriter’s judgment, is material and adverse and makes it impractical or inadvisable to proceed with the completion of the sale of and payment for the Shares. Any such termination shall be without liability of any party to any other party except that the provisions of Section 8 and Section 10 hereof shall at all times be effective and shall survive such termination. If the Underwriter elects to terminate this Agreement as provided in this Section 11, the Company shall be notified promptly by the Underwriter by telephone, confirmed by letter.</w:t>
      </w:r>
    </w:p>
    <w:p>
      <w:pPr>
        <w:spacing w:after="0" w:line="118" w:lineRule="exact"/>
        <w:rPr>
          <w:rFonts w:ascii="Arial" w:cs="Arial" w:eastAsia="Arial" w:hAnsi="Arial"/>
          <w:sz w:val="16"/>
          <w:szCs w:val="16"/>
          <w:color w:val="auto"/>
        </w:rPr>
      </w:pPr>
    </w:p>
    <w:p>
      <w:pPr>
        <w:ind w:left="-20" w:firstLine="464"/>
        <w:spacing w:after="0" w:line="286"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If the Underwriter shall default in its obligation to purchase the Shares which it has agreed to purchase hereunder at the Time of Delivery, the Underwriter may in its discretion arrange for another party or other parties to purchase such Shares on the terms contained herein. If within thirty-six hours after such default the Underwriter does not arrange for the purchase of such Shares, then the Company shall be entitled to a further period of thirty-six hours within which to procure another party or other parties satisfactory to the Underwriter to purchase such Shares on such terms. In the event that, within the respective prescribed periods, the Underwriter notifies the Company that the Underwriter has so arranged for the purchase of such Shares, or the Company notifies the Underwriter that the Company has so arranged for the purchase of such Shares, the Underwriter or the Company shall have the right to postpone the Time of Delivery for a period of not more than seven days, in order to effect whatever changes may thereby be made necessary in the Registration Statement, the Disclosure Package or the Prospectus, or in any other documents or arrangements, and the Company agrees to file promptly any amendments or supplements to the Registration Statement, the Disclosure Package or the Prospectus which in the Underwriter’s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27" w:lineRule="exact"/>
        <w:rPr>
          <w:rFonts w:ascii="Arial" w:cs="Arial" w:eastAsia="Arial" w:hAnsi="Arial"/>
          <w:sz w:val="16"/>
          <w:szCs w:val="16"/>
          <w:color w:val="auto"/>
        </w:rPr>
      </w:pPr>
    </w:p>
    <w:p>
      <w:pPr>
        <w:ind w:left="-20" w:right="400" w:firstLine="921"/>
        <w:spacing w:after="0" w:line="256" w:lineRule="auto"/>
        <w:tabs>
          <w:tab w:leader="none" w:pos="114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as provided in subsection (a) above, the aggregate number of such Shares which remains unpurchased exceeds one-eleventh of the aggregate number of all of the Shares to be purchased at the Time of Delivery (other than by reason of any default on the part of the Company), then the Company will have the right, by written notice given within the following 36-hour period to the Underwriter, to terminate this Agreement.</w:t>
      </w:r>
    </w:p>
    <w:p>
      <w:pPr>
        <w:spacing w:after="0" w:line="143" w:lineRule="exact"/>
        <w:rPr>
          <w:rFonts w:ascii="Arial" w:cs="Arial" w:eastAsia="Arial" w:hAnsi="Arial"/>
          <w:sz w:val="18"/>
          <w:szCs w:val="18"/>
          <w:color w:val="auto"/>
        </w:rPr>
      </w:pPr>
    </w:p>
    <w:p>
      <w:pPr>
        <w:ind w:left="-20" w:right="60" w:firstLine="464"/>
        <w:spacing w:after="0" w:line="298" w:lineRule="auto"/>
        <w:tabs>
          <w:tab w:leader="none" w:pos="6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Underwriter, as set forth in this Agreement or made by or on behalf of them, respectively, pursuant to this Agreement, shall remain in full force and effect, regardless of any investigation (or any statement as to the results thereof) made by or on behalf of the Underwriter or any controlling person of the Underwriter, or the Company or any officer or director or controlling person of the Company, and shall survive delivery of and payment for the Shares.</w:t>
      </w:r>
    </w:p>
    <w:p>
      <w:pPr>
        <w:spacing w:after="0" w:line="112" w:lineRule="exact"/>
        <w:rPr>
          <w:rFonts w:ascii="Arial" w:cs="Arial" w:eastAsia="Arial" w:hAnsi="Arial"/>
          <w:sz w:val="16"/>
          <w:szCs w:val="16"/>
          <w:color w:val="auto"/>
        </w:rPr>
      </w:pPr>
    </w:p>
    <w:p>
      <w:pPr>
        <w:ind w:left="-20" w:firstLine="464"/>
        <w:spacing w:after="0" w:line="294"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Section 12(b) hereof, the Company shall not then be under any liability to the Underwriter except as provided in Sections 10 and 14 hereof; but, except as otherwise provided in this Agreement, if for any other reason any Shares are not delivered by or on behalf of the Company as provided herein, the Company will reimburse the Underwriter for all out-of-pocket expenses, including, without limitation, fees and disbursements of counsel, reasonably incurred by the Underwriter in making preparations for the purchase, sale and delivery of the Shares not so delivered, but the Company shall then be under no further liability to the Underwriter in respect of the Shares not so delivered, except as provided in Sections 10 and 14 hereof.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80" w:right="239" w:bottom="1440" w:gutter="0" w:footer="0" w:header="0"/>
        </w:sectPr>
      </w:pPr>
    </w:p>
    <w:bookmarkStart w:id="26" w:name="page27"/>
    <w:bookmarkEnd w:id="26"/>
    <w:p>
      <w:pPr>
        <w:ind w:left="-140" w:firstLine="464"/>
        <w:spacing w:after="0" w:line="29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statements, requests, notices and agreements hereunder shall be in writing, and if to the Underwriter shall be delivered or sent by mail, telex or facsimile transmission to: Thomas Weisel Partners LLC, One Montgomery Street, Suite 3700, San Francisco, California 94104, Attention: General Counsel; and if to the Company shall be delivered or sent by mail, telex or facsimile transmission to the address of the Company set forth in the Registration Statement, Attention: Secretary. Any such statements, requests, notices or agreements shall take effect upon receipt thereof.</w:t>
      </w:r>
    </w:p>
    <w:p>
      <w:pPr>
        <w:spacing w:after="0" w:line="112" w:lineRule="exact"/>
        <w:rPr>
          <w:rFonts w:ascii="Arial" w:cs="Arial" w:eastAsia="Arial" w:hAnsi="Arial"/>
          <w:sz w:val="16"/>
          <w:szCs w:val="16"/>
          <w:color w:val="auto"/>
        </w:rPr>
      </w:pPr>
    </w:p>
    <w:p>
      <w:pPr>
        <w:ind w:left="-140" w:right="60" w:firstLine="464"/>
        <w:spacing w:after="0" w:line="298"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 and the Company and, to the extent provided in Sections 10 and 13 hereof, the officers and directors of the Company and each person who controls the Company, each person who controls the Underwriter, and their respective heirs, executors, administrators, successors and assigns, and no other person shall acquire or have any right under or by virtue of this Agreement. No purchaser of any of the Shares from the Underwriter shall be deemed a successor or assign by reason merely of such purchase.</w:t>
      </w:r>
    </w:p>
    <w:p>
      <w:pPr>
        <w:spacing w:after="0" w:line="112" w:lineRule="exact"/>
        <w:rPr>
          <w:rFonts w:ascii="Arial" w:cs="Arial" w:eastAsia="Arial" w:hAnsi="Arial"/>
          <w:sz w:val="16"/>
          <w:szCs w:val="16"/>
          <w:color w:val="auto"/>
        </w:rPr>
      </w:pPr>
    </w:p>
    <w:p>
      <w:pPr>
        <w:ind w:left="580" w:hanging="256"/>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Time shall be of the essence of this Agreement.</w:t>
      </w:r>
    </w:p>
    <w:p>
      <w:pPr>
        <w:spacing w:after="0" w:line="171" w:lineRule="exact"/>
        <w:rPr>
          <w:rFonts w:ascii="Arial" w:cs="Arial" w:eastAsia="Arial" w:hAnsi="Arial"/>
          <w:sz w:val="18"/>
          <w:szCs w:val="18"/>
          <w:color w:val="auto"/>
        </w:rPr>
      </w:pPr>
    </w:p>
    <w:p>
      <w:pPr>
        <w:jc w:val="both"/>
        <w:ind w:left="-140" w:right="160" w:firstLine="464"/>
        <w:spacing w:after="0" w:line="259"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34" w:lineRule="exact"/>
        <w:rPr>
          <w:rFonts w:ascii="Arial" w:cs="Arial" w:eastAsia="Arial" w:hAnsi="Arial"/>
          <w:sz w:val="18"/>
          <w:szCs w:val="18"/>
          <w:color w:val="auto"/>
        </w:rPr>
      </w:pPr>
    </w:p>
    <w:p>
      <w:pPr>
        <w:ind w:left="580" w:hanging="256"/>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This Agreement shall be governed by and construed in accordance with the laws of the State of New York.</w:t>
      </w:r>
    </w:p>
    <w:p>
      <w:pPr>
        <w:spacing w:after="0" w:line="177" w:lineRule="exact"/>
        <w:rPr>
          <w:rFonts w:ascii="Arial" w:cs="Arial" w:eastAsia="Arial" w:hAnsi="Arial"/>
          <w:sz w:val="18"/>
          <w:szCs w:val="18"/>
          <w:color w:val="auto"/>
        </w:rPr>
      </w:pPr>
    </w:p>
    <w:p>
      <w:pPr>
        <w:ind w:left="-140" w:right="360" w:firstLine="464"/>
        <w:spacing w:after="0" w:line="268"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31" w:lineRule="exact"/>
        <w:rPr>
          <w:rFonts w:ascii="Arial" w:cs="Arial" w:eastAsia="Arial" w:hAnsi="Arial"/>
          <w:sz w:val="18"/>
          <w:szCs w:val="18"/>
          <w:color w:val="auto"/>
        </w:rPr>
      </w:pPr>
    </w:p>
    <w:p>
      <w:pPr>
        <w:ind w:left="-140" w:right="20" w:firstLine="464"/>
        <w:spacing w:after="0" w:line="294"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is authorized to disclose to any persons the U.S. federal and state income tax treatment and tax structure of the potential transaction contemplated by this Agreement and all materials of any kind (including, without limitation, tax opinions and other tax analyses) provided to the Company relating to that treatment and structure, without the Underwriter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380" w:top="280" w:right="359" w:bottom="1440" w:gutter="0" w:footer="0" w:header="0"/>
        </w:sectPr>
      </w:pPr>
    </w:p>
    <w:bookmarkStart w:id="27" w:name="page28"/>
    <w:bookmarkEnd w:id="27"/>
    <w:p>
      <w:pPr>
        <w:ind w:right="2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to us one for the Company plus one for counsel of any counterparts hereof, and upon the acceptance hereof by the Underwriter, this letter and such acceptance hereof shall constitute a binding agreement between the Underwriter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 at San Francisco, California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Weisel Partners LLC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Rubin</w:t>
            </w:r>
          </w:p>
        </w:tc>
      </w:t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Seth Rubin</w:t>
            </w:r>
          </w:p>
        </w:tc>
      </w:tr>
      <w:tr>
        <w:trPr>
          <w:trHeight w:val="22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ectPr>
          <w:pgSz w:w="11900" w:h="16838" w:orient="portrait"/>
          <w:cols w:equalWidth="0" w:num="1">
            <w:col w:w="11420"/>
          </w:cols>
          <w:pgMar w:left="240" w:top="280" w:right="2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I</w:t>
            </w:r>
          </w:p>
        </w:tc>
        <w:tc>
          <w:tcPr>
            <w:tcW w:w="5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900" w:type="dxa"/>
            <w:vAlign w:val="bottom"/>
            <w:gridSpan w:val="5"/>
          </w:tcPr>
          <w:p>
            <w:pPr>
              <w:jc w:val="center"/>
              <w:ind w:right="3540"/>
              <w:spacing w:after="0"/>
              <w:rPr>
                <w:sz w:val="20"/>
                <w:szCs w:val="20"/>
                <w:color w:val="auto"/>
              </w:rPr>
            </w:pPr>
            <w:r>
              <w:rPr>
                <w:rFonts w:ascii="Arial" w:cs="Arial" w:eastAsia="Arial" w:hAnsi="Arial"/>
                <w:sz w:val="18"/>
                <w:szCs w:val="18"/>
                <w:b w:val="1"/>
                <w:bCs w:val="1"/>
                <w:color w:val="auto"/>
                <w:w w:val="97"/>
              </w:rPr>
              <w:t>UNDERWRITERS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Total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4"/>
              </w:rPr>
              <w:t>to be Purchased</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Weisel Partners LLC</w:t>
            </w:r>
          </w:p>
        </w:tc>
        <w:tc>
          <w:tcPr>
            <w:tcW w:w="7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13,229,500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52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c>
          <w:tcPr>
            <w:tcW w:w="79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13,229,500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9" w:name="page30"/>
    <w:bookmarkEnd w:id="29"/>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ISSUER FREE WRITING PROSPECTUSES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4" w:right="1440" w:bottom="1440" w:gutter="0" w:footer="0" w:header="0"/>
        </w:sectPr>
      </w:pPr>
    </w:p>
    <w:bookmarkStart w:id="30" w:name="page31"/>
    <w:bookmarkEnd w:id="30"/>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PRICING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Per Share: $0.75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Offered: 13,229,500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6.0%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Time of Delivery: February 24, 2010</w:t>
      </w:r>
    </w:p>
    <w:p>
      <w:pPr>
        <w:sectPr>
          <w:pgSz w:w="11900" w:h="16838" w:orient="portrait"/>
          <w:cols w:equalWidth="0" w:num="1">
            <w:col w:w="10219"/>
          </w:cols>
          <w:pgMar w:left="240" w:top="274" w:right="1440" w:bottom="1440" w:gutter="0" w:footer="0" w:header="0"/>
        </w:sectPr>
      </w:pPr>
    </w:p>
    <w:bookmarkStart w:id="31" w:name="page32"/>
    <w:bookmarkEnd w:id="31"/>
    <w:p>
      <w:pPr>
        <w:jc w:val="center"/>
        <w:ind w:right="-12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EXECUTIVE OFFICERS AND DIRECTORS EXECUTING LOCKUP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Rodney S. Bond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Benjamin L. Scott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 H. Lindelow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Ake Almgren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E. deVenny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S. Greenberg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P. Rackow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M.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Jason P. Rubin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Uwe Schrader-Hausmann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T. Olsen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Dietmar Papenfort</w:t>
      </w:r>
    </w:p>
    <w:p>
      <w:pPr>
        <w:sectPr>
          <w:pgSz w:w="11900" w:h="16838" w:orient="portrait"/>
          <w:cols w:equalWidth="0" w:num="1">
            <w:col w:w="10219"/>
          </w:cols>
          <w:pgMar w:left="240" w:top="274"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177" w:lineRule="exact"/>
        <w:rPr>
          <w:sz w:val="20"/>
          <w:szCs w:val="20"/>
          <w:color w:val="auto"/>
        </w:rPr>
      </w:pPr>
    </w:p>
    <w:p>
      <w:pPr>
        <w:jc w:val="both"/>
        <w:ind w:left="10120"/>
        <w:spacing w:after="0"/>
        <w:tabs>
          <w:tab w:leader="none" w:pos="10960" w:val="left"/>
        </w:tabs>
        <w:rPr>
          <w:sz w:val="20"/>
          <w:szCs w:val="20"/>
          <w:color w:val="auto"/>
        </w:rPr>
      </w:pPr>
      <w:r>
        <w:rPr>
          <w:rFonts w:ascii="Arial" w:cs="Arial" w:eastAsia="Arial" w:hAnsi="Arial"/>
          <w:sz w:val="18"/>
          <w:szCs w:val="18"/>
          <w:color w:val="auto"/>
        </w:rPr>
        <w:t>February</w:t>
        <w:tab/>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6861175</wp:posOffset>
            </wp:positionH>
            <wp:positionV relativeFrom="paragraph">
              <wp:posOffset>-13970</wp:posOffset>
            </wp:positionV>
            <wp:extent cx="111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Thomas Weisel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Montgomery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Public Offering of Common Stock of 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undersigned understands that you, as underwriter (the “Underwriter”), propose to enter into an Underwriting Agreement with Active Power, Inc., a Delaware corporation (the “Company”), providing for a public offering of shares (the “Shares”) of common stock, par value $0.001 per share, of the Company (the “Common Stock”) pursuant to a Registration Statement on Form S-3 filed with the Securities and Exchange Commission (the “SEC”).</w:t>
      </w:r>
    </w:p>
    <w:p>
      <w:pPr>
        <w:spacing w:after="0" w:line="10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In consideration of the agreement by the Underwriter to offer and sell the Shares, and of other good and valuable consideration, the receipt and sufficiency of which is hereby acknowledged, the undersigned agrees that, during the period specified in the following paragraph (the “Lock-Up Period”), the undersigned will not offer, sell, contract to sell, pledge (except a pledge for the benefit of the Company pursuant to an agreement entered or to be entered into between the Company and the undersigned), grant any option to purchase, make any short sale or otherwise transfer or dispose of, directly or indirectly, any shares of Common Stock of the Company, or any options or warrants to purchase any shares of Common Stock of the Company, or any securities convertible into, exchangeable for or that represent the right to receive shares of Common Stock of the Company, whether now owned or hereafter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Undersigned’s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Undersigned’s Shares (regardless of whether any of the transactions described herein is to be settled by delivery of Common Stock of the Company, or such other securities, in cash or otherwise). Further, the undersigned agrees not to make any demand for, or exercise any right with respect to, the registration of any shares of Common Stock of the Company or securities convertible into or exercisable or exchangeable for Common Stock of the Company during the Lock-Up Period.</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initial Lock-Up Period will commence on the date of this Lock-Up Agreement and continue for 90 days after the public offering date set forth on the final prospectus used to sell the Shares (the “Public Offering Date”) pursuant to the Underwriting Agreement; provided, however, that if (1) during the last 17 days of the initial Lock-Up Period, the Company releases earnings results or announces material news or a material event or (2) prior to the expiration of the initial Lock-Up Period, the Company announces that it will release earnings results during the 15-day period following the last day of the initial Lock-Up Period, then in each case the Lock-Up Period will be automatically extended until the expiration of the 18-day period beginning on the date of release of the earnings results or the announcement of the material news or material event, as applicable, unless the Underwriter waives, in writing, such extension.</w:t>
      </w:r>
    </w:p>
    <w:p>
      <w:pPr>
        <w:sectPr>
          <w:pgSz w:w="11900" w:h="16838" w:orient="portrait"/>
          <w:cols w:equalWidth="0" w:num="1">
            <w:col w:w="11420"/>
          </w:cols>
          <w:pgMar w:left="240" w:top="274" w:right="239" w:bottom="1440" w:gutter="0" w:footer="0" w:header="0"/>
        </w:sectPr>
      </w:pPr>
    </w:p>
    <w:bookmarkStart w:id="33" w:name="page34"/>
    <w:bookmarkEnd w:id="33"/>
    <w:p>
      <w:pPr>
        <w:ind w:right="2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acknowledges that the Company has agreed in the Underwriting Agreement to provide written notice of any event that would result in an extension of the Lock-Up Period pursuant to the previous paragraph to the undersigned and agrees that any such notice properly delivered will be deemed to have been given to, and received by, the undersigned. The undersigned hereby further agrees that, prior to engaging in any transaction or taking any other action that is subject to the terms of this Lock-Up Agreement during the period from the date of this Lock-Up Agreement to and including the 34th day following the expiration of the initial Lock-Up Period, it will give notice thereof to the Company and will not consummate such transaction or take any such action unless it has received written confirmation from the Company that the Lock-Up Period (as such may have been extended pursuant to the previous paragraph) has expired.</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Notwithstanding the foregoing, the undersigned may transfer the Undersigned’s Shares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or (iii) with the prior written consent of the Underwriter. For purposes of this Lock-Up Agreement, “immediate family” shall mean any relationship by blood, marriage or adoption, not more remote than first cousin. The undersigned now has, and, except as contemplated by clause (i), (ii), or (iii) above, for the duration of this Lock-Up Agreement will have, good and marketable title to the Undersigned’s Shares, free and clear of all liens, encumbrances and claims whatsoever. The undersigned agrees and consents to the entry of stop transfer instructions with the Company’s transfer agent and registrar against the transfer of the Undersigned’s Shares except in compliance with the foregoing restrictions.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undersigned understands that the Company and the Underwriter are relying upon this Lock-Up Agreement in proceeding toward consummation of the offering. The undersigned hereby represents and warrants that it has full power and authority to enter into this Lock-Up Agreement and that upon request, the undersigned will execute any additional documents reasonably necessary or desirable in connection with the enforcement hereof. The undersigned further understands that this Lock-Up Agreement is irrevocable and shall be binding upon the undersigned’s heirs, legal representatives, successors, and assigns. This Lock-Up Agreement shall lapse and become null and void (i) upon written notice from the Company to the Underwriter that the Company does not intend to proceed with the public offering or wishes to terminate the engagement of the Underwriter as an Underwriter of the public offering, or (ii) if the Public Offering Date shall not have occurred on or before March 31, 2010.</w:t>
      </w:r>
    </w:p>
    <w:p>
      <w:pPr>
        <w:spacing w:after="0" w:line="1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Exact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19,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color w:val="auto"/>
        </w:rPr>
        <w:t>Active Power, Inc. – Final Prospectus Filed Pursuant to Rule 424(b)</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acted as counsel to Active Power, Inc., a Delaware corporation (the “Company”), in connection with the offering of up to 13,229,500 shares of the Company’s common stock, $0.001 par value per share (the “Shares”), pursuant to a Registration Statement on Form S-3 (Registration No. 333-163301) (the “Registration Statement”), filed with the Securities and Exchange Commission (the “Commission”) under the Securities Act of 1933, as amended (the “Act”) and declared effective on December 21, 2009, the related prospectus dated December 21, 2009 (the “Base Prospectus”), the prospectus supplement dated February 18, 2010 relating to the Shares filed with the Commission pursuant to Rule 424(b) of the rules and regulations of the Act (the “Preliminary Prospectus Supplement”) and the prospectus supplement dated February 19, 2010 relating to the Shares filed with the Commission pursuant to Rule 424(b) of the rules and regulations of the Act (the “Final Prospectus Supplement”). (The Base Prospectus, the Preliminary Prospectus Supplement and the Final Prospectus Supplement are collectively referred to as the “Prospectus.”) We are delivering this supplemental opinion letter in connection with the sale of the Shares pursuant to the Prospectus. We understand that the Shares are to be sold by the Company as described in the Registration Statement and the Prospectus.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this opinion, we have examined and relied upon the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certificates of the officers of the Company and have not sought to independently verify such matters. We have assumed the genuineness and authenticity of all documents submitted to us as originals, the conformity to originals of all documents submitted to us as copies thereof and the due execution and delivery of all documents where due execution and delivery are a prerequisite to the effectiveness thereof.</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Registration Statement and the Prospectus, will be validly issued, fully paid and non-assessable.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opinion that any document is legal, valid and binding is qualified as to:</w:t>
      </w:r>
    </w:p>
    <w:p>
      <w:pPr>
        <w:spacing w:after="0" w:line="171" w:lineRule="exact"/>
        <w:rPr>
          <w:sz w:val="20"/>
          <w:szCs w:val="20"/>
          <w:color w:val="auto"/>
        </w:rPr>
      </w:pPr>
    </w:p>
    <w:p>
      <w:pPr>
        <w:ind w:right="420" w:firstLine="921"/>
        <w:spacing w:after="0" w:line="268"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Final Prospectus Filed Pursuant to Rule 424(b)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171" w:lineRule="exact"/>
        <w:rPr>
          <w:rFonts w:ascii="Arial" w:cs="Arial" w:eastAsia="Arial" w:hAnsi="Arial"/>
          <w:sz w:val="18"/>
          <w:szCs w:val="18"/>
          <w:color w:val="auto"/>
        </w:rPr>
      </w:pPr>
    </w:p>
    <w:p>
      <w:pPr>
        <w:jc w:val="both"/>
        <w:ind w:right="280" w:firstLine="921"/>
        <w:spacing w:after="0" w:line="259"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Attorneys at our Firm are admitted to the practice of law in the State of Texas, and we express no opinion as to the laws of any other jurisdiction, other than the Federal laws of the United States of America and the General Corporation Law of the State of Delaware (the “DGCL”). We are not licensed to practice law in the State of Delaware and, accordingly, our opinions as to the DGCL are based solely on a review of the official statutes of the State of Delaware and the applicable provisions of the Delaware Constitution and the reported judicial decisions interpreting such statutes and provisions.</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hereby consent to the filing of this opinion as an exhibit to the Current Report on Form 8-K dated as of the date hereof filed by the Company and incorporated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00"/>
          </w:cols>
          <w:pgMar w:left="240" w:top="280" w:right="2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69440" cy="394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694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$9.9 Million Common Stock Offering</w:t>
      </w:r>
    </w:p>
    <w:p>
      <w:pPr>
        <w:spacing w:after="0" w:line="17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AUSTIN, Texas (Feb. 19, 2010) </w:t>
      </w:r>
      <w:r>
        <w:rPr>
          <w:rFonts w:ascii="Arial" w:cs="Arial" w:eastAsia="Arial" w:hAnsi="Arial"/>
          <w:sz w:val="18"/>
          <w:szCs w:val="18"/>
          <w:color w:val="auto"/>
        </w:rPr>
        <w:t>– Active Power, Inc. (NASDAQ: ACPW), announced today that it has priced an offering of 13,229,500 shares of its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at $0.75 per share. The gross proceeds to Active Power, before expenses, from the sale of shares are expected to be $9,922,125. The offering is expected to close on February 24, 2010, subject to satisfaction of customary closing conditions. All of the shares in the offering are being sold by Active Power, Inc. Thomas Weisel Partners LLC is acting as sole book-running manager of the offering.</w:t>
      </w:r>
    </w:p>
    <w:p>
      <w:pPr>
        <w:spacing w:after="0" w:line="14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 shelf registration statement relating to the shares was filed with the Securities and Exchange Commission and is effective. Information about the offering is available in the final prospectus supplement to be filed with the Securities and Exchange Commission.</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press release does not constitute an offer to sell, or the solicitation of an offer to buy, these securities, nor will there be any sale of these securities in any state or other jurisdiction in which such offer, solicitation or sale is not permitted.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Copies of the final prospectus supplement may be obtained by contacting Thomas Weisel Partners LLC, Attention: One Montgomery Street, San Francisco, CA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94104, Attention: Equity Syndicate, (415) 364-2720.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Active Power (NASDAQ: ACPW) provides critical power solutions and uninterruptible power supply (UPS) systems to enable business continuity in the event of power disturbances.</w:t>
      </w:r>
    </w:p>
    <w:p>
      <w:pPr>
        <w:spacing w:after="0" w:line="13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Certain of the statements made in this press release are forward looking, such as those, among others, relating to Active Power’s expectations regarding the completion, timing and size of the proposed public offering. Actual results or developments may differ materially from those projected or implied in these forward-looking statements. Factors that may cause such a difference include, without limitation, risks and uncertainties related to market conditions and the satisfaction of customary closing conditions related to the proposed public offering. There can be no assurance that Active Power will be able to complete the proposed public offering on the anticipated terms, or at all. Additional risks and uncertainties relating to the proposed offering, Active Power and its business can be found under the heading “Risk Factors” in Active Power’s annual report on Form 10-K for the ended December 31, 2008 and Quarterly Report on Form 10-Q for the quarter ended September 30, 2009, and in final prospectus supplement related to the offering filed with the Securities and Exchange Commission. Active Power disclaims any intention or obligation to update or revise any forward-looking statements, whether as a result of new information, future events or otherwise.</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Active Power is a registered trademark of Active Power, Inc. The Active Power logo is a trademark of Active Power, Inc.</w:t>
      </w:r>
    </w:p>
    <w:p>
      <w:pPr>
        <w:sectPr>
          <w:pgSz w:w="11900" w:h="16838" w:orient="portrait"/>
          <w:cols w:equalWidth="0" w:num="1">
            <w:col w:w="10219"/>
          </w:cols>
          <w:pgMar w:left="240" w:top="280" w:right="1440"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Liolios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Info@liolios.com</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lhiggins@activepower.com</w:t>
      </w:r>
    </w:p>
    <w:sectPr>
      <w:pgSz w:w="11900" w:h="16838" w:orient="portrait"/>
      <w:cols w:equalWidth="0" w:num="2">
        <w:col w:w="5240" w:space="720"/>
        <w:col w:w="4259"/>
      </w:cols>
      <w:pgMar w:left="240" w:top="28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decimal"/>
      <w:start w:val="1"/>
    </w:lvl>
    <w:lvl w:ilvl="1">
      <w:lvlJc w:val="left"/>
      <w:lvlText w:val="(%2)"/>
      <w:numFmt w:val="lowerLetter"/>
      <w:start w:val="1"/>
    </w:lvl>
  </w:abstractNum>
  <w:abstractNum w:abstractNumId="2">
    <w:nsid w:val="62BBD95A"/>
    <w:multiLevelType w:val="hybridMultilevel"/>
    <w:lvl w:ilvl="0">
      <w:lvlJc w:val="left"/>
      <w:lvlText w:val="(%1)"/>
      <w:numFmt w:val="lowerLetter"/>
      <w:start w:val="2"/>
    </w:lvl>
  </w:abstractNum>
  <w:abstractNum w:abstractNumId="3">
    <w:nsid w:val="436C6125"/>
    <w:multiLevelType w:val="hybridMultilevel"/>
    <w:lvl w:ilvl="0">
      <w:lvlJc w:val="left"/>
      <w:lvlText w:val="(%1)"/>
      <w:numFmt w:val="lowerLetter"/>
      <w:start w:val="5"/>
    </w:lvl>
    <w:lvl w:ilvl="1">
      <w:lvlJc w:val="left"/>
      <w:lvlText w:val="(%2)"/>
      <w:numFmt w:val="lowerRoman"/>
      <w:start w:val="1"/>
    </w:lvl>
  </w:abstractNum>
  <w:abstractNum w:abstractNumId="4">
    <w:nsid w:val="628C895D"/>
    <w:multiLevelType w:val="hybridMultilevel"/>
    <w:lvl w:ilvl="0">
      <w:lvlJc w:val="left"/>
      <w:lvlText w:val="(%1)"/>
      <w:numFmt w:val="lowerLetter"/>
      <w:start w:val="7"/>
    </w:lvl>
  </w:abstractNum>
  <w:abstractNum w:abstractNumId="5">
    <w:nsid w:val="333AB105"/>
    <w:multiLevelType w:val="hybridMultilevel"/>
    <w:lvl w:ilvl="0">
      <w:lvlJc w:val="left"/>
      <w:lvlText w:val="(%1)"/>
      <w:numFmt w:val="lowerLetter"/>
      <w:start w:val="11"/>
    </w:lvl>
  </w:abstractNum>
  <w:abstractNum w:abstractNumId="6">
    <w:nsid w:val="721DA317"/>
    <w:multiLevelType w:val="hybridMultilevel"/>
    <w:lvl w:ilvl="0">
      <w:lvlJc w:val="left"/>
      <w:lvlText w:val="(%1)"/>
      <w:numFmt w:val="lowerLetter"/>
      <w:start w:val="14"/>
    </w:lvl>
  </w:abstractNum>
  <w:abstractNum w:abstractNumId="7">
    <w:nsid w:val="2443A858"/>
    <w:multiLevelType w:val="hybridMultilevel"/>
    <w:lvl w:ilvl="0">
      <w:lvlJc w:val="left"/>
      <w:lvlText w:val="(%1)"/>
      <w:numFmt w:val="lowerLetter"/>
      <w:start w:val="19"/>
    </w:lvl>
  </w:abstractNum>
  <w:abstractNum w:abstractNumId="8">
    <w:nsid w:val="2D1D5AE9"/>
    <w:multiLevelType w:val="hybridMultilevel"/>
    <w:lvl w:ilvl="0">
      <w:lvlJc w:val="left"/>
      <w:lvlText w:val="%1"/>
      <w:numFmt w:val="lowerRoman"/>
      <w:start w:val="1"/>
    </w:lvl>
    <w:lvl w:ilvl="1">
      <w:lvlJc w:val="left"/>
      <w:lvlText w:val="(%2)"/>
      <w:numFmt w:val="lowerRoman"/>
      <w:start w:val="5"/>
    </w:lvl>
  </w:abstractNum>
  <w:abstractNum w:abstractNumId="9">
    <w:nsid w:val="6763845E"/>
    <w:multiLevelType w:val="hybridMultilevel"/>
    <w:lvl w:ilvl="0">
      <w:lvlJc w:val="left"/>
      <w:lvlText w:val="(%1)"/>
      <w:numFmt w:val="lowerRoman"/>
      <w:start w:val="2"/>
    </w:lvl>
    <w:lvl w:ilvl="1">
      <w:lvlJc w:val="left"/>
      <w:lvlText w:val="%2"/>
      <w:numFmt w:val="lowerRoman"/>
      <w:start w:val="1"/>
    </w:lvl>
  </w:abstractNum>
  <w:abstractNum w:abstractNumId="10">
    <w:nsid w:val="75A2A8D4"/>
    <w:multiLevelType w:val="hybridMultilevel"/>
    <w:lvl w:ilvl="0">
      <w:lvlJc w:val="left"/>
      <w:lvlText w:val="(%1)"/>
      <w:numFmt w:val="lowerRoman"/>
      <w:start w:val="4"/>
    </w:lvl>
    <w:lvl w:ilvl="1">
      <w:lvlJc w:val="left"/>
      <w:lvlText w:val="%2"/>
      <w:numFmt w:val="lowerRoman"/>
      <w:start w:val="1"/>
    </w:lvl>
  </w:abstractNum>
  <w:abstractNum w:abstractNumId="11">
    <w:nsid w:val="8EDBDAB"/>
    <w:multiLevelType w:val="hybridMultilevel"/>
    <w:lvl w:ilvl="0">
      <w:lvlJc w:val="left"/>
      <w:lvlText w:val="(%1)"/>
      <w:numFmt w:val="lowerLetter"/>
      <w:start w:val="23"/>
    </w:lvl>
  </w:abstractNum>
  <w:abstractNum w:abstractNumId="12">
    <w:nsid w:val="79838CB2"/>
    <w:multiLevelType w:val="hybridMultilevel"/>
    <w:lvl w:ilvl="0">
      <w:lvlJc w:val="left"/>
      <w:lvlText w:val="(%1)"/>
      <w:numFmt w:val="lowerLetter"/>
      <w:start w:val="26"/>
    </w:lvl>
  </w:abstractNum>
  <w:abstractNum w:abstractNumId="13">
    <w:nsid w:val="4353D0CD"/>
    <w:multiLevelType w:val="hybridMultilevel"/>
    <w:lvl w:ilvl="0">
      <w:lvlJc w:val="left"/>
      <w:lvlText w:val="(%1)"/>
      <w:numFmt w:val="lowerLetter"/>
      <w:start w:val="27"/>
    </w:lvl>
  </w:abstractNum>
  <w:abstractNum w:abstractNumId="14">
    <w:nsid w:val="B03E0C6"/>
    <w:multiLevelType w:val="hybridMultilevel"/>
    <w:lvl w:ilvl="0">
      <w:lvlJc w:val="left"/>
      <w:lvlText w:val="(%1)"/>
      <w:numFmt w:val="lowerLetter"/>
      <w:start w:val="33"/>
    </w:lvl>
  </w:abstractNum>
  <w:abstractNum w:abstractNumId="15">
    <w:nsid w:val="189A769B"/>
    <w:multiLevelType w:val="hybridMultilevel"/>
    <w:lvl w:ilvl="0">
      <w:lvlJc w:val="left"/>
      <w:lvlText w:val="%1"/>
      <w:numFmt w:val="lowerRoman"/>
      <w:start w:val="1"/>
    </w:lvl>
    <w:lvl w:ilvl="1">
      <w:lvlJc w:val="left"/>
      <w:lvlText w:val="(%2)"/>
      <w:numFmt w:val="lowerLetter"/>
      <w:start w:val="39"/>
    </w:lvl>
  </w:abstractNum>
  <w:abstractNum w:abstractNumId="16">
    <w:nsid w:val="54E49EB4"/>
    <w:multiLevelType w:val="hybridMultilevel"/>
    <w:lvl w:ilvl="0">
      <w:lvlJc w:val="left"/>
      <w:lvlText w:val="(%1)"/>
      <w:numFmt w:val="lowerRoman"/>
      <w:start w:val="2"/>
    </w:lvl>
    <w:lvl w:ilvl="1">
      <w:lvlJc w:val="left"/>
      <w:lvlText w:val="(%2)"/>
      <w:numFmt w:val="lowerLetter"/>
      <w:start w:val="40"/>
    </w:lvl>
  </w:abstractNum>
  <w:abstractNum w:abstractNumId="17">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3"/>
    </w:lvl>
  </w:abstractNum>
  <w:abstractNum w:abstractNumId="18">
    <w:nsid w:val="2CA8861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5"/>
    </w:lvl>
  </w:abstractNum>
  <w:abstractNum w:abstractNumId="19">
    <w:nsid w:val="836C40E"/>
    <w:multiLevelType w:val="hybridMultilevel"/>
    <w:lvl w:ilvl="0">
      <w:lvlJc w:val="left"/>
      <w:lvlText w:val="%1"/>
      <w:numFmt w:val="decimal"/>
      <w:start w:val="1"/>
    </w:lvl>
    <w:lvl w:ilvl="1">
      <w:lvlJc w:val="left"/>
      <w:lvlText w:val="(%2)"/>
      <w:numFmt w:val="lowerLetter"/>
      <w:start w:val="2"/>
    </w:lvl>
  </w:abstractNum>
  <w:abstractNum w:abstractNumId="20">
    <w:nsid w:val="2901D82"/>
    <w:multiLevelType w:val="hybridMultilevel"/>
    <w:lvl w:ilvl="0">
      <w:lvlJc w:val="left"/>
      <w:lvlText w:val="%1."/>
      <w:numFmt w:val="decimal"/>
      <w:start w:val="5"/>
    </w:lvl>
    <w:lvl w:ilvl="1">
      <w:lvlJc w:val="left"/>
      <w:lvlText w:val="%2"/>
      <w:numFmt w:val="lowerLetter"/>
      <w:start w:val="1"/>
    </w:lvl>
  </w:abstractNum>
  <w:abstractNum w:abstractNumId="21">
    <w:nsid w:val="3A95F874"/>
    <w:multiLevelType w:val="hybridMultilevel"/>
    <w:lvl w:ilvl="0">
      <w:lvlJc w:val="left"/>
      <w:lvlText w:val="%1."/>
      <w:numFmt w:val="decimal"/>
      <w:start w:val="6"/>
    </w:lvl>
    <w:lvl w:ilvl="1">
      <w:lvlJc w:val="left"/>
      <w:lvlText w:val="(%2)"/>
      <w:numFmt w:val="lowerLetter"/>
      <w:start w:val="1"/>
    </w:lvl>
  </w:abstractNum>
  <w:abstractNum w:abstractNumId="22">
    <w:nsid w:val="8138641"/>
    <w:multiLevelType w:val="hybridMultilevel"/>
    <w:lvl w:ilvl="0">
      <w:lvlJc w:val="left"/>
      <w:lvlText w:val="(%1)"/>
      <w:numFmt w:val="lowerLetter"/>
      <w:start w:val="2"/>
    </w:lvl>
  </w:abstractNum>
  <w:abstractNum w:abstractNumId="23">
    <w:nsid w:val="1E7FF521"/>
    <w:multiLevelType w:val="hybridMultilevel"/>
    <w:lvl w:ilvl="0">
      <w:lvlJc w:val="left"/>
      <w:lvlText w:val="(%1)"/>
      <w:numFmt w:val="lowerLetter"/>
      <w:start w:val="6"/>
    </w:lvl>
  </w:abstractNum>
  <w:abstractNum w:abstractNumId="24">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2"/>
    </w:lvl>
  </w:abstractNum>
  <w:abstractNum w:abstractNumId="25">
    <w:nsid w:val="737B8DD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2"/>
    </w:lvl>
  </w:abstractNum>
  <w:abstractNum w:abstractNumId="26">
    <w:nsid w:val="6CEAF087"/>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27">
    <w:nsid w:val="22221A70"/>
    <w:multiLevelType w:val="hybridMultilevel"/>
    <w:lvl w:ilvl="0">
      <w:lvlJc w:val="left"/>
      <w:lvlText w:val="%1."/>
      <w:numFmt w:val="decimal"/>
      <w:start w:val="9"/>
    </w:lvl>
    <w:lvl w:ilvl="1">
      <w:lvlJc w:val="left"/>
      <w:lvlText w:val="(%2)"/>
      <w:numFmt w:val="lowerLetter"/>
      <w:start w:val="1"/>
    </w:lvl>
  </w:abstractNum>
  <w:abstractNum w:abstractNumId="28">
    <w:nsid w:val="4516DDE9"/>
    <w:multiLevelType w:val="hybridMultilevel"/>
    <w:lvl w:ilvl="0">
      <w:lvlJc w:val="left"/>
      <w:lvlText w:val="(%1)"/>
      <w:numFmt w:val="lowerLetter"/>
      <w:start w:val="4"/>
    </w:lvl>
  </w:abstractNum>
  <w:abstractNum w:abstractNumId="29">
    <w:nsid w:val="3006C83E"/>
    <w:multiLevelType w:val="hybridMultilevel"/>
    <w:lvl w:ilvl="0">
      <w:lvlJc w:val="left"/>
      <w:lvlText w:val="(%1)"/>
      <w:numFmt w:val="lowerLetter"/>
      <w:start w:val="8"/>
    </w:lvl>
  </w:abstractNum>
  <w:abstractNum w:abstractNumId="30">
    <w:nsid w:val="614FD4A1"/>
    <w:multiLevelType w:val="hybridMultilevel"/>
    <w:lvl w:ilvl="0">
      <w:lvlJc w:val="left"/>
      <w:lvlText w:val="%1."/>
      <w:numFmt w:val="decimal"/>
      <w:start w:val="10"/>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1)"/>
      <w:numFmt w:val="lowerLetter"/>
      <w:start w:val="4"/>
    </w:lvl>
  </w:abstractNum>
  <w:abstractNum w:abstractNumId="33">
    <w:nsid w:val="440BADFC"/>
    <w:multiLevelType w:val="hybridMultilevel"/>
    <w:lvl w:ilvl="0">
      <w:lvlJc w:val="left"/>
      <w:lvlText w:val="%1."/>
      <w:numFmt w:val="decimal"/>
      <w:start w:val="11"/>
    </w:lvl>
    <w:lvl w:ilvl="1">
      <w:lvlJc w:val="left"/>
      <w:lvlText w:val="(%2)"/>
      <w:numFmt w:val="lowerLetter"/>
      <w:start w:val="2"/>
    </w:lvl>
  </w:abstractNum>
  <w:abstractNum w:abstractNumId="34">
    <w:nsid w:val="5072367"/>
    <w:multiLevelType w:val="hybridMultilevel"/>
    <w:lvl w:ilvl="0">
      <w:lvlJc w:val="left"/>
      <w:lvlText w:val="%1."/>
      <w:numFmt w:val="decimal"/>
      <w:start w:val="15"/>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2019-12-10T15:11:32Z</dcterms:created>
  <dcterms:modified xsi:type="dcterms:W3CDTF">2019-12-10T15:11:32Z</dcterms:modified>
</cp:coreProperties>
</file>