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660" w:right="1620" w:hanging="3639"/>
        <w:spacing w:after="0" w:line="266"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4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5"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jc w:val="center"/>
        <w:spacing w:after="0"/>
        <w:rPr>
          <w:sz w:val="20"/>
          <w:szCs w:val="20"/>
          <w:color w:val="auto"/>
        </w:rPr>
      </w:pPr>
      <w:r>
        <w:rPr>
          <w:rFonts w:ascii="Arial" w:cs="Arial" w:eastAsia="Arial" w:hAnsi="Arial"/>
          <w:sz w:val="18"/>
          <w:szCs w:val="18"/>
          <w:b w:val="1"/>
          <w:bCs w:val="1"/>
          <w:color w:val="auto"/>
        </w:rPr>
        <w:t>Commission File Number: 001-40937</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0" w:lineRule="exact"/>
        <w:rPr>
          <w:sz w:val="24"/>
          <w:szCs w:val="24"/>
          <w:color w:val="auto"/>
        </w:rPr>
      </w:pPr>
    </w:p>
    <w:tbl>
      <w:tblPr>
        <w:tblLayout w:type="fixed"/>
        <w:tblInd w:w="1780" w:type="dxa"/>
        <w:tblCellMar>
          <w:top w:w="0" w:type="dxa"/>
          <w:left w:w="0" w:type="dxa"/>
          <w:bottom w:w="0" w:type="dxa"/>
          <w:right w:w="0" w:type="dxa"/>
        </w:tblCellMar>
      </w:tblPr>
      <w:tr>
        <w:trPr>
          <w:trHeight w:val="207"/>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87-2908160</w:t>
            </w:r>
          </w:p>
        </w:tc>
      </w:tr>
      <w:tr>
        <w:trPr>
          <w:trHeight w:val="135"/>
        </w:trPr>
        <w:tc>
          <w:tcPr>
            <w:tcW w:w="4120" w:type="dxa"/>
            <w:vAlign w:val="bottom"/>
          </w:tcPr>
          <w:p>
            <w:pPr>
              <w:jc w:val="center"/>
              <w:ind w:right="1964"/>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48"/>
        </w:trPr>
        <w:tc>
          <w:tcPr>
            <w:tcW w:w="4120" w:type="dxa"/>
            <w:vAlign w:val="bottom"/>
          </w:tcPr>
          <w:p>
            <w:pPr>
              <w:jc w:val="center"/>
              <w:ind w:right="1964"/>
              <w:spacing w:after="0" w:line="149"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49" w:lineRule="exact"/>
              <w:rPr>
                <w:sz w:val="20"/>
                <w:szCs w:val="20"/>
                <w:color w:val="auto"/>
              </w:rPr>
            </w:pPr>
            <w:r>
              <w:rPr>
                <w:rFonts w:ascii="Arial" w:cs="Arial" w:eastAsia="Arial" w:hAnsi="Arial"/>
                <w:sz w:val="13"/>
                <w:szCs w:val="13"/>
                <w:b w:val="1"/>
                <w:bCs w:val="1"/>
                <w:color w:val="auto"/>
                <w:w w:val="89"/>
              </w:rPr>
              <w:t>Identification No.)</w:t>
            </w:r>
          </w:p>
        </w:tc>
      </w:tr>
      <w:tr>
        <w:trPr>
          <w:trHeight w:val="189"/>
        </w:trPr>
        <w:tc>
          <w:tcPr>
            <w:tcW w:w="4120" w:type="dxa"/>
            <w:vAlign w:val="bottom"/>
          </w:tcPr>
          <w:p>
            <w:pPr>
              <w:jc w:val="center"/>
              <w:ind w:right="1964"/>
              <w:spacing w:after="0" w:line="189" w:lineRule="exact"/>
              <w:rPr>
                <w:sz w:val="20"/>
                <w:szCs w:val="20"/>
                <w:color w:val="auto"/>
              </w:rPr>
            </w:pPr>
            <w:r>
              <w:rPr>
                <w:rFonts w:ascii="Arial" w:cs="Arial" w:eastAsia="Arial" w:hAnsi="Arial"/>
                <w:sz w:val="18"/>
                <w:szCs w:val="18"/>
                <w:b w:val="1"/>
                <w:bCs w:val="1"/>
                <w:color w:val="auto"/>
                <w:w w:val="88"/>
              </w:rPr>
              <w:t>4514 Cole Ave, Suite 1600</w:t>
            </w:r>
          </w:p>
        </w:tc>
        <w:tc>
          <w:tcPr>
            <w:tcW w:w="3020" w:type="dxa"/>
            <w:vAlign w:val="bottom"/>
          </w:tcPr>
          <w:p>
            <w:pPr>
              <w:jc w:val="right"/>
              <w:ind w:right="186"/>
              <w:spacing w:after="0" w:line="189" w:lineRule="exact"/>
              <w:rPr>
                <w:sz w:val="20"/>
                <w:szCs w:val="20"/>
                <w:color w:val="auto"/>
              </w:rPr>
            </w:pPr>
            <w:r>
              <w:rPr>
                <w:rFonts w:ascii="Arial" w:cs="Arial" w:eastAsia="Arial" w:hAnsi="Arial"/>
                <w:sz w:val="18"/>
                <w:szCs w:val="18"/>
                <w:b w:val="1"/>
                <w:bCs w:val="1"/>
                <w:color w:val="auto"/>
              </w:rPr>
              <w:t>75205</w:t>
            </w:r>
          </w:p>
        </w:tc>
      </w:tr>
      <w:tr>
        <w:trPr>
          <w:trHeight w:val="203"/>
        </w:trPr>
        <w:tc>
          <w:tcPr>
            <w:tcW w:w="4120" w:type="dxa"/>
            <w:vAlign w:val="bottom"/>
          </w:tcPr>
          <w:p>
            <w:pPr>
              <w:jc w:val="center"/>
              <w:ind w:right="1984"/>
              <w:spacing w:after="0" w:line="202" w:lineRule="exact"/>
              <w:rPr>
                <w:sz w:val="20"/>
                <w:szCs w:val="20"/>
                <w:color w:val="auto"/>
              </w:rPr>
            </w:pPr>
            <w:r>
              <w:rPr>
                <w:rFonts w:ascii="Arial" w:cs="Arial" w:eastAsia="Arial" w:hAnsi="Arial"/>
                <w:sz w:val="18"/>
                <w:szCs w:val="18"/>
                <w:b w:val="1"/>
                <w:bCs w:val="1"/>
                <w:color w:val="auto"/>
                <w:w w:val="95"/>
              </w:rPr>
              <w:t>Dallas, TX</w:t>
            </w:r>
          </w:p>
        </w:tc>
        <w:tc>
          <w:tcPr>
            <w:tcW w:w="3020" w:type="dxa"/>
            <w:vAlign w:val="bottom"/>
          </w:tcPr>
          <w:p>
            <w:pPr>
              <w:spacing w:after="0"/>
              <w:rPr>
                <w:sz w:val="17"/>
                <w:szCs w:val="17"/>
                <w:color w:val="auto"/>
              </w:rPr>
            </w:pP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ind w:left="3040"/>
        <w:spacing w:after="0"/>
        <w:rPr>
          <w:sz w:val="20"/>
          <w:szCs w:val="20"/>
          <w:color w:val="auto"/>
        </w:rPr>
      </w:pPr>
      <w:r>
        <w:rPr>
          <w:rFonts w:ascii="Arial" w:cs="Arial" w:eastAsia="Arial" w:hAnsi="Arial"/>
          <w:sz w:val="18"/>
          <w:szCs w:val="18"/>
          <w:b w:val="1"/>
          <w:bCs w:val="1"/>
          <w:color w:val="auto"/>
        </w:rPr>
        <w:t>Registrant’s telephone number, including area code: (214) 865-7998</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5"/>
        </w:trPr>
        <w:tc>
          <w:tcPr>
            <w:tcW w:w="4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r>
      <w:tr>
        <w:trPr>
          <w:trHeight w:val="146"/>
        </w:trPr>
        <w:tc>
          <w:tcPr>
            <w:tcW w:w="4280" w:type="dxa"/>
            <w:vAlign w:val="bottom"/>
          </w:tcPr>
          <w:p>
            <w:pPr>
              <w:ind w:left="60"/>
              <w:spacing w:after="0" w:line="146" w:lineRule="exact"/>
              <w:rPr>
                <w:sz w:val="20"/>
                <w:szCs w:val="20"/>
                <w:color w:val="auto"/>
              </w:rPr>
            </w:pPr>
            <w:r>
              <w:rPr>
                <w:rFonts w:ascii="Arial" w:cs="Arial" w:eastAsia="Arial" w:hAnsi="Arial"/>
                <w:sz w:val="16"/>
                <w:szCs w:val="16"/>
                <w:color w:val="auto"/>
              </w:rPr>
              <w:t>Class A Common Stock, $0.001 par value per share</w:t>
            </w:r>
          </w:p>
        </w:tc>
        <w:tc>
          <w:tcPr>
            <w:tcW w:w="12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Arial" w:cs="Arial" w:eastAsia="Arial" w:hAnsi="Arial"/>
                <w:sz w:val="16"/>
                <w:szCs w:val="16"/>
                <w:color w:val="auto"/>
                <w:w w:val="93"/>
              </w:rPr>
              <w:t>PX</w:t>
            </w:r>
          </w:p>
        </w:tc>
        <w:tc>
          <w:tcPr>
            <w:tcW w:w="120" w:type="dxa"/>
            <w:vAlign w:val="bottom"/>
          </w:tcPr>
          <w:p>
            <w:pPr>
              <w:spacing w:after="0"/>
              <w:rPr>
                <w:sz w:val="12"/>
                <w:szCs w:val="12"/>
                <w:color w:val="auto"/>
              </w:rPr>
            </w:pPr>
          </w:p>
        </w:tc>
        <w:tc>
          <w:tcPr>
            <w:tcW w:w="5040" w:type="dxa"/>
            <w:vAlign w:val="bottom"/>
          </w:tcPr>
          <w:p>
            <w:pPr>
              <w:jc w:val="center"/>
              <w:spacing w:after="0" w:line="146" w:lineRule="exact"/>
              <w:rPr>
                <w:sz w:val="20"/>
                <w:szCs w:val="20"/>
                <w:color w:val="auto"/>
              </w:rPr>
            </w:pPr>
            <w:r>
              <w:rPr>
                <w:rFonts w:ascii="Arial" w:cs="Arial" w:eastAsia="Arial" w:hAnsi="Arial"/>
                <w:sz w:val="16"/>
                <w:szCs w:val="16"/>
                <w:color w:val="auto"/>
                <w:w w:val="96"/>
              </w:rPr>
              <w:t>NYSE</w:t>
            </w:r>
          </w:p>
        </w:tc>
      </w:tr>
      <w:tr>
        <w:trPr>
          <w:trHeight w:val="175"/>
        </w:trPr>
        <w:tc>
          <w:tcPr>
            <w:tcW w:w="4280" w:type="dxa"/>
            <w:vAlign w:val="bottom"/>
          </w:tcPr>
          <w:p>
            <w:pPr>
              <w:ind w:left="60"/>
              <w:spacing w:after="0" w:line="175" w:lineRule="exact"/>
              <w:rPr>
                <w:sz w:val="20"/>
                <w:szCs w:val="20"/>
                <w:color w:val="auto"/>
              </w:rPr>
            </w:pPr>
            <w:r>
              <w:rPr>
                <w:rFonts w:ascii="Arial" w:cs="Arial" w:eastAsia="Arial" w:hAnsi="Arial"/>
                <w:sz w:val="16"/>
                <w:szCs w:val="16"/>
                <w:color w:val="auto"/>
              </w:rPr>
              <w:t>Series A Junior Participating Preferred Stock</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206"/>
        </w:trPr>
        <w:tc>
          <w:tcPr>
            <w:tcW w:w="4280" w:type="dxa"/>
            <w:vAlign w:val="bottom"/>
          </w:tcPr>
          <w:p>
            <w:pPr>
              <w:ind w:left="180"/>
              <w:spacing w:after="0"/>
              <w:rPr>
                <w:sz w:val="20"/>
                <w:szCs w:val="20"/>
                <w:color w:val="auto"/>
              </w:rPr>
            </w:pPr>
            <w:r>
              <w:rPr>
                <w:rFonts w:ascii="Arial" w:cs="Arial" w:eastAsia="Arial" w:hAnsi="Arial"/>
                <w:sz w:val="16"/>
                <w:szCs w:val="16"/>
                <w:color w:val="auto"/>
              </w:rPr>
              <w:t>Purchase Rights</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Pr>
          <w:p>
            <w:pPr>
              <w:spacing w:after="0"/>
              <w:rPr>
                <w:sz w:val="17"/>
                <w:szCs w:val="17"/>
                <w:color w:val="auto"/>
              </w:rPr>
            </w:pPr>
          </w:p>
        </w:tc>
      </w:tr>
    </w:tbl>
    <w:p>
      <w:pPr>
        <w:spacing w:after="0" w:line="199" w:lineRule="exact"/>
        <w:rPr>
          <w:sz w:val="24"/>
          <w:szCs w:val="24"/>
          <w:color w:val="auto"/>
        </w:rPr>
      </w:pPr>
    </w:p>
    <w:p>
      <w:pPr>
        <w:jc w:val="both"/>
        <w:spacing w:after="0" w:line="19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w:t>
      </w:r>
    </w:p>
    <w:p>
      <w:pPr>
        <w:spacing w:after="0" w:line="3" w:lineRule="exact"/>
        <w:rPr>
          <w:sz w:val="24"/>
          <w:szCs w:val="24"/>
          <w:color w:val="auto"/>
        </w:rPr>
      </w:pPr>
    </w:p>
    <w:p>
      <w:pPr>
        <w:spacing w:after="0" w:line="184" w:lineRule="exact"/>
        <w:tabs>
          <w:tab w:leader="none" w:pos="9160" w:val="left"/>
          <w:tab w:leader="none" w:pos="9800" w:val="left"/>
        </w:tabs>
        <w:rPr>
          <w:sz w:val="20"/>
          <w:szCs w:val="20"/>
          <w:color w:val="auto"/>
        </w:rPr>
      </w:pPr>
      <w:r>
        <w:rPr>
          <w:rFonts w:ascii="Arial" w:cs="Arial" w:eastAsia="Arial" w:hAnsi="Arial"/>
          <w:sz w:val="15"/>
          <w:szCs w:val="15"/>
          <w:color w:val="auto"/>
        </w:rPr>
        <w:t>(§232.405 of this chapter)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w:t>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company. See the definitions of “large accelerated filer,” “accelerated filer,” “smaller reporting company,” and “emerging growth company” in Rule 12b-2 of the Exchange</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Act.</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7" w:lineRule="exact"/>
        <w:rPr>
          <w:sz w:val="24"/>
          <w:szCs w:val="24"/>
          <w:color w:val="auto"/>
        </w:rPr>
      </w:pPr>
    </w:p>
    <w:p>
      <w:pPr>
        <w:ind w:right="580"/>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20"/>
        <w:spacing w:after="0" w:line="191"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Arial" w:cs="Arial" w:eastAsia="Arial" w:hAnsi="Arial"/>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ind w:right="120"/>
        <w:spacing w:after="0" w:line="275" w:lineRule="auto"/>
        <w:rPr>
          <w:sz w:val="20"/>
          <w:szCs w:val="20"/>
          <w:color w:val="auto"/>
        </w:rPr>
      </w:pPr>
      <w:r>
        <w:rPr>
          <w:rFonts w:ascii="Arial" w:cs="Arial" w:eastAsia="Arial" w:hAnsi="Arial"/>
          <w:sz w:val="16"/>
          <w:szCs w:val="16"/>
          <w:color w:val="auto"/>
        </w:rPr>
        <w:t>As of November 7, 2022, the registrant had 40,911,332 shares of the registrant's Class A common stock, par value $0.001, and 76,142,326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539115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7"/>
          </w:tcPr>
          <w:p>
            <w:pPr>
              <w:ind w:left="8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3"/>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2"/>
        </w:trPr>
        <w:tc>
          <w:tcPr>
            <w:tcW w:w="1160" w:type="dxa"/>
            <w:vAlign w:val="bottom"/>
            <w:gridSpan w:val="3"/>
            <w:vMerge w:val="continue"/>
          </w:tcPr>
          <w:p>
            <w:pPr>
              <w:spacing w:after="0"/>
              <w:rPr>
                <w:sz w:val="14"/>
                <w:szCs w:val="14"/>
                <w:color w:val="auto"/>
              </w:rPr>
            </w:pPr>
          </w:p>
        </w:tc>
        <w:tc>
          <w:tcPr>
            <w:tcW w:w="9300" w:type="dxa"/>
            <w:vAlign w:val="bottom"/>
            <w:gridSpan w:val="23"/>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83"/>
              </w:rPr>
              <w:t>Financial Statements (Unaudited)</w:t>
            </w:r>
          </w:p>
        </w:tc>
        <w:tc>
          <w:tcPr>
            <w:tcW w:w="8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88"/>
              </w:rPr>
              <w:t>Consolidated Balance Sheets</w:t>
            </w:r>
          </w:p>
        </w:tc>
        <w:tc>
          <w:tcPr>
            <w:tcW w:w="20" w:type="dxa"/>
            <w:vAlign w:val="bottom"/>
            <w:tcBorders>
              <w:bottom w:val="single" w:sz="8" w:color="0000EE"/>
            </w:tcBorders>
          </w:tcPr>
          <w:p>
            <w:pPr>
              <w:spacing w:after="0"/>
              <w:rPr>
                <w:sz w:val="15"/>
                <w:szCs w:val="15"/>
                <w:color w:val="auto"/>
              </w:rPr>
            </w:pPr>
          </w:p>
        </w:tc>
        <w:tc>
          <w:tcPr>
            <w:tcW w:w="30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gridSpan w:val="10"/>
          </w:tcPr>
          <w:p>
            <w:pPr>
              <w:spacing w:after="0" w:line="182" w:lineRule="exact"/>
              <w:rPr>
                <w:sz w:val="20"/>
                <w:szCs w:val="20"/>
                <w:color w:val="auto"/>
              </w:rPr>
            </w:pPr>
            <w:r>
              <w:rPr>
                <w:rFonts w:ascii="Arial" w:cs="Arial" w:eastAsia="Arial" w:hAnsi="Arial"/>
                <w:sz w:val="18"/>
                <w:szCs w:val="18"/>
                <w:color w:val="0000FF"/>
                <w:w w:val="94"/>
              </w:rPr>
              <w:t>Consolidated Statements of</w:t>
            </w:r>
          </w:p>
        </w:tc>
        <w:tc>
          <w:tcPr>
            <w:tcW w:w="7180" w:type="dxa"/>
            <w:vAlign w:val="bottom"/>
            <w:gridSpan w:val="13"/>
          </w:tcPr>
          <w:p>
            <w:pPr>
              <w:spacing w:after="0" w:line="182" w:lineRule="exact"/>
              <w:rPr>
                <w:sz w:val="20"/>
                <w:szCs w:val="20"/>
                <w:color w:val="auto"/>
              </w:rPr>
            </w:pPr>
            <w:r>
              <w:rPr>
                <w:rFonts w:ascii="Arial" w:cs="Arial" w:eastAsia="Arial" w:hAnsi="Arial"/>
                <w:sz w:val="18"/>
                <w:szCs w:val="18"/>
                <w:color w:val="0000FF"/>
              </w:rPr>
              <w:t>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2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88"/>
              </w:rPr>
              <w:t>Consolidated Statements of Changes in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gridSpan w:val="7"/>
          </w:tcPr>
          <w:p>
            <w:pPr>
              <w:spacing w:after="0" w:line="182" w:lineRule="exact"/>
              <w:rPr>
                <w:sz w:val="20"/>
                <w:szCs w:val="20"/>
                <w:color w:val="auto"/>
              </w:rPr>
            </w:pPr>
            <w:r>
              <w:rPr>
                <w:rFonts w:ascii="Arial" w:cs="Arial" w:eastAsia="Arial" w:hAnsi="Arial"/>
                <w:sz w:val="18"/>
                <w:szCs w:val="18"/>
                <w:color w:val="0000FF"/>
              </w:rPr>
              <w:t>Stockholders' Equity</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89"/>
              </w:rPr>
              <w:t>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1500" w:type="dxa"/>
            <w:vAlign w:val="bottom"/>
            <w:tcBorders>
              <w:top w:val="single" w:sz="8" w:color="0000FF"/>
            </w:tcBorders>
            <w:gridSpan w:val="5"/>
          </w:tcPr>
          <w:p>
            <w:pPr>
              <w:spacing w:after="0"/>
              <w:rPr>
                <w:sz w:val="15"/>
                <w:szCs w:val="15"/>
                <w:color w:val="auto"/>
              </w:rPr>
            </w:pPr>
          </w:p>
        </w:tc>
        <w:tc>
          <w:tcPr>
            <w:tcW w:w="20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60" w:type="dxa"/>
            <w:vAlign w:val="bottom"/>
            <w:tcBorders>
              <w:bottom w:val="single" w:sz="8" w:color="0000FF"/>
            </w:tcBorders>
            <w:gridSpan w:val="17"/>
          </w:tcPr>
          <w:p>
            <w:pPr>
              <w:spacing w:after="0" w:line="182" w:lineRule="exact"/>
              <w:rPr>
                <w:sz w:val="20"/>
                <w:szCs w:val="20"/>
                <w:color w:val="auto"/>
              </w:rPr>
            </w:pPr>
            <w:r>
              <w:rPr>
                <w:rFonts w:ascii="Arial" w:cs="Arial" w:eastAsia="Arial" w:hAnsi="Arial"/>
                <w:sz w:val="18"/>
                <w:szCs w:val="18"/>
                <w:color w:val="0000FF"/>
                <w:w w:val="90"/>
              </w:rPr>
              <w:t>Notes to Unaudited Consolidated Financial Statements</w:t>
            </w:r>
          </w:p>
        </w:tc>
        <w:tc>
          <w:tcPr>
            <w:tcW w:w="20" w:type="dxa"/>
            <w:vAlign w:val="bottom"/>
            <w:tcBorders>
              <w:bottom w:val="single" w:sz="8" w:color="0000EE"/>
            </w:tcBorders>
          </w:tcPr>
          <w:p>
            <w:pPr>
              <w:spacing w:after="0"/>
              <w:rPr>
                <w:sz w:val="15"/>
                <w:szCs w:val="15"/>
                <w:color w:val="auto"/>
              </w:rPr>
            </w:pPr>
          </w:p>
        </w:tc>
        <w:tc>
          <w:tcPr>
            <w:tcW w:w="53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2.</w:t>
            </w:r>
          </w:p>
        </w:tc>
        <w:tc>
          <w:tcPr>
            <w:tcW w:w="3980" w:type="dxa"/>
            <w:vAlign w:val="bottom"/>
            <w:gridSpan w:val="18"/>
          </w:tcPr>
          <w:p>
            <w:pPr>
              <w:spacing w:after="0" w:line="182" w:lineRule="exact"/>
              <w:rPr>
                <w:sz w:val="20"/>
                <w:szCs w:val="20"/>
                <w:color w:val="auto"/>
              </w:rPr>
            </w:pPr>
            <w:r>
              <w:rPr>
                <w:rFonts w:ascii="Arial" w:cs="Arial" w:eastAsia="Arial" w:hAnsi="Arial"/>
                <w:sz w:val="18"/>
                <w:szCs w:val="18"/>
                <w:color w:val="0000FF"/>
                <w:w w:val="95"/>
              </w:rPr>
              <w:t>Management’s Discussion and Analysis of Financial</w:t>
            </w:r>
          </w:p>
        </w:tc>
        <w:tc>
          <w:tcPr>
            <w:tcW w:w="5320" w:type="dxa"/>
            <w:vAlign w:val="bottom"/>
            <w:gridSpan w:val="5"/>
          </w:tcPr>
          <w:p>
            <w:pPr>
              <w:spacing w:after="0" w:line="182" w:lineRule="exact"/>
              <w:rPr>
                <w:sz w:val="20"/>
                <w:szCs w:val="20"/>
                <w:color w:val="auto"/>
              </w:rPr>
            </w:pPr>
            <w:r>
              <w:rPr>
                <w:rFonts w:ascii="Arial" w:cs="Arial" w:eastAsia="Arial" w:hAnsi="Arial"/>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13"/>
          </w:tcPr>
          <w:p>
            <w:pPr>
              <w:spacing w:after="0"/>
              <w:rPr>
                <w:sz w:val="15"/>
                <w:szCs w:val="15"/>
                <w:color w:val="auto"/>
              </w:rPr>
            </w:pPr>
          </w:p>
        </w:tc>
        <w:tc>
          <w:tcPr>
            <w:tcW w:w="492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1"/>
              </w:rPr>
              <w:t>OTHER INFORMATION</w:t>
            </w:r>
          </w:p>
        </w:tc>
        <w:tc>
          <w:tcPr>
            <w:tcW w:w="100" w:type="dxa"/>
            <w:vAlign w:val="bottom"/>
            <w:tcBorders>
              <w:bottom w:val="single" w:sz="8" w:color="0000FF"/>
            </w:tcBorders>
          </w:tcPr>
          <w:p>
            <w:pPr>
              <w:spacing w:after="0"/>
              <w:rPr>
                <w:sz w:val="15"/>
                <w:szCs w:val="15"/>
                <w:color w:val="auto"/>
              </w:rPr>
            </w:pPr>
          </w:p>
        </w:tc>
        <w:tc>
          <w:tcPr>
            <w:tcW w:w="440" w:type="dxa"/>
            <w:vAlign w:val="bottom"/>
            <w:gridSpan w:val="4"/>
          </w:tcPr>
          <w:p>
            <w:pPr>
              <w:spacing w:after="0"/>
              <w:rPr>
                <w:sz w:val="15"/>
                <w:szCs w:val="15"/>
                <w:color w:val="auto"/>
              </w:rPr>
            </w:pPr>
          </w:p>
        </w:tc>
        <w:tc>
          <w:tcPr>
            <w:tcW w:w="2020" w:type="dxa"/>
            <w:vAlign w:val="bottom"/>
            <w:gridSpan w:val="7"/>
          </w:tcPr>
          <w:p>
            <w:pPr>
              <w:spacing w:after="0"/>
              <w:rPr>
                <w:sz w:val="15"/>
                <w:szCs w:val="15"/>
                <w:color w:val="auto"/>
              </w:rPr>
            </w:pPr>
          </w:p>
        </w:tc>
        <w:tc>
          <w:tcPr>
            <w:tcW w:w="4940" w:type="dxa"/>
            <w:vAlign w:val="bottom"/>
            <w:gridSpan w:val="4"/>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w:t>
            </w:r>
          </w:p>
        </w:tc>
        <w:tc>
          <w:tcPr>
            <w:tcW w:w="1900" w:type="dxa"/>
            <w:vAlign w:val="bottom"/>
            <w:gridSpan w:val="8"/>
          </w:tcPr>
          <w:p>
            <w:pPr>
              <w:spacing w:after="0" w:line="182" w:lineRule="exact"/>
              <w:rPr>
                <w:sz w:val="20"/>
                <w:szCs w:val="20"/>
                <w:color w:val="auto"/>
              </w:rPr>
            </w:pPr>
            <w:r>
              <w:rPr>
                <w:rFonts w:ascii="Arial" w:cs="Arial" w:eastAsia="Arial" w:hAnsi="Arial"/>
                <w:sz w:val="18"/>
                <w:szCs w:val="18"/>
                <w:color w:val="0000FF"/>
              </w:rPr>
              <w:t>Legal Proceedings</w:t>
            </w:r>
          </w:p>
        </w:tc>
        <w:tc>
          <w:tcPr>
            <w:tcW w:w="440" w:type="dxa"/>
            <w:vAlign w:val="bottom"/>
            <w:gridSpan w:val="4"/>
          </w:tcPr>
          <w:p>
            <w:pPr>
              <w:spacing w:after="0"/>
              <w:rPr>
                <w:sz w:val="15"/>
                <w:szCs w:val="15"/>
                <w:color w:val="auto"/>
              </w:rPr>
            </w:pPr>
          </w:p>
        </w:tc>
        <w:tc>
          <w:tcPr>
            <w:tcW w:w="2020" w:type="dxa"/>
            <w:vAlign w:val="bottom"/>
            <w:gridSpan w:val="7"/>
          </w:tcPr>
          <w:p>
            <w:pPr>
              <w:spacing w:after="0"/>
              <w:rPr>
                <w:sz w:val="15"/>
                <w:szCs w:val="15"/>
                <w:color w:val="auto"/>
              </w:rPr>
            </w:pPr>
          </w:p>
        </w:tc>
        <w:tc>
          <w:tcPr>
            <w:tcW w:w="49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7"/>
          </w:tcPr>
          <w:p>
            <w:pPr>
              <w:spacing w:after="0"/>
              <w:rPr>
                <w:sz w:val="15"/>
                <w:szCs w:val="15"/>
                <w:color w:val="auto"/>
              </w:rPr>
            </w:pPr>
          </w:p>
        </w:tc>
        <w:tc>
          <w:tcPr>
            <w:tcW w:w="2020" w:type="dxa"/>
            <w:vAlign w:val="bottom"/>
            <w:gridSpan w:val="7"/>
          </w:tcPr>
          <w:p>
            <w:pPr>
              <w:spacing w:after="0"/>
              <w:rPr>
                <w:sz w:val="15"/>
                <w:szCs w:val="15"/>
                <w:color w:val="auto"/>
              </w:rPr>
            </w:pPr>
          </w:p>
        </w:tc>
        <w:tc>
          <w:tcPr>
            <w:tcW w:w="49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Unregistered</w:t>
            </w:r>
          </w:p>
        </w:tc>
        <w:tc>
          <w:tcPr>
            <w:tcW w:w="8360" w:type="dxa"/>
            <w:vAlign w:val="bottom"/>
            <w:gridSpan w:val="20"/>
          </w:tcPr>
          <w:p>
            <w:pPr>
              <w:ind w:left="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9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Mine Safety Disclosures</w:t>
            </w:r>
          </w:p>
        </w:tc>
        <w:tc>
          <w:tcPr>
            <w:tcW w:w="696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52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80" w:type="dxa"/>
            <w:vAlign w:val="bottom"/>
            <w:gridSpan w:val="1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34" w:lineRule="auto"/>
        <w:rPr>
          <w:sz w:val="20"/>
          <w:szCs w:val="20"/>
          <w:color w:val="auto"/>
        </w:rPr>
      </w:pPr>
      <w:r>
        <w:rPr>
          <w:rFonts w:ascii="Arial" w:cs="Arial" w:eastAsia="Arial" w:hAnsi="Arial"/>
          <w:sz w:val="18"/>
          <w:szCs w:val="18"/>
          <w:b w:val="1"/>
          <w:bCs w:val="1"/>
          <w:color w:val="auto"/>
        </w:rPr>
        <w:t>P10,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r>
      <w:tr>
        <w:trPr>
          <w:trHeight w:val="176"/>
        </w:trPr>
        <w:tc>
          <w:tcPr>
            <w:tcW w:w="6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69"/>
        </w:trPr>
        <w:tc>
          <w:tcPr>
            <w:tcW w:w="6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19,415</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40,916</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 receivable</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Due from related parties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30,359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 unconsolidated subsidiaries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Right-of-use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14,789</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tax assets, net</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45,151</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Intangibles,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110,449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128,788</w:t>
            </w:r>
          </w:p>
        </w:tc>
        <w:tc>
          <w:tcPr>
            <w:tcW w:w="100" w:type="dxa"/>
            <w:vAlign w:val="bottom"/>
          </w:tcPr>
          <w:p>
            <w:pPr>
              <w:spacing w:after="0"/>
              <w:rPr>
                <w:sz w:val="18"/>
                <w:szCs w:val="18"/>
                <w:color w:val="auto"/>
              </w:rPr>
            </w:pPr>
          </w:p>
        </w:tc>
      </w:tr>
      <w:tr>
        <w:trPr>
          <w:trHeight w:val="236"/>
        </w:trPr>
        <w:tc>
          <w:tcPr>
            <w:tcW w:w="6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1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418,690</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3"/>
        </w:trPr>
        <w:tc>
          <w:tcPr>
            <w:tcW w:w="6440" w:type="dxa"/>
            <w:vAlign w:val="bottom"/>
          </w:tcPr>
          <w:p>
            <w:pPr>
              <w:ind w:left="380"/>
              <w:spacing w:after="0" w:line="203" w:lineRule="exact"/>
              <w:rPr>
                <w:sz w:val="20"/>
                <w:szCs w:val="20"/>
                <w:color w:val="auto"/>
              </w:rPr>
            </w:pPr>
            <w:r>
              <w:rPr>
                <w:rFonts w:ascii="Arial" w:cs="Arial" w:eastAsia="Arial" w:hAnsi="Arial"/>
                <w:sz w:val="18"/>
                <w:szCs w:val="18"/>
                <w:color w:val="auto"/>
              </w:rPr>
              <w:t>Total assets</w:t>
            </w:r>
          </w:p>
        </w:tc>
        <w:tc>
          <w:tcPr>
            <w:tcW w:w="11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648,287</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676,217</w:t>
            </w:r>
          </w:p>
        </w:tc>
        <w:tc>
          <w:tcPr>
            <w:tcW w:w="100" w:type="dxa"/>
            <w:vAlign w:val="bottom"/>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 and benefits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Due to related parties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liabilities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Contingent consideration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24,330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12,953</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Lease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18"/>
                <w:szCs w:val="18"/>
                <w:color w:val="auto"/>
              </w:rPr>
            </w:pPr>
          </w:p>
        </w:tc>
      </w:tr>
      <w:tr>
        <w:trPr>
          <w:trHeight w:val="236"/>
        </w:trPr>
        <w:tc>
          <w:tcPr>
            <w:tcW w:w="6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Debt obligations</w:t>
            </w:r>
          </w:p>
        </w:tc>
        <w:tc>
          <w:tcPr>
            <w:tcW w:w="1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170,774</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3"/>
        </w:trPr>
        <w:tc>
          <w:tcPr>
            <w:tcW w:w="6440" w:type="dxa"/>
            <w:vAlign w:val="bottom"/>
          </w:tcPr>
          <w:p>
            <w:pPr>
              <w:ind w:left="380"/>
              <w:spacing w:after="0" w:line="203" w:lineRule="exact"/>
              <w:rPr>
                <w:sz w:val="20"/>
                <w:szCs w:val="20"/>
                <w:color w:val="auto"/>
              </w:rPr>
            </w:pPr>
            <w:r>
              <w:rPr>
                <w:rFonts w:ascii="Arial" w:cs="Arial" w:eastAsia="Arial" w:hAnsi="Arial"/>
                <w:sz w:val="18"/>
                <w:szCs w:val="18"/>
                <w:color w:val="auto"/>
              </w:rPr>
              <w:t>Total liabilities</w:t>
            </w:r>
          </w:p>
        </w:tc>
        <w:tc>
          <w:tcPr>
            <w:tcW w:w="1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241,075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281,053</w:t>
            </w:r>
          </w:p>
        </w:tc>
        <w:tc>
          <w:tcPr>
            <w:tcW w:w="100" w:type="dxa"/>
            <w:vAlign w:val="bottom"/>
          </w:tcPr>
          <w:p>
            <w:pPr>
              <w:spacing w:after="0"/>
              <w:rPr>
                <w:sz w:val="17"/>
                <w:szCs w:val="17"/>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64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0"/>
              </w:rPr>
              <w:t>Class A common stock, $0.001 par value; 510,000,000 shares authorized; 41,390,836</w:t>
            </w:r>
          </w:p>
        </w:tc>
        <w:tc>
          <w:tcPr>
            <w:tcW w:w="1380" w:type="dxa"/>
            <w:vAlign w:val="bottom"/>
            <w:gridSpan w:val="2"/>
            <w:shd w:val="clear" w:color="auto" w:fill="CFF0FC"/>
          </w:tcPr>
          <w:p>
            <w:pPr>
              <w:jc w:val="right"/>
              <w:ind w:right="490"/>
              <w:spacing w:after="0" w:line="175" w:lineRule="exact"/>
              <w:rPr>
                <w:sz w:val="20"/>
                <w:szCs w:val="20"/>
                <w:color w:val="auto"/>
              </w:rPr>
            </w:pPr>
            <w:r>
              <w:rPr>
                <w:rFonts w:ascii="Arial" w:cs="Arial" w:eastAsia="Arial" w:hAnsi="Arial"/>
                <w:sz w:val="18"/>
                <w:szCs w:val="18"/>
                <w:color w:val="auto"/>
                <w:w w:val="89"/>
              </w:rPr>
              <w:t>issued and</w:t>
            </w:r>
          </w:p>
        </w:tc>
        <w:tc>
          <w:tcPr>
            <w:tcW w:w="1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440" w:type="dxa"/>
            <w:vAlign w:val="bottom"/>
            <w:shd w:val="clear" w:color="auto" w:fill="CFF0FC"/>
          </w:tcPr>
          <w:p>
            <w:pPr>
              <w:ind w:left="200"/>
              <w:spacing w:after="0" w:line="189" w:lineRule="exact"/>
              <w:rPr>
                <w:sz w:val="20"/>
                <w:szCs w:val="20"/>
                <w:color w:val="auto"/>
              </w:rPr>
            </w:pPr>
            <w:r>
              <w:rPr>
                <w:rFonts w:ascii="Arial" w:cs="Arial" w:eastAsia="Arial" w:hAnsi="Arial"/>
                <w:sz w:val="18"/>
                <w:szCs w:val="18"/>
                <w:color w:val="auto"/>
                <w:w w:val="99"/>
              </w:rPr>
              <w:t>41,102,331 outstanding as of September 30, 2022, and 34,464,920 issued and</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34,464,920 outstanding as of December 31, 2021, respectively</w:t>
            </w: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20"/>
                <w:szCs w:val="20"/>
                <w:color w:val="auto"/>
              </w:rPr>
            </w:pPr>
          </w:p>
        </w:tc>
      </w:tr>
      <w:tr>
        <w:trPr>
          <w:trHeight w:val="175"/>
        </w:trPr>
        <w:tc>
          <w:tcPr>
            <w:tcW w:w="7820" w:type="dxa"/>
            <w:vAlign w:val="bottom"/>
            <w:gridSpan w:val="3"/>
          </w:tcPr>
          <w:p>
            <w:pPr>
              <w:ind w:left="200"/>
              <w:spacing w:after="0" w:line="175" w:lineRule="exact"/>
              <w:rPr>
                <w:sz w:val="20"/>
                <w:szCs w:val="20"/>
                <w:color w:val="auto"/>
              </w:rPr>
            </w:pPr>
            <w:r>
              <w:rPr>
                <w:rFonts w:ascii="Arial" w:cs="Arial" w:eastAsia="Arial" w:hAnsi="Arial"/>
                <w:sz w:val="18"/>
                <w:szCs w:val="18"/>
                <w:color w:val="auto"/>
              </w:rPr>
              <w:t>Class B common stock, $0.001 par value; 180,000,000 shares authorized; 76,266,513 shares</w:t>
            </w: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820" w:type="dxa"/>
            <w:vAlign w:val="bottom"/>
            <w:gridSpan w:val="3"/>
          </w:tcPr>
          <w:p>
            <w:pPr>
              <w:ind w:left="200"/>
              <w:spacing w:after="0" w:line="189" w:lineRule="exact"/>
              <w:rPr>
                <w:sz w:val="20"/>
                <w:szCs w:val="20"/>
                <w:color w:val="auto"/>
              </w:rPr>
            </w:pPr>
            <w:r>
              <w:rPr>
                <w:rFonts w:ascii="Arial" w:cs="Arial" w:eastAsia="Arial" w:hAnsi="Arial"/>
                <w:sz w:val="18"/>
                <w:szCs w:val="18"/>
                <w:color w:val="auto"/>
                <w:w w:val="94"/>
              </w:rPr>
              <w:t>issued and 76,143,061 shares outstanding as of September 30, 2022, and 82,851,279 shares issued</w:t>
            </w: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6440" w:type="dxa"/>
            <w:vAlign w:val="bottom"/>
          </w:tcPr>
          <w:p>
            <w:pPr>
              <w:ind w:left="200"/>
              <w:spacing w:after="0"/>
              <w:rPr>
                <w:sz w:val="20"/>
                <w:szCs w:val="20"/>
                <w:color w:val="auto"/>
              </w:rPr>
            </w:pPr>
            <w:r>
              <w:rPr>
                <w:rFonts w:ascii="Arial" w:cs="Arial" w:eastAsia="Arial" w:hAnsi="Arial"/>
                <w:sz w:val="18"/>
                <w:szCs w:val="18"/>
                <w:color w:val="auto"/>
              </w:rPr>
              <w:t>and 82,727,827 shares outstanding as of December 31, 2021, respectively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(3,439 )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(273 )</w:t>
            </w: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641,055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650,405</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(230,521 )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(255,085 )</w:t>
            </w:r>
          </w:p>
        </w:tc>
      </w:tr>
      <w:tr>
        <w:trPr>
          <w:trHeight w:val="210"/>
        </w:trPr>
        <w:tc>
          <w:tcPr>
            <w:tcW w:w="64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stockholders' equity</w:t>
            </w:r>
          </w:p>
        </w:tc>
        <w:tc>
          <w:tcPr>
            <w:tcW w:w="11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407,212</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395,164</w:t>
            </w:r>
          </w:p>
        </w:tc>
        <w:tc>
          <w:tcPr>
            <w:tcW w:w="100" w:type="dxa"/>
            <w:vAlign w:val="bottom"/>
            <w:tcBorders>
              <w:top w:val="single" w:sz="8" w:color="CFF0FC"/>
            </w:tcBorders>
          </w:tcPr>
          <w:p>
            <w:pPr>
              <w:spacing w:after="0"/>
              <w:rPr>
                <w:sz w:val="18"/>
                <w:szCs w:val="18"/>
                <w:color w:val="auto"/>
              </w:rPr>
            </w:pPr>
          </w:p>
        </w:tc>
      </w:tr>
      <w:tr>
        <w:trPr>
          <w:trHeight w:val="249"/>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648,287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676,217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-316865</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4"/>
                <w:szCs w:val="14"/>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Ended September 30,</w:t>
            </w:r>
          </w:p>
        </w:tc>
        <w:tc>
          <w:tcPr>
            <w:tcW w:w="260" w:type="dxa"/>
            <w:vAlign w:val="bottom"/>
          </w:tcPr>
          <w:p>
            <w:pPr>
              <w:spacing w:after="0"/>
              <w:rPr>
                <w:sz w:val="16"/>
                <w:szCs w:val="16"/>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74"/>
        </w:trPr>
        <w:tc>
          <w:tcPr>
            <w:tcW w:w="5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Management and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49,479</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37,939</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138,957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49,996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140,015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Professional fees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General, administrative and other</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 expense</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(26 )</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18,487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Strategic alliance expense</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39,736</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27,081</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102,385</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76,871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OTHER (EXPENSE)/INCOME</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implied on notes payable to sellers</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(657 )</w:t>
            </w: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(2,358 )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(5,261 )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(5,268 )</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(15,761 )</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(2,175 )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(5,227 )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(3,965 )</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(15,616 )</w:t>
            </w: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 before income taxes</w:t>
            </w: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8,085</w:t>
            </w: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5,837</w:t>
            </w:r>
          </w:p>
        </w:tc>
        <w:tc>
          <w:tcPr>
            <w:tcW w:w="2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33,665</w:t>
            </w:r>
          </w:p>
        </w:tc>
        <w:tc>
          <w:tcPr>
            <w:tcW w:w="2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(2,468 )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(1,759 )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(9,102 )</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(3,154 )</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900" w:type="dxa"/>
            <w:vAlign w:val="bottom"/>
          </w:tcPr>
          <w:p>
            <w:pPr>
              <w:ind w:left="200"/>
              <w:spacing w:after="0" w:line="168" w:lineRule="exact"/>
              <w:rPr>
                <w:sz w:val="20"/>
                <w:szCs w:val="20"/>
                <w:color w:val="auto"/>
              </w:rPr>
            </w:pPr>
            <w:r>
              <w:rPr>
                <w:rFonts w:ascii="Arial" w:cs="Arial" w:eastAsia="Arial" w:hAnsi="Arial"/>
                <w:sz w:val="18"/>
                <w:szCs w:val="18"/>
                <w:color w:val="auto"/>
              </w:rPr>
              <w:t>Less: preferred dividends attributable to redeemable</w:t>
            </w:r>
          </w:p>
        </w:tc>
        <w:tc>
          <w:tcPr>
            <w:tcW w:w="280" w:type="dxa"/>
            <w:vAlign w:val="bottom"/>
          </w:tcPr>
          <w:p>
            <w:pPr>
              <w:spacing w:after="0"/>
              <w:rPr>
                <w:sz w:val="14"/>
                <w:szCs w:val="14"/>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(494 )</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(1,483 )</w:t>
            </w:r>
          </w:p>
        </w:tc>
        <w:tc>
          <w:tcPr>
            <w:tcW w:w="0" w:type="dxa"/>
            <w:vAlign w:val="bottom"/>
          </w:tcPr>
          <w:p>
            <w:pPr>
              <w:spacing w:after="0"/>
              <w:rPr>
                <w:sz w:val="1"/>
                <w:szCs w:val="1"/>
                <w:color w:val="auto"/>
              </w:rPr>
            </w:pPr>
          </w:p>
        </w:tc>
      </w:tr>
      <w:tr>
        <w:trPr>
          <w:trHeight w:val="217"/>
        </w:trPr>
        <w:tc>
          <w:tcPr>
            <w:tcW w:w="590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ATTRIBUTABLE TO P10</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59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paid per share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117,210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117,210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121,532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66,788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121,362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-3977005</wp:posOffset>
            </wp:positionV>
            <wp:extent cx="7683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-3977005</wp:posOffset>
            </wp:positionV>
            <wp:extent cx="68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-3977005</wp:posOffset>
            </wp:positionV>
            <wp:extent cx="6858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-2870835</wp:posOffset>
            </wp:positionV>
            <wp:extent cx="7683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-2870835</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-2870835</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-2030730</wp:posOffset>
            </wp:positionV>
            <wp:extent cx="7683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-2030730</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-2030730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-1447800</wp:posOffset>
            </wp:positionV>
            <wp:extent cx="76835" cy="266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26606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-1447800</wp:posOffset>
            </wp:positionV>
            <wp:extent cx="68580" cy="266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-1447800</wp:posOffset>
            </wp:positionV>
            <wp:extent cx="68580" cy="266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266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-1045210</wp:posOffset>
            </wp:positionV>
            <wp:extent cx="2657475" cy="317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7475" cy="31750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0"/>
        </w:trPr>
        <w:tc>
          <w:tcPr>
            <w:tcW w:w="2100" w:type="dxa"/>
            <w:vAlign w:val="bottom"/>
          </w:tcPr>
          <w:p>
            <w:pPr>
              <w:spacing w:after="0"/>
              <w:rPr>
                <w:sz w:val="13"/>
                <w:szCs w:val="13"/>
                <w:color w:val="auto"/>
              </w:rPr>
            </w:pPr>
          </w:p>
        </w:tc>
        <w:tc>
          <w:tcPr>
            <w:tcW w:w="12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tcPr>
          <w:p>
            <w:pPr>
              <w:jc w:val="center"/>
              <w:spacing w:after="0"/>
              <w:rPr>
                <w:sz w:val="20"/>
                <w:szCs w:val="20"/>
                <w:color w:val="auto"/>
              </w:rPr>
            </w:pPr>
            <w:r>
              <w:rPr>
                <w:rFonts w:ascii="Arial" w:cs="Arial" w:eastAsia="Arial" w:hAnsi="Arial"/>
                <w:sz w:val="13"/>
                <w:szCs w:val="13"/>
                <w:b w:val="1"/>
                <w:bCs w:val="1"/>
                <w:color w:val="auto"/>
                <w:w w:val="93"/>
              </w:rPr>
              <w:t>Common Stock - Class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7"/>
          </w:tcPr>
          <w:p>
            <w:pPr>
              <w:jc w:val="right"/>
              <w:ind w:right="260"/>
              <w:spacing w:after="0"/>
              <w:rPr>
                <w:sz w:val="20"/>
                <w:szCs w:val="20"/>
                <w:color w:val="auto"/>
              </w:rPr>
            </w:pPr>
            <w:r>
              <w:rPr>
                <w:rFonts w:ascii="Arial" w:cs="Arial" w:eastAsia="Arial" w:hAnsi="Arial"/>
                <w:sz w:val="13"/>
                <w:szCs w:val="13"/>
                <w:b w:val="1"/>
                <w:bCs w:val="1"/>
                <w:color w:val="auto"/>
                <w:w w:val="93"/>
              </w:rPr>
              <w:t>Common Stock - Class</w:t>
            </w:r>
          </w:p>
        </w:tc>
        <w:tc>
          <w:tcPr>
            <w:tcW w:w="11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Treasury stock</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1240" w:type="dxa"/>
            <w:vAlign w:val="bottom"/>
            <w:tcBorders>
              <w:bottom w:val="single" w:sz="8" w:color="auto"/>
            </w:tcBorders>
            <w:gridSpan w:val="4"/>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rPr>
              <w:t>A</w:t>
            </w: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B</w:t>
            </w: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gridSpan w:val="4"/>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5"/>
                <w:szCs w:val="15"/>
                <w:color w:val="auto"/>
              </w:rPr>
            </w:pPr>
          </w:p>
        </w:tc>
        <w:tc>
          <w:tcPr>
            <w:tcW w:w="740" w:type="dxa"/>
            <w:vAlign w:val="bottom"/>
            <w:gridSpan w:val="2"/>
          </w:tcPr>
          <w:p>
            <w:pPr>
              <w:jc w:val="center"/>
              <w:ind w:right="193"/>
              <w:spacing w:after="0"/>
              <w:rPr>
                <w:sz w:val="20"/>
                <w:szCs w:val="20"/>
                <w:color w:val="auto"/>
              </w:rPr>
            </w:pPr>
            <w:r>
              <w:rPr>
                <w:rFonts w:ascii="Arial" w:cs="Arial" w:eastAsia="Arial" w:hAnsi="Arial"/>
                <w:sz w:val="13"/>
                <w:szCs w:val="13"/>
                <w:b w:val="1"/>
                <w:bCs w:val="1"/>
                <w:color w:val="auto"/>
              </w:rPr>
              <w:t>d</w:t>
            </w:r>
          </w:p>
        </w:tc>
        <w:tc>
          <w:tcPr>
            <w:tcW w:w="140" w:type="dxa"/>
            <w:vAlign w:val="bottom"/>
          </w:tcPr>
          <w:p>
            <w:pPr>
              <w:spacing w:after="0"/>
              <w:rPr>
                <w:sz w:val="15"/>
                <w:szCs w:val="15"/>
                <w:color w:val="auto"/>
              </w:rPr>
            </w:pPr>
          </w:p>
        </w:tc>
        <w:tc>
          <w:tcPr>
            <w:tcW w:w="660" w:type="dxa"/>
            <w:vAlign w:val="bottom"/>
          </w:tcPr>
          <w:p>
            <w:pPr>
              <w:jc w:val="center"/>
              <w:ind w:right="7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100" w:type="dxa"/>
            <w:vAlign w:val="bottom"/>
          </w:tcPr>
          <w:p>
            <w:pPr>
              <w:spacing w:after="0"/>
              <w:rPr>
                <w:sz w:val="11"/>
                <w:szCs w:val="11"/>
                <w:color w:val="auto"/>
              </w:rPr>
            </w:pPr>
          </w:p>
        </w:tc>
        <w:tc>
          <w:tcPr>
            <w:tcW w:w="6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780" w:type="dxa"/>
            <w:vAlign w:val="bottom"/>
            <w:gridSpan w:val="4"/>
            <w:vMerge w:val="restart"/>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60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4"/>
            <w:vMerge w:val="restart"/>
          </w:tcPr>
          <w:p>
            <w:pPr>
              <w:jc w:val="right"/>
              <w:ind w:right="233"/>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1"/>
                <w:szCs w:val="11"/>
                <w:color w:val="auto"/>
              </w:rPr>
            </w:pPr>
          </w:p>
        </w:tc>
        <w:tc>
          <w:tcPr>
            <w:tcW w:w="740" w:type="dxa"/>
            <w:vAlign w:val="bottom"/>
            <w:gridSpan w:val="2"/>
            <w:vMerge w:val="restart"/>
          </w:tcPr>
          <w:p>
            <w:pPr>
              <w:jc w:val="center"/>
              <w:ind w:right="173"/>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1"/>
                <w:szCs w:val="11"/>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62,464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3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2"/>
              </w:rPr>
              <w:t>(273</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324,310</w:t>
            </w: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(264,259</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59,841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0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Net income attributable to P10</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gridSpan w:val="2"/>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gridSpan w:val="2"/>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2,215</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2,215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620" w:type="dxa"/>
            <w:vAlign w:val="bottom"/>
          </w:tcPr>
          <w:p>
            <w:pPr>
              <w:jc w:val="right"/>
              <w:spacing w:after="0"/>
              <w:rPr>
                <w:sz w:val="20"/>
                <w:szCs w:val="20"/>
                <w:color w:val="auto"/>
              </w:rPr>
            </w:pPr>
            <w:r>
              <w:rPr>
                <w:rFonts w:ascii="Arial" w:cs="Arial" w:eastAsia="Arial" w:hAnsi="Arial"/>
                <w:sz w:val="13"/>
                <w:szCs w:val="13"/>
                <w:color w:val="auto"/>
              </w:rPr>
              <w:t>62,464</w:t>
            </w:r>
          </w:p>
        </w:tc>
        <w:tc>
          <w:tcPr>
            <w:tcW w:w="240" w:type="dxa"/>
            <w:vAlign w:val="bottom"/>
            <w:gridSpan w:val="2"/>
          </w:tcPr>
          <w:p>
            <w:pPr>
              <w:spacing w:after="0"/>
              <w:rPr>
                <w:sz w:val="14"/>
                <w:szCs w:val="14"/>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spacing w:after="0"/>
              <w:rPr>
                <w:sz w:val="14"/>
                <w:szCs w:val="14"/>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123</w:t>
            </w:r>
          </w:p>
        </w:tc>
        <w:tc>
          <w:tcPr>
            <w:tcW w:w="220" w:type="dxa"/>
            <w:vAlign w:val="bottom"/>
            <w:gridSpan w:val="2"/>
          </w:tcPr>
          <w:p>
            <w:pPr>
              <w:spacing w:after="0"/>
              <w:rPr>
                <w:sz w:val="14"/>
                <w:szCs w:val="14"/>
                <w:color w:val="auto"/>
              </w:rPr>
            </w:pP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w w:val="98"/>
              </w:rPr>
              <w:t>(273 ) $</w:t>
            </w:r>
          </w:p>
        </w:tc>
        <w:tc>
          <w:tcPr>
            <w:tcW w:w="640" w:type="dxa"/>
            <w:vAlign w:val="bottom"/>
          </w:tcPr>
          <w:p>
            <w:pPr>
              <w:jc w:val="right"/>
              <w:spacing w:after="0"/>
              <w:rPr>
                <w:sz w:val="20"/>
                <w:szCs w:val="20"/>
                <w:color w:val="auto"/>
              </w:rPr>
            </w:pPr>
            <w:r>
              <w:rPr>
                <w:rFonts w:ascii="Arial" w:cs="Arial" w:eastAsia="Arial" w:hAnsi="Arial"/>
                <w:sz w:val="13"/>
                <w:szCs w:val="13"/>
                <w:color w:val="auto"/>
              </w:rPr>
              <w:t>324,734</w:t>
            </w:r>
          </w:p>
        </w:tc>
        <w:tc>
          <w:tcPr>
            <w:tcW w:w="1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(262,044 ) $</w:t>
            </w:r>
          </w:p>
        </w:tc>
        <w:tc>
          <w:tcPr>
            <w:tcW w:w="660" w:type="dxa"/>
            <w:vAlign w:val="bottom"/>
          </w:tcPr>
          <w:p>
            <w:pPr>
              <w:jc w:val="right"/>
              <w:spacing w:after="0"/>
              <w:rPr>
                <w:sz w:val="20"/>
                <w:szCs w:val="20"/>
                <w:color w:val="auto"/>
              </w:rPr>
            </w:pPr>
            <w:r>
              <w:rPr>
                <w:rFonts w:ascii="Arial" w:cs="Arial" w:eastAsia="Arial" w:hAnsi="Arial"/>
                <w:sz w:val="13"/>
                <w:szCs w:val="13"/>
                <w:color w:val="auto"/>
              </w:rPr>
              <w:t>62,480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100" w:type="dxa"/>
            <w:vAlign w:val="bottom"/>
          </w:tcPr>
          <w:p>
            <w:pPr>
              <w:ind w:left="200"/>
              <w:spacing w:after="0"/>
              <w:rPr>
                <w:sz w:val="20"/>
                <w:szCs w:val="20"/>
                <w:color w:val="auto"/>
              </w:rPr>
            </w:pPr>
            <w:r>
              <w:rPr>
                <w:rFonts w:ascii="Arial" w:cs="Arial" w:eastAsia="Arial" w:hAnsi="Arial"/>
                <w:sz w:val="13"/>
                <w:szCs w:val="13"/>
                <w:color w:val="auto"/>
              </w:rPr>
              <w:t>Net income attributable to P10</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62,464</w:t>
            </w: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FF0FC"/>
          </w:tcPr>
          <w:p>
            <w:pPr>
              <w:jc w:val="right"/>
              <w:ind w:right="233"/>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2"/>
              </w:rPr>
              <w:t>(273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325,301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(260,066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65,025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10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461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Net income attributable to P10</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3,584</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620" w:type="dxa"/>
            <w:vAlign w:val="bottom"/>
          </w:tcPr>
          <w:p>
            <w:pPr>
              <w:jc w:val="right"/>
              <w:spacing w:after="0"/>
              <w:rPr>
                <w:sz w:val="20"/>
                <w:szCs w:val="20"/>
                <w:color w:val="auto"/>
              </w:rPr>
            </w:pPr>
            <w:r>
              <w:rPr>
                <w:rFonts w:ascii="Arial" w:cs="Arial" w:eastAsia="Arial" w:hAnsi="Arial"/>
                <w:sz w:val="13"/>
                <w:szCs w:val="13"/>
                <w:color w:val="auto"/>
              </w:rPr>
              <w:t>62,464</w:t>
            </w:r>
          </w:p>
        </w:tc>
        <w:tc>
          <w:tcPr>
            <w:tcW w:w="120" w:type="dxa"/>
            <w:vAlign w:val="bottom"/>
          </w:tcPr>
          <w:p>
            <w:pPr>
              <w:spacing w:after="0"/>
              <w:rPr>
                <w:sz w:val="14"/>
                <w:szCs w:val="14"/>
                <w:color w:val="auto"/>
              </w:rPr>
            </w:pPr>
          </w:p>
        </w:tc>
        <w:tc>
          <w:tcPr>
            <w:tcW w:w="500" w:type="dxa"/>
            <w:vAlign w:val="bottom"/>
            <w:gridSpan w:val="2"/>
          </w:tcPr>
          <w:p>
            <w:pPr>
              <w:jc w:val="right"/>
              <w:ind w:right="233"/>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4"/>
                <w:szCs w:val="14"/>
                <w:color w:val="auto"/>
              </w:rPr>
            </w:pPr>
          </w:p>
        </w:tc>
        <w:tc>
          <w:tcPr>
            <w:tcW w:w="4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w w:val="98"/>
              </w:rPr>
              <w:t>(273 ) $</w:t>
            </w:r>
          </w:p>
        </w:tc>
        <w:tc>
          <w:tcPr>
            <w:tcW w:w="640" w:type="dxa"/>
            <w:vAlign w:val="bottom"/>
          </w:tcPr>
          <w:p>
            <w:pPr>
              <w:jc w:val="right"/>
              <w:spacing w:after="0"/>
              <w:rPr>
                <w:sz w:val="20"/>
                <w:szCs w:val="20"/>
                <w:color w:val="auto"/>
              </w:rPr>
            </w:pPr>
            <w:r>
              <w:rPr>
                <w:rFonts w:ascii="Arial" w:cs="Arial" w:eastAsia="Arial" w:hAnsi="Arial"/>
                <w:sz w:val="13"/>
                <w:szCs w:val="13"/>
                <w:color w:val="auto"/>
              </w:rPr>
              <w:t>325,762</w:t>
            </w:r>
          </w:p>
        </w:tc>
        <w:tc>
          <w:tcPr>
            <w:tcW w:w="1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(256,482 ) $</w:t>
            </w:r>
          </w:p>
        </w:tc>
        <w:tc>
          <w:tcPr>
            <w:tcW w:w="660" w:type="dxa"/>
            <w:vAlign w:val="bottom"/>
          </w:tcPr>
          <w:p>
            <w:pPr>
              <w:jc w:val="right"/>
              <w:spacing w:after="0"/>
              <w:rPr>
                <w:sz w:val="20"/>
                <w:szCs w:val="20"/>
                <w:color w:val="auto"/>
              </w:rPr>
            </w:pPr>
            <w:r>
              <w:rPr>
                <w:rFonts w:ascii="Arial" w:cs="Arial" w:eastAsia="Arial" w:hAnsi="Arial"/>
                <w:sz w:val="13"/>
                <w:szCs w:val="13"/>
                <w:color w:val="auto"/>
              </w:rPr>
              <w:t>69,070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93"/>
              <w:spacing w:after="0" w:line="144" w:lineRule="exact"/>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tcPr>
          <w:p>
            <w:pPr>
              <w:jc w:val="center"/>
              <w:spacing w:after="0"/>
              <w:rPr>
                <w:sz w:val="20"/>
                <w:szCs w:val="20"/>
                <w:color w:val="auto"/>
              </w:rPr>
            </w:pPr>
            <w:r>
              <w:rPr>
                <w:rFonts w:ascii="Arial" w:cs="Arial" w:eastAsia="Arial" w:hAnsi="Arial"/>
                <w:sz w:val="13"/>
                <w:szCs w:val="13"/>
                <w:b w:val="1"/>
                <w:bCs w:val="1"/>
                <w:color w:val="auto"/>
                <w:w w:val="93"/>
              </w:rPr>
              <w:t>Common Stock - Class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7"/>
          </w:tcPr>
          <w:p>
            <w:pPr>
              <w:jc w:val="right"/>
              <w:ind w:right="260"/>
              <w:spacing w:after="0"/>
              <w:rPr>
                <w:sz w:val="20"/>
                <w:szCs w:val="20"/>
                <w:color w:val="auto"/>
              </w:rPr>
            </w:pPr>
            <w:r>
              <w:rPr>
                <w:rFonts w:ascii="Arial" w:cs="Arial" w:eastAsia="Arial" w:hAnsi="Arial"/>
                <w:sz w:val="13"/>
                <w:szCs w:val="13"/>
                <w:b w:val="1"/>
                <w:bCs w:val="1"/>
                <w:color w:val="auto"/>
                <w:w w:val="93"/>
              </w:rPr>
              <w:t>Common Stock - Class</w:t>
            </w:r>
          </w:p>
        </w:tc>
        <w:tc>
          <w:tcPr>
            <w:tcW w:w="11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Treasury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1240" w:type="dxa"/>
            <w:vAlign w:val="bottom"/>
            <w:tcBorders>
              <w:bottom w:val="single" w:sz="8" w:color="auto"/>
            </w:tcBorders>
            <w:gridSpan w:val="4"/>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rPr>
              <w:t>A</w:t>
            </w: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B</w:t>
            </w: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gridSpan w:val="4"/>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5"/>
                <w:szCs w:val="15"/>
                <w:color w:val="auto"/>
              </w:rPr>
            </w:pPr>
          </w:p>
        </w:tc>
        <w:tc>
          <w:tcPr>
            <w:tcW w:w="740" w:type="dxa"/>
            <w:vAlign w:val="bottom"/>
            <w:gridSpan w:val="2"/>
          </w:tcPr>
          <w:p>
            <w:pPr>
              <w:jc w:val="center"/>
              <w:ind w:right="193"/>
              <w:spacing w:after="0"/>
              <w:rPr>
                <w:sz w:val="20"/>
                <w:szCs w:val="20"/>
                <w:color w:val="auto"/>
              </w:rPr>
            </w:pPr>
            <w:r>
              <w:rPr>
                <w:rFonts w:ascii="Arial" w:cs="Arial" w:eastAsia="Arial" w:hAnsi="Arial"/>
                <w:sz w:val="13"/>
                <w:szCs w:val="13"/>
                <w:b w:val="1"/>
                <w:bCs w:val="1"/>
                <w:color w:val="auto"/>
              </w:rPr>
              <w:t>d</w:t>
            </w:r>
          </w:p>
        </w:tc>
        <w:tc>
          <w:tcPr>
            <w:tcW w:w="140" w:type="dxa"/>
            <w:vAlign w:val="bottom"/>
          </w:tcPr>
          <w:p>
            <w:pPr>
              <w:spacing w:after="0"/>
              <w:rPr>
                <w:sz w:val="15"/>
                <w:szCs w:val="15"/>
                <w:color w:val="auto"/>
              </w:rPr>
            </w:pPr>
          </w:p>
        </w:tc>
        <w:tc>
          <w:tcPr>
            <w:tcW w:w="660" w:type="dxa"/>
            <w:vAlign w:val="bottom"/>
          </w:tcPr>
          <w:p>
            <w:pPr>
              <w:jc w:val="center"/>
              <w:ind w:right="7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100" w:type="dxa"/>
            <w:vAlign w:val="bottom"/>
          </w:tcPr>
          <w:p>
            <w:pPr>
              <w:spacing w:after="0"/>
              <w:rPr>
                <w:sz w:val="11"/>
                <w:szCs w:val="11"/>
                <w:color w:val="auto"/>
              </w:rPr>
            </w:pPr>
          </w:p>
        </w:tc>
        <w:tc>
          <w:tcPr>
            <w:tcW w:w="6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780" w:type="dxa"/>
            <w:vAlign w:val="bottom"/>
            <w:gridSpan w:val="4"/>
            <w:vMerge w:val="restart"/>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60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4"/>
            <w:vMerge w:val="restart"/>
          </w:tcPr>
          <w:p>
            <w:pPr>
              <w:jc w:val="right"/>
              <w:ind w:right="233"/>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1"/>
                <w:szCs w:val="11"/>
                <w:color w:val="auto"/>
              </w:rPr>
            </w:pPr>
          </w:p>
        </w:tc>
        <w:tc>
          <w:tcPr>
            <w:tcW w:w="740" w:type="dxa"/>
            <w:vAlign w:val="bottom"/>
            <w:gridSpan w:val="2"/>
            <w:vMerge w:val="restart"/>
          </w:tcPr>
          <w:p>
            <w:pPr>
              <w:jc w:val="center"/>
              <w:ind w:right="173"/>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1"/>
                <w:szCs w:val="11"/>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3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34,464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00" w:type="dxa"/>
            <w:vAlign w:val="bottom"/>
            <w:gridSpan w:val="2"/>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82,727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20" w:type="dxa"/>
            <w:vAlign w:val="bottom"/>
            <w:gridSpan w:val="2"/>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2"/>
              </w:rPr>
              <w:t>(273</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650,405</w:t>
            </w: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(255,085</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395,164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0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offering costs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(70 )</w:t>
            </w: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(70 )</w:t>
            </w:r>
          </w:p>
        </w:tc>
        <w:tc>
          <w:tcPr>
            <w:tcW w:w="0" w:type="dxa"/>
            <w:vAlign w:val="bottom"/>
          </w:tcPr>
          <w:p>
            <w:pPr>
              <w:spacing w:after="0"/>
              <w:rPr>
                <w:sz w:val="1"/>
                <w:szCs w:val="1"/>
                <w:color w:val="auto"/>
              </w:rPr>
            </w:pPr>
          </w:p>
        </w:tc>
      </w:tr>
      <w:tr>
        <w:trPr>
          <w:trHeight w:val="174"/>
        </w:trPr>
        <w:tc>
          <w:tcPr>
            <w:tcW w:w="2100" w:type="dxa"/>
            <w:vAlign w:val="bottom"/>
          </w:tcPr>
          <w:p>
            <w:pPr>
              <w:ind w:left="200"/>
              <w:spacing w:after="0"/>
              <w:rPr>
                <w:sz w:val="20"/>
                <w:szCs w:val="20"/>
                <w:color w:val="auto"/>
              </w:rPr>
            </w:pPr>
            <w:r>
              <w:rPr>
                <w:rFonts w:ascii="Arial" w:cs="Arial" w:eastAsia="Arial" w:hAnsi="Arial"/>
                <w:sz w:val="13"/>
                <w:szCs w:val="13"/>
                <w:color w:val="auto"/>
              </w:rPr>
              <w:t>Net income attributable to P10</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7,792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100" w:type="dxa"/>
            <w:vAlign w:val="bottom"/>
            <w:shd w:val="clear" w:color="auto" w:fill="CFF0FC"/>
          </w:tcPr>
          <w:p>
            <w:pPr>
              <w:ind w:left="200"/>
              <w:spacing w:after="0" w:line="139" w:lineRule="exact"/>
              <w:rPr>
                <w:sz w:val="20"/>
                <w:szCs w:val="20"/>
                <w:color w:val="auto"/>
              </w:rPr>
            </w:pPr>
            <w:r>
              <w:rPr>
                <w:rFonts w:ascii="Arial" w:cs="Arial" w:eastAsia="Arial" w:hAnsi="Arial"/>
                <w:sz w:val="13"/>
                <w:szCs w:val="13"/>
                <w:color w:val="auto"/>
              </w:rPr>
              <w:t>Exchange of Class B common</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1,222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920" w:type="dxa"/>
            <w:vAlign w:val="bottom"/>
            <w:gridSpan w:val="4"/>
            <w:vMerge w:val="restart"/>
            <w:shd w:val="clear" w:color="auto" w:fill="CFF0FC"/>
          </w:tcPr>
          <w:p>
            <w:pPr>
              <w:jc w:val="right"/>
              <w:spacing w:after="0"/>
              <w:rPr>
                <w:sz w:val="20"/>
                <w:szCs w:val="20"/>
                <w:color w:val="auto"/>
              </w:rPr>
            </w:pPr>
            <w:r>
              <w:rPr>
                <w:rFonts w:ascii="Arial" w:cs="Arial" w:eastAsia="Arial" w:hAnsi="Arial"/>
                <w:sz w:val="13"/>
                <w:szCs w:val="13"/>
                <w:color w:val="auto"/>
              </w:rPr>
              <w:t>(1,220 )</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(1 )</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500" w:type="dxa"/>
            <w:vAlign w:val="bottom"/>
            <w:gridSpan w:val="3"/>
            <w:vMerge w:val="restart"/>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for Class A common stock</w:t>
            </w:r>
          </w:p>
        </w:tc>
        <w:tc>
          <w:tcPr>
            <w:tcW w:w="6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860" w:type="dxa"/>
            <w:vAlign w:val="bottom"/>
            <w:gridSpan w:val="3"/>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920" w:type="dxa"/>
            <w:vAlign w:val="bottom"/>
            <w:gridSpan w:val="4"/>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gridSpan w:val="3"/>
            <w:vMerge w:val="continue"/>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100" w:type="dxa"/>
            <w:vAlign w:val="bottom"/>
          </w:tcPr>
          <w:p>
            <w:pPr>
              <w:ind w:left="200"/>
              <w:spacing w:after="0"/>
              <w:rPr>
                <w:sz w:val="20"/>
                <w:szCs w:val="20"/>
                <w:color w:val="auto"/>
              </w:rPr>
            </w:pPr>
            <w:r>
              <w:rPr>
                <w:rFonts w:ascii="Arial" w:cs="Arial" w:eastAsia="Arial" w:hAnsi="Arial"/>
                <w:sz w:val="13"/>
                <w:szCs w:val="13"/>
                <w:color w:val="auto"/>
              </w:rPr>
              <w:t>Settlement of stock options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(12,466 )</w:t>
            </w:r>
          </w:p>
        </w:tc>
        <w:tc>
          <w:tcPr>
            <w:tcW w:w="140" w:type="dxa"/>
            <w:vAlign w:val="bottom"/>
          </w:tcPr>
          <w:p>
            <w:pPr>
              <w:spacing w:after="0"/>
              <w:rPr>
                <w:sz w:val="15"/>
                <w:szCs w:val="15"/>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(12,466 )</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3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35,686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81,507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2"/>
              </w:rPr>
              <w:t>(273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639,384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(247,293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391,935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10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income attributable to P10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11,154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100" w:type="dxa"/>
            <w:vAlign w:val="bottom"/>
          </w:tcPr>
          <w:p>
            <w:pPr>
              <w:ind w:left="200"/>
              <w:spacing w:after="0" w:line="138" w:lineRule="exact"/>
              <w:rPr>
                <w:sz w:val="20"/>
                <w:szCs w:val="20"/>
                <w:color w:val="auto"/>
              </w:rPr>
            </w:pPr>
            <w:r>
              <w:rPr>
                <w:rFonts w:ascii="Arial" w:cs="Arial" w:eastAsia="Arial" w:hAnsi="Arial"/>
                <w:sz w:val="13"/>
                <w:szCs w:val="13"/>
                <w:color w:val="auto"/>
              </w:rPr>
              <w:t>Exchange of Class B common</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vMerge w:val="restart"/>
          </w:tcPr>
          <w:p>
            <w:pPr>
              <w:jc w:val="right"/>
              <w:spacing w:after="0"/>
              <w:rPr>
                <w:sz w:val="20"/>
                <w:szCs w:val="20"/>
                <w:color w:val="auto"/>
              </w:rPr>
            </w:pPr>
            <w:r>
              <w:rPr>
                <w:rFonts w:ascii="Arial" w:cs="Arial" w:eastAsia="Arial" w:hAnsi="Arial"/>
                <w:sz w:val="13"/>
                <w:szCs w:val="13"/>
                <w:color w:val="auto"/>
              </w:rPr>
              <w:t>1,622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920" w:type="dxa"/>
            <w:vAlign w:val="bottom"/>
            <w:gridSpan w:val="4"/>
            <w:vMerge w:val="restart"/>
          </w:tcPr>
          <w:p>
            <w:pPr>
              <w:jc w:val="right"/>
              <w:spacing w:after="0"/>
              <w:rPr>
                <w:sz w:val="20"/>
                <w:szCs w:val="20"/>
                <w:color w:val="auto"/>
              </w:rPr>
            </w:pPr>
            <w:r>
              <w:rPr>
                <w:rFonts w:ascii="Arial" w:cs="Arial" w:eastAsia="Arial" w:hAnsi="Arial"/>
                <w:sz w:val="13"/>
                <w:szCs w:val="13"/>
                <w:color w:val="auto"/>
              </w:rPr>
              <w:t>(1,622 )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(2 )</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3"/>
            <w:vMerge w:val="restart"/>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100" w:type="dxa"/>
            <w:vAlign w:val="bottom"/>
          </w:tcPr>
          <w:p>
            <w:pPr>
              <w:ind w:left="200"/>
              <w:spacing w:after="0"/>
              <w:rPr>
                <w:sz w:val="20"/>
                <w:szCs w:val="20"/>
                <w:color w:val="auto"/>
              </w:rPr>
            </w:pPr>
            <w:r>
              <w:rPr>
                <w:rFonts w:ascii="Arial" w:cs="Arial" w:eastAsia="Arial" w:hAnsi="Arial"/>
                <w:sz w:val="13"/>
                <w:szCs w:val="13"/>
                <w:color w:val="auto"/>
              </w:rPr>
              <w:t>stock for Class A common stock</w:t>
            </w: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declared</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(1 )</w:t>
            </w: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74"/>
        </w:trPr>
        <w:tc>
          <w:tcPr>
            <w:tcW w:w="2100" w:type="dxa"/>
            <w:vAlign w:val="bottom"/>
          </w:tcPr>
          <w:p>
            <w:pPr>
              <w:ind w:left="200"/>
              <w:spacing w:after="0"/>
              <w:rPr>
                <w:sz w:val="20"/>
                <w:szCs w:val="20"/>
                <w:color w:val="auto"/>
              </w:rPr>
            </w:pPr>
            <w:r>
              <w:rPr>
                <w:rFonts w:ascii="Arial" w:cs="Arial" w:eastAsia="Arial" w:hAnsi="Arial"/>
                <w:sz w:val="13"/>
                <w:szCs w:val="13"/>
                <w:color w:val="auto"/>
              </w:rPr>
              <w:t>Dividends paid</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(3,515 )</w:t>
            </w:r>
          </w:p>
        </w:tc>
        <w:tc>
          <w:tcPr>
            <w:tcW w:w="140" w:type="dxa"/>
            <w:vAlign w:val="bottom"/>
          </w:tcPr>
          <w:p>
            <w:pPr>
              <w:spacing w:after="0"/>
              <w:rPr>
                <w:sz w:val="15"/>
                <w:szCs w:val="15"/>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(3,515 )</w:t>
            </w:r>
          </w:p>
        </w:tc>
        <w:tc>
          <w:tcPr>
            <w:tcW w:w="0" w:type="dxa"/>
            <w:vAlign w:val="bottom"/>
          </w:tcPr>
          <w:p>
            <w:pPr>
              <w:spacing w:after="0"/>
              <w:rPr>
                <w:sz w:val="1"/>
                <w:szCs w:val="1"/>
                <w:color w:val="auto"/>
              </w:rPr>
            </w:pPr>
          </w:p>
        </w:tc>
      </w:tr>
      <w:tr>
        <w:trPr>
          <w:trHeight w:val="209"/>
        </w:trPr>
        <w:tc>
          <w:tcPr>
            <w:tcW w:w="21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3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37,308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20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79,885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2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2"/>
              </w:rPr>
              <w:t>(273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638,585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(236,139</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402,290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10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2,790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income attributable to P10</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100" w:type="dxa"/>
            <w:vAlign w:val="bottom"/>
          </w:tcPr>
          <w:p>
            <w:pPr>
              <w:ind w:left="200"/>
              <w:spacing w:after="0" w:line="138" w:lineRule="exact"/>
              <w:rPr>
                <w:sz w:val="20"/>
                <w:szCs w:val="20"/>
                <w:color w:val="auto"/>
              </w:rPr>
            </w:pPr>
            <w:r>
              <w:rPr>
                <w:rFonts w:ascii="Arial" w:cs="Arial" w:eastAsia="Arial" w:hAnsi="Arial"/>
                <w:sz w:val="13"/>
                <w:szCs w:val="13"/>
                <w:color w:val="auto"/>
              </w:rPr>
              <w:t>Exchange of Class B common</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vMerge w:val="restart"/>
          </w:tcPr>
          <w:p>
            <w:pPr>
              <w:jc w:val="right"/>
              <w:spacing w:after="0"/>
              <w:rPr>
                <w:sz w:val="20"/>
                <w:szCs w:val="20"/>
                <w:color w:val="auto"/>
              </w:rPr>
            </w:pPr>
            <w:r>
              <w:rPr>
                <w:rFonts w:ascii="Arial" w:cs="Arial" w:eastAsia="Arial" w:hAnsi="Arial"/>
                <w:sz w:val="13"/>
                <w:szCs w:val="13"/>
                <w:color w:val="auto"/>
              </w:rPr>
              <w:t>3,742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920" w:type="dxa"/>
            <w:vAlign w:val="bottom"/>
            <w:gridSpan w:val="4"/>
            <w:vMerge w:val="restart"/>
          </w:tcPr>
          <w:p>
            <w:pPr>
              <w:jc w:val="right"/>
              <w:spacing w:after="0"/>
              <w:rPr>
                <w:sz w:val="20"/>
                <w:szCs w:val="20"/>
                <w:color w:val="auto"/>
              </w:rPr>
            </w:pPr>
            <w:r>
              <w:rPr>
                <w:rFonts w:ascii="Arial" w:cs="Arial" w:eastAsia="Arial" w:hAnsi="Arial"/>
                <w:sz w:val="13"/>
                <w:szCs w:val="13"/>
                <w:color w:val="auto"/>
              </w:rPr>
              <w:t>(3,742 )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(4 )</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3"/>
            <w:vMerge w:val="restart"/>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(0 )</w:t>
            </w:r>
          </w:p>
        </w:tc>
        <w:tc>
          <w:tcPr>
            <w:tcW w:w="0" w:type="dxa"/>
            <w:vAlign w:val="bottom"/>
          </w:tcPr>
          <w:p>
            <w:pPr>
              <w:spacing w:after="0"/>
              <w:rPr>
                <w:sz w:val="1"/>
                <w:szCs w:val="1"/>
                <w:color w:val="auto"/>
              </w:rPr>
            </w:pPr>
          </w:p>
        </w:tc>
      </w:tr>
      <w:tr>
        <w:trPr>
          <w:trHeight w:val="173"/>
        </w:trPr>
        <w:tc>
          <w:tcPr>
            <w:tcW w:w="2100" w:type="dxa"/>
            <w:vAlign w:val="bottom"/>
          </w:tcPr>
          <w:p>
            <w:pPr>
              <w:ind w:left="200"/>
              <w:spacing w:after="0"/>
              <w:rPr>
                <w:sz w:val="20"/>
                <w:szCs w:val="20"/>
                <w:color w:val="auto"/>
              </w:rPr>
            </w:pPr>
            <w:r>
              <w:rPr>
                <w:rFonts w:ascii="Arial" w:cs="Arial" w:eastAsia="Arial" w:hAnsi="Arial"/>
                <w:sz w:val="13"/>
                <w:szCs w:val="13"/>
                <w:color w:val="auto"/>
              </w:rPr>
              <w:t>stock for Class A common stock</w:t>
            </w: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2"/>
              </w:rPr>
              <w:t>Issuance of restricted stock awards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2100" w:type="dxa"/>
            <w:vAlign w:val="bottom"/>
          </w:tcPr>
          <w:p>
            <w:pPr>
              <w:ind w:left="200"/>
              <w:spacing w:after="0"/>
              <w:rPr>
                <w:sz w:val="20"/>
                <w:szCs w:val="20"/>
                <w:color w:val="auto"/>
              </w:rPr>
            </w:pPr>
            <w:r>
              <w:rPr>
                <w:rFonts w:ascii="Arial" w:cs="Arial" w:eastAsia="Arial" w:hAnsi="Arial"/>
                <w:sz w:val="13"/>
                <w:szCs w:val="13"/>
                <w:color w:val="auto"/>
                <w:w w:val="99"/>
              </w:rPr>
              <w:t>Issuance of restricted stock units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297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3,278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Exercise of stock options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(72 )</w:t>
            </w: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174"/>
        </w:trPr>
        <w:tc>
          <w:tcPr>
            <w:tcW w:w="2100" w:type="dxa"/>
            <w:vAlign w:val="bottom"/>
          </w:tcPr>
          <w:p>
            <w:pPr>
              <w:ind w:left="200"/>
              <w:spacing w:after="0"/>
              <w:rPr>
                <w:sz w:val="20"/>
                <w:szCs w:val="20"/>
                <w:color w:val="auto"/>
              </w:rPr>
            </w:pPr>
            <w:r>
              <w:rPr>
                <w:rFonts w:ascii="Arial" w:cs="Arial" w:eastAsia="Arial" w:hAnsi="Arial"/>
                <w:sz w:val="13"/>
                <w:szCs w:val="13"/>
                <w:color w:val="auto"/>
              </w:rPr>
              <w:t>Stock repurchase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4"/>
          </w:tcPr>
          <w:p>
            <w:pPr>
              <w:jc w:val="right"/>
              <w:spacing w:after="0"/>
              <w:rPr>
                <w:sz w:val="20"/>
                <w:szCs w:val="20"/>
                <w:color w:val="auto"/>
              </w:rPr>
            </w:pPr>
            <w:r>
              <w:rPr>
                <w:rFonts w:ascii="Arial" w:cs="Arial" w:eastAsia="Arial" w:hAnsi="Arial"/>
                <w:sz w:val="13"/>
                <w:szCs w:val="13"/>
                <w:color w:val="auto"/>
              </w:rPr>
              <w:t>(289 )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289</w:t>
            </w:r>
          </w:p>
        </w:tc>
        <w:tc>
          <w:tcPr>
            <w:tcW w:w="940" w:type="dxa"/>
            <w:vAlign w:val="bottom"/>
            <w:gridSpan w:val="5"/>
          </w:tcPr>
          <w:p>
            <w:pPr>
              <w:jc w:val="right"/>
              <w:spacing w:after="0"/>
              <w:rPr>
                <w:sz w:val="20"/>
                <w:szCs w:val="20"/>
                <w:color w:val="auto"/>
              </w:rPr>
            </w:pPr>
            <w:r>
              <w:rPr>
                <w:rFonts w:ascii="Arial" w:cs="Arial" w:eastAsia="Arial" w:hAnsi="Arial"/>
                <w:sz w:val="13"/>
                <w:szCs w:val="13"/>
                <w:color w:val="auto"/>
              </w:rPr>
              <w:t>(3,166 )</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(3,166 )</w:t>
            </w:r>
          </w:p>
        </w:tc>
        <w:tc>
          <w:tcPr>
            <w:tcW w:w="0" w:type="dxa"/>
            <w:vAlign w:val="bottom"/>
          </w:tcPr>
          <w:p>
            <w:pPr>
              <w:spacing w:after="0"/>
              <w:rPr>
                <w:sz w:val="1"/>
                <w:szCs w:val="1"/>
                <w:color w:val="auto"/>
              </w:rPr>
            </w:pPr>
          </w:p>
        </w:tc>
      </w:tr>
      <w:tr>
        <w:trPr>
          <w:trHeight w:val="177"/>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declared</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100" w:type="dxa"/>
            <w:vAlign w:val="bottom"/>
          </w:tcPr>
          <w:p>
            <w:pPr>
              <w:ind w:left="200"/>
              <w:spacing w:after="0"/>
              <w:rPr>
                <w:sz w:val="20"/>
                <w:szCs w:val="20"/>
                <w:color w:val="auto"/>
              </w:rPr>
            </w:pPr>
            <w:r>
              <w:rPr>
                <w:rFonts w:ascii="Arial" w:cs="Arial" w:eastAsia="Arial" w:hAnsi="Arial"/>
                <w:sz w:val="13"/>
                <w:szCs w:val="13"/>
                <w:color w:val="auto"/>
              </w:rPr>
              <w:t>Dividends paid</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(3,526 )</w:t>
            </w:r>
          </w:p>
        </w:tc>
        <w:tc>
          <w:tcPr>
            <w:tcW w:w="140" w:type="dxa"/>
            <w:vAlign w:val="bottom"/>
          </w:tcPr>
          <w:p>
            <w:pPr>
              <w:spacing w:after="0"/>
              <w:rPr>
                <w:sz w:val="15"/>
                <w:szCs w:val="15"/>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(3,526 )</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2022</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41,102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76,143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412</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(3,439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641,055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(230,521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407,212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-4328160</wp:posOffset>
            </wp:positionV>
            <wp:extent cx="7683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-4328160</wp:posOffset>
            </wp:positionV>
            <wp:extent cx="7747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-4328160</wp:posOffset>
            </wp:positionV>
            <wp:extent cx="7683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-4328160</wp:posOffset>
            </wp:positionV>
            <wp:extent cx="6858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-4328160</wp:posOffset>
            </wp:positionV>
            <wp:extent cx="6858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-4328160</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-4328160</wp:posOffset>
            </wp:positionV>
            <wp:extent cx="6858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-4328160</wp:posOffset>
            </wp:positionV>
            <wp:extent cx="6858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-4328160</wp:posOffset>
            </wp:positionV>
            <wp:extent cx="6858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-4328160</wp:posOffset>
            </wp:positionV>
            <wp:extent cx="6858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-4328160</wp:posOffset>
            </wp:positionV>
            <wp:extent cx="6858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-3839845</wp:posOffset>
            </wp:positionV>
            <wp:extent cx="540893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08930" cy="13716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-3590925</wp:posOffset>
            </wp:positionV>
            <wp:extent cx="76835"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-3590925</wp:posOffset>
            </wp:positionV>
            <wp:extent cx="76835"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-3590925</wp:posOffset>
            </wp:positionV>
            <wp:extent cx="6858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-3590925</wp:posOffset>
            </wp:positionV>
            <wp:extent cx="68580"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-3590925</wp:posOffset>
            </wp:positionV>
            <wp:extent cx="77470" cy="668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6686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-3590925</wp:posOffset>
            </wp:positionV>
            <wp:extent cx="68580" cy="668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686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-3590925</wp:posOffset>
            </wp:positionV>
            <wp:extent cx="68580" cy="668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686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-3590925</wp:posOffset>
            </wp:positionV>
            <wp:extent cx="68580" cy="668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686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-3590925</wp:posOffset>
            </wp:positionV>
            <wp:extent cx="68580" cy="668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686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-3590925</wp:posOffset>
            </wp:positionV>
            <wp:extent cx="68580" cy="668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6686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668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6686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-2047875</wp:posOffset>
            </wp:positionV>
            <wp:extent cx="540893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08930" cy="13716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-1379220</wp:posOffset>
            </wp:positionV>
            <wp:extent cx="5408930"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08930" cy="25717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-24765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-24765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-7620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5"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For the Nine Months</w:t>
      </w:r>
    </w:p>
    <w:p>
      <w:pPr>
        <w:spacing w:after="0" w:line="10" w:lineRule="exact"/>
        <w:rPr>
          <w:sz w:val="20"/>
          <w:szCs w:val="20"/>
          <w:color w:val="auto"/>
        </w:rPr>
      </w:pPr>
    </w:p>
    <w:p>
      <w:pPr>
        <w:ind w:left="9220"/>
        <w:spacing w:after="0"/>
        <w:rPr>
          <w:sz w:val="20"/>
          <w:szCs w:val="20"/>
          <w:color w:val="auto"/>
        </w:rPr>
      </w:pPr>
      <w:r>
        <w:rPr>
          <w:rFonts w:ascii="Arial" w:cs="Arial" w:eastAsia="Arial" w:hAnsi="Arial"/>
          <w:sz w:val="16"/>
          <w:szCs w:val="16"/>
          <w:b w:val="1"/>
          <w:bCs w:val="1"/>
          <w:color w:val="auto"/>
        </w:rPr>
        <w:t>Ended September 30,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24,563</w:t>
            </w:r>
          </w:p>
        </w:tc>
        <w:tc>
          <w:tcPr>
            <w:tcW w:w="3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800" w:type="dxa"/>
            <w:vAlign w:val="bottom"/>
            <w:shd w:val="clear" w:color="auto" w:fill="CFF0FC"/>
          </w:tcPr>
          <w:p>
            <w:pPr>
              <w:ind w:left="380"/>
              <w:spacing w:after="0" w:line="166"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activities: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11,498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Non-cash incentive compensation</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80"/>
              <w:spacing w:after="0"/>
              <w:rPr>
                <w:sz w:val="20"/>
                <w:szCs w:val="20"/>
                <w:color w:val="auto"/>
              </w:rPr>
            </w:pPr>
            <w:r>
              <w:rPr>
                <w:rFonts w:ascii="Arial" w:cs="Arial" w:eastAsia="Arial" w:hAnsi="Arial"/>
                <w:sz w:val="16"/>
                <w:szCs w:val="16"/>
                <w:color w:val="auto"/>
              </w:rPr>
              <w:t>Depreciation expense</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of intangibles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18,487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80"/>
              <w:spacing w:after="0"/>
              <w:rPr>
                <w:sz w:val="20"/>
                <w:szCs w:val="20"/>
                <w:color w:val="auto"/>
              </w:rPr>
            </w:pPr>
            <w:r>
              <w:rPr>
                <w:rFonts w:ascii="Arial" w:cs="Arial" w:eastAsia="Arial" w:hAnsi="Arial"/>
                <w:sz w:val="16"/>
                <w:szCs w:val="16"/>
                <w:color w:val="auto"/>
              </w:rPr>
              <w:t>Amortization of debt issuance costs and debt discount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from unconsolidated subsidiaries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(1,296 )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(781 )</w:t>
            </w:r>
          </w:p>
        </w:tc>
        <w:tc>
          <w:tcPr>
            <w:tcW w:w="0" w:type="dxa"/>
            <w:vAlign w:val="bottom"/>
          </w:tcPr>
          <w:p>
            <w:pPr>
              <w:spacing w:after="0"/>
              <w:rPr>
                <w:sz w:val="1"/>
                <w:szCs w:val="1"/>
                <w:color w:val="auto"/>
              </w:rPr>
            </w:pPr>
          </w:p>
        </w:tc>
      </w:tr>
      <w:tr>
        <w:trPr>
          <w:trHeight w:val="203"/>
        </w:trPr>
        <w:tc>
          <w:tcPr>
            <w:tcW w:w="8800" w:type="dxa"/>
            <w:vAlign w:val="bottom"/>
          </w:tcPr>
          <w:p>
            <w:pPr>
              <w:ind w:left="380"/>
              <w:spacing w:after="0"/>
              <w:rPr>
                <w:sz w:val="20"/>
                <w:szCs w:val="20"/>
                <w:color w:val="auto"/>
              </w:rPr>
            </w:pPr>
            <w:r>
              <w:rPr>
                <w:rFonts w:ascii="Arial" w:cs="Arial" w:eastAsia="Arial" w:hAnsi="Arial"/>
                <w:sz w:val="16"/>
                <w:szCs w:val="16"/>
                <w:color w:val="auto"/>
              </w:rPr>
              <w:t>Deferred tax expense</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7,830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Remeasurement of contingent consideration</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tcPr>
          <w:p>
            <w:pPr>
              <w:ind w:left="380"/>
              <w:spacing w:after="0"/>
              <w:rPr>
                <w:sz w:val="20"/>
                <w:szCs w:val="20"/>
                <w:color w:val="auto"/>
              </w:rPr>
            </w:pPr>
            <w:r>
              <w:rPr>
                <w:rFonts w:ascii="Arial" w:cs="Arial" w:eastAsia="Arial" w:hAnsi="Arial"/>
                <w:sz w:val="16"/>
                <w:szCs w:val="16"/>
                <w:color w:val="auto"/>
              </w:rPr>
              <w:t>Post close purchase price adjustment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 in operating assets and liabilities: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56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7"/>
                <w:szCs w:val="17"/>
                <w:color w:val="auto"/>
              </w:rPr>
            </w:pP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(2,552 )</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(5,162 )</w:t>
            </w: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Due from related parties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(18,002 )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(273 )</w:t>
            </w:r>
          </w:p>
        </w:tc>
        <w:tc>
          <w:tcPr>
            <w:tcW w:w="0" w:type="dxa"/>
            <w:vAlign w:val="bottom"/>
          </w:tcPr>
          <w:p>
            <w:pPr>
              <w:spacing w:after="0"/>
              <w:rPr>
                <w:sz w:val="1"/>
                <w:szCs w:val="1"/>
                <w:color w:val="auto"/>
              </w:rPr>
            </w:pPr>
          </w:p>
        </w:tc>
      </w:tr>
      <w:tr>
        <w:trPr>
          <w:trHeight w:val="203"/>
        </w:trPr>
        <w:tc>
          <w:tcPr>
            <w:tcW w:w="8800" w:type="dxa"/>
            <w:vAlign w:val="bottom"/>
          </w:tcPr>
          <w:p>
            <w:pPr>
              <w:ind w:left="56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Right-of-use assets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(1,051 )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(4,187 )</w:t>
            </w:r>
          </w:p>
        </w:tc>
        <w:tc>
          <w:tcPr>
            <w:tcW w:w="0" w:type="dxa"/>
            <w:vAlign w:val="bottom"/>
          </w:tcPr>
          <w:p>
            <w:pPr>
              <w:spacing w:after="0"/>
              <w:rPr>
                <w:sz w:val="1"/>
                <w:szCs w:val="1"/>
                <w:color w:val="auto"/>
              </w:rPr>
            </w:pPr>
          </w:p>
        </w:tc>
      </w:tr>
      <w:tr>
        <w:trPr>
          <w:trHeight w:val="203"/>
        </w:trPr>
        <w:tc>
          <w:tcPr>
            <w:tcW w:w="8800" w:type="dxa"/>
            <w:vAlign w:val="bottom"/>
          </w:tcPr>
          <w:p>
            <w:pPr>
              <w:ind w:left="56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Due to related parties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(739 )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(550 )</w:t>
            </w:r>
          </w:p>
        </w:tc>
        <w:tc>
          <w:tcPr>
            <w:tcW w:w="0" w:type="dxa"/>
            <w:vAlign w:val="bottom"/>
          </w:tcPr>
          <w:p>
            <w:pPr>
              <w:spacing w:after="0"/>
              <w:rPr>
                <w:sz w:val="1"/>
                <w:szCs w:val="1"/>
                <w:color w:val="auto"/>
              </w:rPr>
            </w:pPr>
          </w:p>
        </w:tc>
      </w:tr>
      <w:tr>
        <w:trPr>
          <w:trHeight w:val="203"/>
        </w:trPr>
        <w:tc>
          <w:tcPr>
            <w:tcW w:w="8800" w:type="dxa"/>
            <w:vAlign w:val="bottom"/>
          </w:tcPr>
          <w:p>
            <w:pPr>
              <w:ind w:left="56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7"/>
                <w:szCs w:val="17"/>
                <w:color w:val="auto"/>
              </w:rPr>
            </w:pP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(1,206 )</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Deferred revenues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(205 )</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560"/>
              <w:spacing w:after="0"/>
              <w:rPr>
                <w:sz w:val="20"/>
                <w:szCs w:val="20"/>
                <w:color w:val="auto"/>
              </w:rPr>
            </w:pPr>
            <w:r>
              <w:rPr>
                <w:rFonts w:ascii="Arial" w:cs="Arial" w:eastAsia="Arial" w:hAnsi="Arial"/>
                <w:sz w:val="16"/>
                <w:szCs w:val="16"/>
                <w:color w:val="auto"/>
              </w:rPr>
              <w:t>Lease liabilities</w:t>
            </w:r>
          </w:p>
        </w:tc>
        <w:tc>
          <w:tcPr>
            <w:tcW w:w="200" w:type="dxa"/>
            <w:vAlign w:val="bottom"/>
          </w:tcPr>
          <w:p>
            <w:pPr>
              <w:spacing w:after="0"/>
              <w:rPr>
                <w:sz w:val="17"/>
                <w:szCs w:val="17"/>
                <w:color w:val="auto"/>
              </w:rPr>
            </w:pP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(2,114 )</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(1,379 )</w:t>
            </w:r>
          </w:p>
        </w:tc>
        <w:tc>
          <w:tcPr>
            <w:tcW w:w="0" w:type="dxa"/>
            <w:vAlign w:val="bottom"/>
          </w:tcPr>
          <w:p>
            <w:pPr>
              <w:spacing w:after="0"/>
              <w:rPr>
                <w:sz w:val="1"/>
                <w:szCs w:val="1"/>
                <w:color w:val="auto"/>
              </w:rPr>
            </w:pPr>
          </w:p>
        </w:tc>
      </w:tr>
      <w:tr>
        <w:trPr>
          <w:trHeight w:val="196"/>
        </w:trPr>
        <w:tc>
          <w:tcPr>
            <w:tcW w:w="88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43,946</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Acquisitions, net of cash acquired</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(43,926 )</w:t>
            </w:r>
          </w:p>
        </w:tc>
        <w:tc>
          <w:tcPr>
            <w:tcW w:w="0" w:type="dxa"/>
            <w:vAlign w:val="bottom"/>
          </w:tcPr>
          <w:p>
            <w:pPr>
              <w:spacing w:after="0"/>
              <w:rPr>
                <w:sz w:val="1"/>
                <w:szCs w:val="1"/>
                <w:color w:val="auto"/>
              </w:rPr>
            </w:pPr>
          </w:p>
        </w:tc>
      </w:tr>
      <w:tr>
        <w:trPr>
          <w:trHeight w:val="203"/>
        </w:trPr>
        <w:tc>
          <w:tcPr>
            <w:tcW w:w="8800" w:type="dxa"/>
            <w:vAlign w:val="bottom"/>
          </w:tcPr>
          <w:p>
            <w:pPr>
              <w:ind w:left="200"/>
              <w:spacing w:after="0"/>
              <w:rPr>
                <w:sz w:val="20"/>
                <w:szCs w:val="20"/>
                <w:color w:val="auto"/>
              </w:rPr>
            </w:pPr>
            <w:r>
              <w:rPr>
                <w:rFonts w:ascii="Arial" w:cs="Arial" w:eastAsia="Arial" w:hAnsi="Arial"/>
                <w:sz w:val="16"/>
                <w:szCs w:val="16"/>
                <w:color w:val="auto"/>
              </w:rPr>
              <w:t>Purchase of intangible assets</w:t>
            </w:r>
          </w:p>
        </w:tc>
        <w:tc>
          <w:tcPr>
            <w:tcW w:w="200" w:type="dxa"/>
            <w:vAlign w:val="bottom"/>
          </w:tcPr>
          <w:p>
            <w:pPr>
              <w:spacing w:after="0"/>
              <w:rPr>
                <w:sz w:val="17"/>
                <w:szCs w:val="17"/>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Note receivable</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(1,456 )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(2,270 )</w:t>
            </w:r>
          </w:p>
        </w:tc>
        <w:tc>
          <w:tcPr>
            <w:tcW w:w="0" w:type="dxa"/>
            <w:vAlign w:val="bottom"/>
          </w:tcPr>
          <w:p>
            <w:pPr>
              <w:spacing w:after="0"/>
              <w:rPr>
                <w:sz w:val="1"/>
                <w:szCs w:val="1"/>
                <w:color w:val="auto"/>
              </w:rPr>
            </w:pPr>
          </w:p>
        </w:tc>
      </w:tr>
      <w:tr>
        <w:trPr>
          <w:trHeight w:val="203"/>
        </w:trPr>
        <w:tc>
          <w:tcPr>
            <w:tcW w:w="8800" w:type="dxa"/>
            <w:vAlign w:val="bottom"/>
          </w:tcPr>
          <w:p>
            <w:pPr>
              <w:ind w:left="200"/>
              <w:spacing w:after="0"/>
              <w:rPr>
                <w:sz w:val="20"/>
                <w:szCs w:val="20"/>
                <w:color w:val="auto"/>
              </w:rPr>
            </w:pPr>
            <w:r>
              <w:rPr>
                <w:rFonts w:ascii="Arial" w:cs="Arial" w:eastAsia="Arial" w:hAnsi="Arial"/>
                <w:sz w:val="16"/>
                <w:szCs w:val="16"/>
                <w:color w:val="auto"/>
              </w:rPr>
              <w:t>Proceeds from note receivable</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Investments in unconsolidated subsidiaries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(2,638 )</w:t>
            </w:r>
          </w:p>
        </w:tc>
        <w:tc>
          <w:tcPr>
            <w:tcW w:w="0" w:type="dxa"/>
            <w:vAlign w:val="bottom"/>
          </w:tcPr>
          <w:p>
            <w:pPr>
              <w:spacing w:after="0"/>
              <w:rPr>
                <w:sz w:val="1"/>
                <w:szCs w:val="1"/>
                <w:color w:val="auto"/>
              </w:rPr>
            </w:pPr>
          </w:p>
        </w:tc>
      </w:tr>
      <w:tr>
        <w:trPr>
          <w:trHeight w:val="203"/>
        </w:trPr>
        <w:tc>
          <w:tcPr>
            <w:tcW w:w="8800" w:type="dxa"/>
            <w:vAlign w:val="bottom"/>
          </w:tcPr>
          <w:p>
            <w:pPr>
              <w:ind w:left="200"/>
              <w:spacing w:after="0"/>
              <w:rPr>
                <w:sz w:val="20"/>
                <w:szCs w:val="20"/>
                <w:color w:val="auto"/>
              </w:rPr>
            </w:pPr>
            <w:r>
              <w:rPr>
                <w:rFonts w:ascii="Arial" w:cs="Arial" w:eastAsia="Arial" w:hAnsi="Arial"/>
                <w:sz w:val="16"/>
                <w:szCs w:val="16"/>
                <w:color w:val="auto"/>
              </w:rPr>
              <w:t>Proceeds from investments in unconsolidated subsidiaries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Software capitalization</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(148 )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tcPr>
          <w:p>
            <w:pPr>
              <w:ind w:left="200"/>
              <w:spacing w:after="0"/>
              <w:rPr>
                <w:sz w:val="20"/>
                <w:szCs w:val="20"/>
                <w:color w:val="auto"/>
              </w:rPr>
            </w:pPr>
            <w:r>
              <w:rPr>
                <w:rFonts w:ascii="Arial" w:cs="Arial" w:eastAsia="Arial" w:hAnsi="Arial"/>
                <w:sz w:val="16"/>
                <w:szCs w:val="16"/>
                <w:color w:val="auto"/>
              </w:rPr>
              <w:t>Post-closing payments related to acquisitions</w:t>
            </w:r>
          </w:p>
        </w:tc>
        <w:tc>
          <w:tcPr>
            <w:tcW w:w="200" w:type="dxa"/>
            <w:vAlign w:val="bottom"/>
          </w:tcPr>
          <w:p>
            <w:pPr>
              <w:spacing w:after="0"/>
              <w:rPr>
                <w:sz w:val="17"/>
                <w:szCs w:val="17"/>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(1,519 )</w:t>
            </w: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(919 )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0"/>
        </w:trPr>
        <w:tc>
          <w:tcPr>
            <w:tcW w:w="88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tcPr>
          <w:p>
            <w:pPr>
              <w:ind w:left="7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spacing w:after="0"/>
              <w:rPr>
                <w:sz w:val="17"/>
                <w:szCs w:val="17"/>
                <w:color w:val="auto"/>
              </w:rPr>
            </w:pP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(1,554 )</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(46,861 )</w:t>
            </w: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200"/>
              <w:spacing w:after="0"/>
              <w:rPr>
                <w:sz w:val="20"/>
                <w:szCs w:val="20"/>
                <w:color w:val="auto"/>
              </w:rPr>
            </w:pPr>
            <w:r>
              <w:rPr>
                <w:rFonts w:ascii="Arial" w:cs="Arial" w:eastAsia="Arial" w:hAnsi="Arial"/>
                <w:sz w:val="16"/>
                <w:szCs w:val="16"/>
                <w:color w:val="auto"/>
              </w:rPr>
              <w:t>Borrowings on debt obligations</w:t>
            </w:r>
          </w:p>
        </w:tc>
        <w:tc>
          <w:tcPr>
            <w:tcW w:w="200" w:type="dxa"/>
            <w:vAlign w:val="bottom"/>
          </w:tcPr>
          <w:p>
            <w:pPr>
              <w:spacing w:after="0"/>
              <w:rPr>
                <w:sz w:val="17"/>
                <w:szCs w:val="17"/>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Repayments on debt obligations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(41,000 )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(12,321 )</w:t>
            </w:r>
          </w:p>
        </w:tc>
        <w:tc>
          <w:tcPr>
            <w:tcW w:w="0" w:type="dxa"/>
            <w:vAlign w:val="bottom"/>
          </w:tcPr>
          <w:p>
            <w:pPr>
              <w:spacing w:after="0"/>
              <w:rPr>
                <w:sz w:val="1"/>
                <w:szCs w:val="1"/>
                <w:color w:val="auto"/>
              </w:rPr>
            </w:pPr>
          </w:p>
        </w:tc>
      </w:tr>
      <w:tr>
        <w:trPr>
          <w:trHeight w:val="203"/>
        </w:trPr>
        <w:tc>
          <w:tcPr>
            <w:tcW w:w="8800" w:type="dxa"/>
            <w:vAlign w:val="bottom"/>
          </w:tcPr>
          <w:p>
            <w:pPr>
              <w:ind w:left="200"/>
              <w:spacing w:after="0"/>
              <w:rPr>
                <w:sz w:val="20"/>
                <w:szCs w:val="20"/>
                <w:color w:val="auto"/>
              </w:rPr>
            </w:pPr>
            <w:r>
              <w:rPr>
                <w:rFonts w:ascii="Arial" w:cs="Arial" w:eastAsia="Arial" w:hAnsi="Arial"/>
                <w:sz w:val="16"/>
                <w:szCs w:val="16"/>
                <w:color w:val="auto"/>
              </w:rPr>
              <w:t>Repurchase of Class A common stock for employee tax withholding</w:t>
            </w:r>
          </w:p>
        </w:tc>
        <w:tc>
          <w:tcPr>
            <w:tcW w:w="200" w:type="dxa"/>
            <w:vAlign w:val="bottom"/>
          </w:tcPr>
          <w:p>
            <w:pPr>
              <w:spacing w:after="0"/>
              <w:rPr>
                <w:sz w:val="17"/>
                <w:szCs w:val="17"/>
                <w:color w:val="auto"/>
              </w:rPr>
            </w:pP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(1,683 )</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to settle exercise of employee stock options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(72 )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tcPr>
          <w:p>
            <w:pPr>
              <w:ind w:left="200"/>
              <w:spacing w:after="0"/>
              <w:rPr>
                <w:sz w:val="20"/>
                <w:szCs w:val="20"/>
                <w:color w:val="auto"/>
              </w:rPr>
            </w:pPr>
            <w:r>
              <w:rPr>
                <w:rFonts w:ascii="Arial" w:cs="Arial" w:eastAsia="Arial" w:hAnsi="Arial"/>
                <w:sz w:val="16"/>
                <w:szCs w:val="16"/>
                <w:color w:val="auto"/>
              </w:rPr>
              <w:t>Repurchase of Class A common stock</w:t>
            </w:r>
          </w:p>
        </w:tc>
        <w:tc>
          <w:tcPr>
            <w:tcW w:w="200" w:type="dxa"/>
            <w:vAlign w:val="bottom"/>
          </w:tcPr>
          <w:p>
            <w:pPr>
              <w:spacing w:after="0"/>
              <w:rPr>
                <w:sz w:val="17"/>
                <w:szCs w:val="17"/>
                <w:color w:val="auto"/>
              </w:rPr>
            </w:pP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(1,485 )</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 of preferred stock dividends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(720 )</w:t>
            </w:r>
          </w:p>
        </w:tc>
        <w:tc>
          <w:tcPr>
            <w:tcW w:w="0" w:type="dxa"/>
            <w:vAlign w:val="bottom"/>
          </w:tcPr>
          <w:p>
            <w:pPr>
              <w:spacing w:after="0"/>
              <w:rPr>
                <w:sz w:val="1"/>
                <w:szCs w:val="1"/>
                <w:color w:val="auto"/>
              </w:rPr>
            </w:pPr>
          </w:p>
        </w:tc>
      </w:tr>
      <w:tr>
        <w:trPr>
          <w:trHeight w:val="203"/>
        </w:trPr>
        <w:tc>
          <w:tcPr>
            <w:tcW w:w="8800" w:type="dxa"/>
            <w:vAlign w:val="bottom"/>
          </w:tcPr>
          <w:p>
            <w:pPr>
              <w:ind w:left="200"/>
              <w:spacing w:after="0"/>
              <w:rPr>
                <w:sz w:val="20"/>
                <w:szCs w:val="20"/>
                <w:color w:val="auto"/>
              </w:rPr>
            </w:pPr>
            <w:r>
              <w:rPr>
                <w:rFonts w:ascii="Arial" w:cs="Arial" w:eastAsia="Arial" w:hAnsi="Arial"/>
                <w:sz w:val="16"/>
                <w:szCs w:val="16"/>
                <w:color w:val="auto"/>
              </w:rPr>
              <w:t>Payments of contingent consideration</w:t>
            </w:r>
          </w:p>
        </w:tc>
        <w:tc>
          <w:tcPr>
            <w:tcW w:w="200" w:type="dxa"/>
            <w:vAlign w:val="bottom"/>
          </w:tcPr>
          <w:p>
            <w:pPr>
              <w:spacing w:after="0"/>
              <w:rPr>
                <w:sz w:val="17"/>
                <w:szCs w:val="17"/>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(518 )</w:t>
            </w: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settlement of stock options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(12,466 )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17"/>
                <w:szCs w:val="17"/>
                <w:color w:val="auto"/>
              </w:rPr>
            </w:pP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(7,041 )</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Debt issuance costs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(1,365 )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(942 )</w:t>
            </w:r>
          </w:p>
        </w:tc>
        <w:tc>
          <w:tcPr>
            <w:tcW w:w="0" w:type="dxa"/>
            <w:vAlign w:val="bottom"/>
          </w:tcPr>
          <w:p>
            <w:pPr>
              <w:spacing w:after="0"/>
              <w:rPr>
                <w:sz w:val="1"/>
                <w:szCs w:val="1"/>
                <w:color w:val="auto"/>
              </w:rPr>
            </w:pPr>
          </w:p>
        </w:tc>
      </w:tr>
      <w:tr>
        <w:trPr>
          <w:trHeight w:val="20"/>
        </w:trPr>
        <w:tc>
          <w:tcPr>
            <w:tcW w:w="88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tcPr>
          <w:p>
            <w:pPr>
              <w:ind w:left="74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tcPr>
          <w:p>
            <w:pPr>
              <w:spacing w:after="0"/>
              <w:rPr>
                <w:sz w:val="17"/>
                <w:szCs w:val="17"/>
                <w:color w:val="auto"/>
              </w:rPr>
            </w:pP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(65,112 )</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(22,720</w:t>
            </w:r>
          </w:p>
        </w:tc>
        <w:tc>
          <w:tcPr>
            <w:tcW w:w="3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80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CASH, CASH EQUIVALENTS AND RESTRICTED CASH, beginning</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43,482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12,783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800" w:type="dxa"/>
            <w:vAlign w:val="bottom"/>
          </w:tcPr>
          <w:p>
            <w:pPr>
              <w:ind w:left="140"/>
              <w:spacing w:after="0"/>
              <w:rPr>
                <w:sz w:val="20"/>
                <w:szCs w:val="20"/>
                <w:color w:val="auto"/>
              </w:rPr>
            </w:pPr>
            <w:r>
              <w:rPr>
                <w:rFonts w:ascii="Arial" w:cs="Arial" w:eastAsia="Arial" w:hAnsi="Arial"/>
                <w:sz w:val="16"/>
                <w:szCs w:val="16"/>
                <w:b w:val="1"/>
                <w:bCs w:val="1"/>
                <w:color w:val="auto"/>
              </w:rPr>
              <w:t>of period</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80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b w:val="1"/>
                <w:bCs w:val="1"/>
                <w:color w:val="auto"/>
              </w:rPr>
              <w:t>CASH, CASH EQUIVALENTS AND RESTRICTED CASH, end of</w:t>
            </w:r>
          </w:p>
        </w:tc>
        <w:tc>
          <w:tcPr>
            <w:tcW w:w="2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20,762</w:t>
            </w:r>
          </w:p>
        </w:tc>
        <w:tc>
          <w:tcPr>
            <w:tcW w:w="30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28,077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800" w:type="dxa"/>
            <w:vAlign w:val="bottom"/>
            <w:tcBorders>
              <w:bottom w:val="single" w:sz="8" w:color="CFF0FC"/>
            </w:tcBorders>
            <w:shd w:val="clear" w:color="auto" w:fill="CFF0FC"/>
          </w:tcPr>
          <w:p>
            <w:pPr>
              <w:ind w:left="140"/>
              <w:spacing w:after="0" w:line="142" w:lineRule="exact"/>
              <w:rPr>
                <w:sz w:val="20"/>
                <w:szCs w:val="20"/>
                <w:color w:val="auto"/>
              </w:rPr>
            </w:pPr>
            <w:r>
              <w:rPr>
                <w:rFonts w:ascii="Arial" w:cs="Arial" w:eastAsia="Arial" w:hAnsi="Arial"/>
                <w:sz w:val="16"/>
                <w:szCs w:val="16"/>
                <w:b w:val="1"/>
                <w:bCs w:val="1"/>
                <w:color w:val="auto"/>
              </w:rPr>
              <w:t>period</w:t>
            </w:r>
          </w:p>
        </w:tc>
        <w:tc>
          <w:tcPr>
            <w:tcW w:w="200" w:type="dxa"/>
            <w:vAlign w:val="bottom"/>
            <w:tcBorders>
              <w:bottom w:val="single" w:sz="8" w:color="auto"/>
            </w:tcBorders>
            <w:vMerge w:val="continue"/>
            <w:shd w:val="clear" w:color="auto" w:fill="CFF0FC"/>
          </w:tcPr>
          <w:p>
            <w:pPr>
              <w:spacing w:after="0"/>
              <w:rPr>
                <w:sz w:val="17"/>
                <w:szCs w:val="17"/>
                <w:color w:val="auto"/>
              </w:rPr>
            </w:pPr>
          </w:p>
        </w:tc>
        <w:tc>
          <w:tcPr>
            <w:tcW w:w="780" w:type="dxa"/>
            <w:vAlign w:val="bottom"/>
            <w:tcBorders>
              <w:bottom w:val="single" w:sz="8" w:color="auto"/>
            </w:tcBorders>
            <w:vMerge w:val="continue"/>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vMerge w:val="continue"/>
            <w:shd w:val="clear" w:color="auto" w:fill="CFF0FC"/>
          </w:tcPr>
          <w:p>
            <w:pPr>
              <w:spacing w:after="0"/>
              <w:rPr>
                <w:sz w:val="17"/>
                <w:szCs w:val="17"/>
                <w:color w:val="auto"/>
              </w:rPr>
            </w:pPr>
          </w:p>
        </w:tc>
        <w:tc>
          <w:tcPr>
            <w:tcW w:w="8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-2287905</wp:posOffset>
            </wp:positionV>
            <wp:extent cx="6858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-736600</wp:posOffset>
            </wp:positionV>
            <wp:extent cx="6858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For the Nine Months</w:t>
      </w:r>
    </w:p>
    <w:p>
      <w:pPr>
        <w:spacing w:after="0" w:line="17"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Ended September 30,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4,622</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8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cash paid for income taxes</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738</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88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NON-CASH OPERATING, INVESTING AND FINANCING ACTIVITIES</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Additions to right-of-use assets</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Additions to lease liabilities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8"/>
                <w:szCs w:val="18"/>
                <w:color w:val="auto"/>
              </w:rPr>
            </w:pPr>
          </w:p>
        </w:tc>
      </w:tr>
      <w:tr>
        <w:trPr>
          <w:trHeight w:val="216"/>
        </w:trPr>
        <w:tc>
          <w:tcPr>
            <w:tcW w:w="8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Additions to property and equipment</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Dividends declared</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1"/>
        </w:trPr>
        <w:tc>
          <w:tcPr>
            <w:tcW w:w="8800" w:type="dxa"/>
            <w:vAlign w:val="bottom"/>
            <w:shd w:val="clear" w:color="auto" w:fill="CFF0FC"/>
          </w:tcPr>
          <w:p>
            <w:pPr>
              <w:ind w:left="20"/>
              <w:spacing w:after="0" w:line="170" w:lineRule="exact"/>
              <w:rPr>
                <w:sz w:val="20"/>
                <w:szCs w:val="20"/>
                <w:color w:val="auto"/>
              </w:rPr>
            </w:pPr>
            <w:r>
              <w:rPr>
                <w:rFonts w:ascii="Arial" w:cs="Arial" w:eastAsia="Arial" w:hAnsi="Arial"/>
                <w:sz w:val="18"/>
                <w:szCs w:val="18"/>
                <w:b w:val="1"/>
                <w:bCs w:val="1"/>
                <w:color w:val="auto"/>
              </w:rPr>
              <w:t>RECONCILIATION OF CASH, CASH EQUIVALENTS AND</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880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RESTRICTED CASH</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88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19,415</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21,656</w:t>
            </w:r>
          </w:p>
        </w:tc>
        <w:tc>
          <w:tcPr>
            <w:tcW w:w="100" w:type="dxa"/>
            <w:vAlign w:val="bottom"/>
          </w:tcPr>
          <w:p>
            <w:pPr>
              <w:spacing w:after="0"/>
              <w:rPr>
                <w:sz w:val="18"/>
                <w:szCs w:val="18"/>
                <w:color w:val="auto"/>
              </w:rPr>
            </w:pPr>
          </w:p>
        </w:tc>
      </w:tr>
      <w:tr>
        <w:trPr>
          <w:trHeight w:val="216"/>
        </w:trPr>
        <w:tc>
          <w:tcPr>
            <w:tcW w:w="8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80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20,762</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28,077</w:t>
            </w:r>
          </w:p>
        </w:tc>
        <w:tc>
          <w:tcPr>
            <w:tcW w:w="100" w:type="dxa"/>
            <w:vAlign w:val="bottom"/>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-1576705</wp:posOffset>
            </wp:positionV>
            <wp:extent cx="92583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25830" cy="1631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16"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including the convertible preferred units of P10 Intermediate, as defined below, were converted into common stock of P10. The offering and reorganization included a reverse stock split of P10 Holdings common stock on a 0.7-for-1 basis pursuant to which every outstanding share of common stock decreased to 0.7 shares. The number of shares have been retrospectively adjusted within these financial statements to reflect this stock split. The reorganization was considered a transaction between entities under common control. As a result, the consolidated financial statements for periods prior to the reorganization and IPO are the consolidated financial statements of P10 Holdings as the predecessor to P10 for accounting and reporting purposes.</w:t>
      </w:r>
    </w:p>
    <w:p>
      <w:pPr>
        <w:spacing w:after="0" w:line="171"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6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7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and P10 Advisors, LLC ("P10 Advisors").</w:t>
      </w:r>
    </w:p>
    <w:p>
      <w:pPr>
        <w:spacing w:after="0" w:line="73"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On December 1, 2017, the Company changed its name from P10 Industries, Inc. to P10 Holdings, Inc. We were founded as a Texas corporation in 1992 and reincorporated in Delaware in 2000. Our headquarters is in Dallas, Texas.</w:t>
      </w:r>
    </w:p>
    <w:p>
      <w:pPr>
        <w:spacing w:after="0" w:line="8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spacing w:after="0" w:line="8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Five Points is a registered investment advisor with the United States Securities and Exchange Commission.</w:t>
      </w:r>
    </w:p>
    <w:p>
      <w:pPr>
        <w:spacing w:after="0" w:line="7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6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On December 14, 2020, the Company completed the acquisition of 100% of the equity interest in ECG, and a noncontrolling interest in Enhanced Capital Partners, LLC (“ECP”) (collectively,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40"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See Note 3 for additional information on these acquisitions.</w:t>
      </w:r>
    </w:p>
    <w:p>
      <w:pPr>
        <w:spacing w:after="0" w:line="1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June 2022, we formed P10 Advisors, a fully consolidated subsidiary, to manage investment opportunities that are sourced across the P10 platform but do not fit within an existing investment mandate.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1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nine months ended September 30, 2022 are not necessarily indicative of the results to be expected for the full year ending December 31, 2022.</w:t>
      </w:r>
    </w:p>
    <w:p>
      <w:pPr>
        <w:spacing w:after="0" w:line="20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Certain entities in which the Company holds an interest are investment companies that follow specialized accounting rules under U.S. GAAP and reflect their investments at estimated fair value. Accordingly, the carrying value of the Company’s equity method investments in such entities retains the specialized accounting treatment.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1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Holdco, RCP 2, RCP 3, TrueBridge, Bonaccord, and Hark. The assets and liabilities of the consolidated VIEs are presented on a gross basis in the Consolidated Balance Sheets. As a result of the reorganization, it was determined that P10 Intermediate no longer qualifies as a VIE, but would still be consolidated under the voting interest model. This change has been retrospectively adjusted. See Note 7 for more information on both consolidated and unconsolidated VIEs.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4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P10 Intermediate, Five Points, P10 Advisors and ECG are concluded to be consolidated subsidiaries of P10 under the voting interest model.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Certain reclassifications have been made within the Consolidated Financial Statements to conform prior periods with current period presentation.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ind w:right="20" w:firstLine="509"/>
        <w:spacing w:after="0" w:line="303"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1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considers all highly liquid instruments with original maturities of three months or less to be cash equivalents. As of September 30, 2022, and December 31, 2021, cash equivalents include money market funds of $2.1 million and $10.7 million, respectively, which approximates fair value. The Company maintains its cash balances at various financial institutions, which may periodically exceed the Federal Deposit Insurance Corporation (“FDIC”) insured limits. The Company believes it is not exposed to any significant credit risk on cash.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0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Restricted cash as of September 30, 2022 and December 31, 2021 was primarily cash that is restricted due to certain deposits being held by the Company for its customers.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Due from Related Parties</w:t>
      </w:r>
    </w:p>
    <w:p>
      <w:pPr>
        <w:spacing w:after="0" w:line="10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Accounts receivable is equal to contractual amounts reduced for allowances, if applicable. The Company considers accounts receivable to be fully collectible; accordingly, no allowance for doubtful accounts has been established as of September 30, 2022 and December 31, 2021. If accounts are subsequently determined to be uncollectible, they will be expensed in the period that determination is made.</w:t>
      </w:r>
    </w:p>
    <w:p>
      <w:pPr>
        <w:spacing w:after="0" w:line="15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Due from related parties represents receivables from the Funds for reimbursable expenses. Additionally, fees owed to the Company for the advisory agreement entered into upon the closing of the acquisitions of ECG and ECP ("Advisory Agreement") where ECG provides advisory services to Enhanced Permanent Capital, LLC ("Enhanced PC") are reflected in due from related parties on the Consolidated Balance Sheets. These amounts are expected to be fully collectible.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Note receivable is mostly related to contractual amounts owed from a signed, secured promissory note with BCP Partners Holdings, LP ("BCP"). In addition to contractual amounts, borrowers are obligated to pay interest on outstanding amounts. The Company considers the note receivable to be fully collectible; accordingly, no allowance for doubtful accounts has been established as of September 30, 2022 or December 31, 2021. If accounts are subsequently determined to be uncollectible, they will be expensed in the period that determination is made.</w:t>
      </w: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Subsidiaries</w:t>
      </w:r>
    </w:p>
    <w:p>
      <w:pPr>
        <w:spacing w:after="0" w:line="10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evaluates its equity method investments for impairment whenever events or changes in circumstances indicate that the carrying amounts of such investments may not be recoverable.</w:t>
      </w:r>
    </w:p>
    <w:p>
      <w:pPr>
        <w:spacing w:after="0" w:line="18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For certain entities in which the Company does not have significant influence and fair value is not readily determinable, we value these investments under the measurement alternative. Financial Accounting Standards Board (“FASB”) Accounting Standards Codification (“ASC”) 825</w:t>
      </w:r>
      <w:r>
        <w:rPr>
          <w:rFonts w:ascii="Arial" w:cs="Arial" w:eastAsia="Arial" w:hAnsi="Arial"/>
          <w:sz w:val="18"/>
          <w:szCs w:val="18"/>
          <w:i w:val="1"/>
          <w:iCs w:val="1"/>
          <w:color w:val="auto"/>
        </w:rPr>
        <w:t>,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requires equity securities to be recorded at cost and adjusted to fair value at each reporting period. However, the guidance allows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alternative, which is to record the investments at cost, less impairment, if any, and subsequently adjust for observable price changes of identical or similar investments of the same issuer.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0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pacing w:after="0" w:line="168" w:lineRule="exact"/>
        <w:rPr>
          <w:sz w:val="20"/>
          <w:szCs w:val="20"/>
          <w:color w:val="auto"/>
        </w:rPr>
      </w:pPr>
    </w:p>
    <w:tbl>
      <w:tblPr>
        <w:tblLayout w:type="fixed"/>
        <w:tblInd w:w="2720" w:type="dxa"/>
        <w:tblCellMar>
          <w:top w:w="0" w:type="dxa"/>
          <w:left w:w="0" w:type="dxa"/>
          <w:bottom w:w="0" w:type="dxa"/>
          <w:right w:w="0" w:type="dxa"/>
        </w:tblCellMar>
      </w:tblP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206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44"/>
        </w:trPr>
        <w:tc>
          <w:tcPr>
            <w:tcW w:w="3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60" w:type="dxa"/>
            <w:vAlign w:val="bottom"/>
          </w:tcPr>
          <w:p>
            <w:pPr>
              <w:jc w:val="right"/>
              <w:spacing w:after="0"/>
              <w:rPr>
                <w:sz w:val="20"/>
                <w:szCs w:val="20"/>
                <w:color w:val="auto"/>
              </w:rPr>
            </w:pPr>
            <w:r>
              <w:rPr>
                <w:rFonts w:ascii="Arial" w:cs="Arial" w:eastAsia="Arial" w:hAnsi="Arial"/>
                <w:sz w:val="18"/>
                <w:szCs w:val="18"/>
                <w:color w:val="auto"/>
              </w:rPr>
              <w:t>7 - 10 years</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1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 xml:space="preserve">Long-lived assets including property and equipment, lease right-of-use assets, and definite lived intangibles are evaluated for impairment under FASB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1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does not recognize a lease liability or right-of-use asset on our Consolidated Balance Sheets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 lease qualifies as a short-term lease, the Company evaluates the lease term and the purchase option in the same manner as all other leases.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1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Goodwill is initially measured as the excess of the cost of the acquired business over the sum of the amounts assigned to identifiable assets acquired, less the liabilities assumed. As of September 30, 2022, goodwill recorded on our Consolidated Balance Sheets relates to the acquisitions of RCP 2, RCP 3, Five Points, TrueBridge, Enhanced, Bonaccord, and Hark. As of September 30, 2022, the intangible assets are comprised of indefinite-lived intangible assets and finite-lived intangible assets related to the acquisitions of RCP 2, RCP 3, Five Points, TrueBridge, Enhanced, Bonaccord and Hark.</w:t>
      </w:r>
    </w:p>
    <w:p>
      <w:pPr>
        <w:spacing w:after="0" w:line="15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Goodwill is reviewed for impairment at least annually as of September 30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the respective carrying value. The reporting unit is the reporting level for testing the impairment of goodwill. If it is determined that it is more likely than not that a reporting unit’s fair value is less than its carrying value, then the difference is recorded as an impairment (not to exceed the carrying amount of goodwill).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16"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September 30, 2022 and December 31, 2021, contingent consideration recorded relates to the acquisitions of Hark and Bonaccord on the Consolidated Balance Sheets.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0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1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As of September 30, 2022 and December 31, 2021, we used the following valuation techniques to measure fair value for assets and there were no changes to these methodologies during the periods presented: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1—Assets were valued using the closing price reported in the active market in which the individual security was traded.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33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Level 2—Assets were valued using quoted prices in markets that are not active, broker dealer quotations, and other methods by which all significant inputs were observable at the measurement date.</w:t>
      </w:r>
    </w:p>
    <w:p>
      <w:pPr>
        <w:spacing w:after="0" w:line="6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Level 3—Assets were valued using unobservable inputs in which little or no market data exists as reported by the respective institutions at the measurement date.</w:t>
      </w:r>
    </w:p>
    <w:p>
      <w:pPr>
        <w:spacing w:after="0" w:line="15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carrying values of financial instruments comprising cash and cash equivalents, prepaid assets, accounts payable, accounts receivable and due from related parties approximate fair values due to the short-term maturities of these instruments. The fair value of the credit and guarantee facility approximates the carrying value based on the interest rates which approximate current market rates. The Company has a contingent consideration liability related to the acquisitions of Hark and Bonaccord that is measured at fair value and is remeasured on a recurring basis. See Note 11 for additional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is the customer in a contractual arrangement will be made on a contract-by-contract basis, the customer will generally be the investment fund for the Company’s significant management and advisory contracts.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and Advisory Fees</w:t>
      </w:r>
    </w:p>
    <w:p>
      <w:pPr>
        <w:spacing w:after="0" w:line="21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Other revenue on our Consolidated Statements of Operations primarily consists of subscriptions, consulting agreements and referral fees.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certain opportunities.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 xml:space="preserve">Current income tax expense represents our estimated taxes to be paid or refunded for the current period.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6"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stand-alone tax rules as applicable.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See Note 17 for additional information. Prior to the IPO, redeemable noncontrolling interests represented third party and related party interests in the Company's consolidated subsidiary, P10 Intermediate. Prior to the conversion of the redeemable convertible preferred shares issued by P10 Intermediate to class B shares, the numerator in the computation of diluted EPS was impacted by the redeemable convertible preferred shares. Under the if converted method, diluted EPS reflects a reduction in earnings that P10 would recognize by owning a smaller percentage of P10 Intermediate when the preferred shares are assumed to be converted.</w:t>
      </w:r>
    </w:p>
    <w:p>
      <w:pPr>
        <w:spacing w:after="0" w:line="18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324"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Stock-based compensation relates to grants for shares of P10 awarded to our employees through stock options as well as RSUs awarded to employees and RSAs issued to non-employee directors as compensation for service on the Company's board. RSUs and RSAs stock compensation expense are recorded ratably over the vesting period at the fair market value on the grant date. Stock option compensation cost is estimated at the grant date based on the fair-value of the award, which is determined using the Black Scholes option valuation model and is recognized as an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Forfeitures are recognized as they occur.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16"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 xml:space="preserve">The Company operates as an integrated private markets solution provider and a single operating segment. According to ASC 280, </w:t>
      </w:r>
      <w:r>
        <w:rPr>
          <w:rFonts w:ascii="Arial" w:cs="Arial" w:eastAsia="Arial" w:hAnsi="Arial"/>
          <w:sz w:val="16"/>
          <w:szCs w:val="16"/>
          <w:i w:val="1"/>
          <w:iCs w:val="1"/>
          <w:color w:val="auto"/>
        </w:rPr>
        <w:t>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Segments of an Enterprise and Related Information</w:t>
      </w:r>
      <w:r>
        <w:rPr>
          <w:rFonts w:ascii="Arial" w:cs="Arial" w:eastAsia="Arial" w:hAnsi="Arial"/>
          <w:sz w:val="16"/>
          <w:szCs w:val="16"/>
          <w:color w:val="auto"/>
        </w:rPr>
        <w:t>, operating segments are defined as components of an enterprise for which separate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is evaluated regularly by the chief operating decision maker(s) in deciding how to allocate resources and in assessing performance.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21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 xml:space="preserve">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8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w:t>
      </w: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4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8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general, administrative and other on our Consolidated Statements of Operations.</w:t>
      </w:r>
    </w:p>
    <w:p>
      <w:pPr>
        <w:spacing w:after="0" w:line="18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Dividends are reflected in the consolidated financial statements when declared.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spacing w:after="0" w:line="232" w:lineRule="exact"/>
        <w:rPr>
          <w:sz w:val="20"/>
          <w:szCs w:val="20"/>
          <w:color w:val="auto"/>
        </w:rPr>
      </w:pPr>
    </w:p>
    <w:p>
      <w:pPr>
        <w:jc w:val="both"/>
        <w:ind w:right="20" w:firstLine="509"/>
        <w:spacing w:after="0" w:line="270" w:lineRule="auto"/>
        <w:rPr>
          <w:sz w:val="20"/>
          <w:szCs w:val="20"/>
          <w:color w:val="auto"/>
        </w:rPr>
      </w:pPr>
      <w:r>
        <w:rPr>
          <w:rFonts w:ascii="Arial" w:cs="Arial" w:eastAsia="Arial" w:hAnsi="Arial"/>
          <w:sz w:val="17"/>
          <w:szCs w:val="17"/>
          <w:color w:val="auto"/>
        </w:rPr>
        <w:t xml:space="preserve">The Company adopted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w:t>
      </w:r>
      <w:r>
        <w:rPr>
          <w:rFonts w:ascii="Arial" w:cs="Arial" w:eastAsia="Arial" w:hAnsi="Arial"/>
          <w:sz w:val="17"/>
          <w:szCs w:val="17"/>
          <w:i w:val="1"/>
          <w:iCs w:val="1"/>
          <w:color w:val="auto"/>
        </w:rPr>
        <w:t>: Disclosure Framework - Simplifying the Accounting for Income Taxes</w:t>
      </w:r>
      <w:r>
        <w:rPr>
          <w:rFonts w:ascii="Arial" w:cs="Arial" w:eastAsia="Arial" w:hAnsi="Arial"/>
          <w:sz w:val="17"/>
          <w:szCs w:val="17"/>
          <w:color w:val="auto"/>
        </w:rPr>
        <w:t>, on January 1, 2021, which simplified the accounting for income taxes by removing certain exceptions to the general principles of Topic 740 and clarifying and amending existing guidance. The adoption of this standard did not have a material impact on our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Not Yet Adopted</w:t>
      </w:r>
    </w:p>
    <w:p>
      <w:pPr>
        <w:spacing w:after="0" w:line="10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(“ASU 2016-13”). ASU 2016-13 provides amendments to ASC 326,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must be applied using the modified retrospective adoption method on January 1, 2023, with early adoption permitted. We are evaluating the effects of these amendments on our financial reporting.</w:t>
      </w:r>
    </w:p>
    <w:p>
      <w:pPr>
        <w:spacing w:after="0" w:line="7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On October 28, 2021, the FASB issued ASU 2021-08, which amends ASC 805 to “require acquiring entities to apply Topic 606 to recognize and measure contract assets and contract liabilities in a business combination.” Under current GAAP, an acquirer generally recognizes such items at fair value on the acquisition date. The guidance is effective for fiscal years beginning after December 15, 2022. We are evaluating the effects of these amendments on our financial reporting.</w:t>
      </w:r>
    </w:p>
    <w:p>
      <w:pPr>
        <w:spacing w:after="0" w:line="9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 xml:space="preserve">On June 30, 2022, the FASB issued ASU No. 2022-03, </w:t>
      </w:r>
      <w:r>
        <w:rPr>
          <w:rFonts w:ascii="Arial" w:cs="Arial" w:eastAsia="Arial" w:hAnsi="Arial"/>
          <w:sz w:val="18"/>
          <w:szCs w:val="18"/>
          <w:i w:val="1"/>
          <w:iCs w:val="1"/>
          <w:color w:val="auto"/>
        </w:rPr>
        <w:t>Fair Value Measurement of Equity Securities Subject to Contractual Sale Restrictions</w:t>
      </w:r>
      <w:r>
        <w:rPr>
          <w:rFonts w:ascii="Arial" w:cs="Arial" w:eastAsia="Arial" w:hAnsi="Arial"/>
          <w:sz w:val="18"/>
          <w:szCs w:val="18"/>
          <w:color w:val="auto"/>
        </w:rPr>
        <w:t xml:space="preserve"> ("ASU 2022-03"). The amendments in this Update affect all entities that have investments in 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6"/>
          <w:szCs w:val="16"/>
          <w:color w:val="373739"/>
        </w:rPr>
        <w:t>d</w:t>
      </w:r>
      <w:r>
        <w:rPr>
          <w:rFonts w:ascii="Arial" w:cs="Arial" w:eastAsia="Arial" w:hAnsi="Arial"/>
          <w:sz w:val="18"/>
          <w:szCs w:val="18"/>
          <w:color w:val="auto"/>
        </w:rPr>
        <w:t>ments also clarify that an entity cannot, as a separate unit of account, recognize and measure a contractual sale restriction. The guidance is effective for fiscal years beginning after December 15, 2023. We are evaluating the effects of these amendments on our financial reporting.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Bonaccord</w:t>
      </w:r>
    </w:p>
    <w:p>
      <w:pPr>
        <w:spacing w:after="0" w:line="10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On September 30, 2021, the Company completed the purchase of Bonaccord for total consideration of $56.4 million, which includes cash and contingent consideration. Bonaccord is engaged in the business of acquiring minority interests in alternative asset management companies focused on private market strategies which may include private equity, private client, real estate, and real asset strategies. The acquisition was accounted for as a business combination under the acquisition method of accounting pursuant to ASC 805.</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203"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20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38,927</w:t>
            </w:r>
          </w:p>
        </w:tc>
        <w:tc>
          <w:tcPr>
            <w:tcW w:w="6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17,435</w:t>
            </w:r>
          </w:p>
        </w:tc>
        <w:tc>
          <w:tcPr>
            <w:tcW w:w="60" w:type="dxa"/>
            <w:vAlign w:val="bottom"/>
          </w:tcPr>
          <w:p>
            <w:pPr>
              <w:spacing w:after="0"/>
              <w:rPr>
                <w:sz w:val="18"/>
                <w:szCs w:val="18"/>
                <w:color w:val="auto"/>
              </w:rPr>
            </w:pPr>
          </w:p>
        </w:tc>
      </w:tr>
      <w:tr>
        <w:trPr>
          <w:trHeight w:val="250"/>
        </w:trPr>
        <w:tc>
          <w:tcPr>
            <w:tcW w:w="5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purchase consideration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56,362</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jc w:val="both"/>
        <w:ind w:right="20" w:firstLine="509"/>
        <w:spacing w:after="0" w:line="324" w:lineRule="auto"/>
        <w:rPr>
          <w:sz w:val="20"/>
          <w:szCs w:val="20"/>
          <w:color w:val="auto"/>
        </w:rPr>
      </w:pPr>
      <w:r>
        <w:rPr>
          <w:rFonts w:ascii="Arial" w:cs="Arial" w:eastAsia="Arial" w:hAnsi="Arial"/>
          <w:sz w:val="16"/>
          <w:szCs w:val="16"/>
          <w:color w:val="auto"/>
        </w:rPr>
        <w:t>A total of $35.0 million of the cash consideration was financed through an amendment to the term loan under the Credit and Guarantee Facility ("the Facility") with HPS Investment Partners, LLC ("HPS"). The additional draw had the same terms as the existing Facility, including the maturity date.</w:t>
      </w:r>
    </w:p>
    <w:p>
      <w:pPr>
        <w:spacing w:after="0" w:line="124"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Included in total consideration is $17.4 million of contingent consideration, representing the fair value of expected future payments on the date of the acquisition. The amount ultimately owed to the sellers is based on achieving specific fundraising targets and any amounts paid to the sellers will be paid by October 2027, at which point the contingent consideration expires. Total contingent consideration payments will not exceed $20.0 million.</w:t>
      </w:r>
    </w:p>
    <w:p>
      <w:pPr>
        <w:spacing w:after="0" w:line="14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fair value was derived from an analysis of the option pricing model and the scenario based model. The assumptions used in the analysis are inherently subjective; therefore, the ultimate amount of the liability may differ materially from the current estimate. As of September 30, 2022, the estimated fair value of the remaining contingent consideration totaled $19.3 million, with the increase since acquisition driven primarily by changes in the Company's borrowing rate due to the debt refinancing. See Note 11 for more details.</w:t>
      </w:r>
    </w:p>
    <w:p>
      <w:pPr>
        <w:spacing w:after="0" w:line="7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connection with the acquisition, the Company incurred a total of $0.7 million of acquisition-related expenses. Of the total acquisition-related expenses, $0 and $0.2 million were recorded during the three and nine months ended September 30, 2022, respectively, and $0.3 million and $0.3 million for the three and nine months ended September 30, 2021, respectively. These costs are included in professional fees on the Consolidated Statements of Operations.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fair value of the net assets acquired as of the acquisition date: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2240" w:type="dxa"/>
            <w:vAlign w:val="bottom"/>
          </w:tcPr>
          <w:p>
            <w:pPr>
              <w:spacing w:after="0"/>
              <w:rPr>
                <w:sz w:val="16"/>
                <w:szCs w:val="16"/>
                <w:color w:val="auto"/>
              </w:rPr>
            </w:pPr>
          </w:p>
        </w:tc>
      </w:tr>
      <w:tr>
        <w:trPr>
          <w:trHeight w:val="210"/>
        </w:trPr>
        <w:tc>
          <w:tcPr>
            <w:tcW w:w="226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w w:val="97"/>
              </w:rPr>
              <w:t>Prepaid expenses and other assets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Investment in partnership</w:t>
            </w:r>
          </w:p>
        </w:tc>
        <w:tc>
          <w:tcPr>
            <w:tcW w:w="2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w:t>
            </w:r>
          </w:p>
        </w:tc>
        <w:tc>
          <w:tcPr>
            <w:tcW w:w="2240" w:type="dxa"/>
            <w:vAlign w:val="bottom"/>
          </w:tcPr>
          <w:p>
            <w:pPr>
              <w:spacing w:after="0"/>
              <w:rPr>
                <w:sz w:val="18"/>
                <w:szCs w:val="18"/>
                <w:color w:val="auto"/>
              </w:rPr>
            </w:pPr>
          </w:p>
        </w:tc>
      </w:tr>
      <w:tr>
        <w:trPr>
          <w:trHeight w:val="250"/>
        </w:trPr>
        <w:tc>
          <w:tcPr>
            <w:tcW w:w="2260" w:type="dxa"/>
            <w:vAlign w:val="bottom"/>
          </w:tcPr>
          <w:p>
            <w:pPr>
              <w:spacing w:after="0"/>
              <w:rPr>
                <w:sz w:val="21"/>
                <w:szCs w:val="21"/>
                <w:color w:val="auto"/>
              </w:rPr>
            </w:pPr>
          </w:p>
        </w:tc>
        <w:tc>
          <w:tcPr>
            <w:tcW w:w="2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assets acquired</w:t>
            </w:r>
          </w:p>
        </w:tc>
        <w:tc>
          <w:tcPr>
            <w:tcW w:w="25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14,345</w:t>
            </w:r>
          </w:p>
        </w:tc>
        <w:tc>
          <w:tcPr>
            <w:tcW w:w="2240" w:type="dxa"/>
            <w:vAlign w:val="bottom"/>
          </w:tcPr>
          <w:p>
            <w:pPr>
              <w:spacing w:after="0"/>
              <w:rPr>
                <w:sz w:val="21"/>
                <w:szCs w:val="21"/>
                <w:color w:val="auto"/>
              </w:rPr>
            </w:pPr>
          </w:p>
        </w:tc>
      </w:tr>
      <w:tr>
        <w:trPr>
          <w:trHeight w:val="197"/>
        </w:trPr>
        <w:tc>
          <w:tcPr>
            <w:tcW w:w="2260" w:type="dxa"/>
            <w:vAlign w:val="bottom"/>
          </w:tcPr>
          <w:p>
            <w:pPr>
              <w:spacing w:after="0"/>
              <w:rPr>
                <w:sz w:val="17"/>
                <w:szCs w:val="17"/>
                <w:color w:val="auto"/>
              </w:rPr>
            </w:pPr>
          </w:p>
        </w:tc>
        <w:tc>
          <w:tcPr>
            <w:tcW w:w="296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2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Accrued expenses</w:t>
            </w:r>
          </w:p>
        </w:tc>
        <w:tc>
          <w:tcPr>
            <w:tcW w:w="25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2240" w:type="dxa"/>
            <w:vAlign w:val="bottom"/>
          </w:tcPr>
          <w:p>
            <w:pPr>
              <w:spacing w:after="0"/>
              <w:rPr>
                <w:sz w:val="18"/>
                <w:szCs w:val="18"/>
                <w:color w:val="auto"/>
              </w:rPr>
            </w:pPr>
          </w:p>
        </w:tc>
      </w:tr>
      <w:tr>
        <w:trPr>
          <w:trHeight w:val="210"/>
        </w:trPr>
        <w:tc>
          <w:tcPr>
            <w:tcW w:w="2260" w:type="dxa"/>
            <w:vAlign w:val="bottom"/>
          </w:tcPr>
          <w:p>
            <w:pPr>
              <w:spacing w:after="0"/>
              <w:rPr>
                <w:sz w:val="18"/>
                <w:szCs w:val="18"/>
                <w:color w:val="auto"/>
              </w:rPr>
            </w:pPr>
          </w:p>
        </w:tc>
        <w:tc>
          <w:tcPr>
            <w:tcW w:w="296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25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2240" w:type="dxa"/>
            <w:vAlign w:val="bottom"/>
          </w:tcPr>
          <w:p>
            <w:pPr>
              <w:spacing w:after="0"/>
              <w:rPr>
                <w:sz w:val="18"/>
                <w:szCs w:val="18"/>
                <w:color w:val="auto"/>
              </w:rPr>
            </w:pPr>
          </w:p>
        </w:tc>
      </w:tr>
      <w:tr>
        <w:trPr>
          <w:trHeight w:val="20"/>
        </w:trPr>
        <w:tc>
          <w:tcPr>
            <w:tcW w:w="2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22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2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identifiable assets acquired</w:t>
            </w:r>
          </w:p>
        </w:tc>
        <w:tc>
          <w:tcPr>
            <w:tcW w:w="2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13,426</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42,936</w:t>
            </w:r>
          </w:p>
        </w:tc>
        <w:tc>
          <w:tcPr>
            <w:tcW w:w="2240" w:type="dxa"/>
            <w:vAlign w:val="bottom"/>
          </w:tcPr>
          <w:p>
            <w:pPr>
              <w:spacing w:after="0"/>
              <w:rPr>
                <w:sz w:val="18"/>
                <w:szCs w:val="18"/>
                <w:color w:val="auto"/>
              </w:rPr>
            </w:pPr>
          </w:p>
        </w:tc>
      </w:tr>
      <w:tr>
        <w:trPr>
          <w:trHeight w:val="250"/>
        </w:trPr>
        <w:tc>
          <w:tcPr>
            <w:tcW w:w="2260" w:type="dxa"/>
            <w:vAlign w:val="bottom"/>
          </w:tcPr>
          <w:p>
            <w:pPr>
              <w:spacing w:after="0"/>
              <w:rPr>
                <w:sz w:val="21"/>
                <w:szCs w:val="21"/>
                <w:color w:val="auto"/>
              </w:rPr>
            </w:pPr>
          </w:p>
        </w:tc>
        <w:tc>
          <w:tcPr>
            <w:tcW w:w="2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assets acquired</w:t>
            </w:r>
          </w:p>
        </w:tc>
        <w:tc>
          <w:tcPr>
            <w:tcW w:w="25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56,362</w:t>
            </w:r>
          </w:p>
        </w:tc>
        <w:tc>
          <w:tcPr>
            <w:tcW w:w="2240" w:type="dxa"/>
            <w:vAlign w:val="bottom"/>
          </w:tcPr>
          <w:p>
            <w:pPr>
              <w:spacing w:after="0"/>
              <w:rPr>
                <w:sz w:val="21"/>
                <w:szCs w:val="21"/>
                <w:color w:val="auto"/>
              </w:rPr>
            </w:pPr>
          </w:p>
        </w:tc>
      </w:tr>
      <w:tr>
        <w:trPr>
          <w:trHeight w:val="360"/>
        </w:trPr>
        <w:tc>
          <w:tcPr>
            <w:tcW w:w="2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80" w:type="dxa"/>
            <w:vAlign w:val="bottom"/>
          </w:tcPr>
          <w:p>
            <w:pPr>
              <w:jc w:val="right"/>
              <w:ind w:right="2019"/>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16"/>
        </w:trPr>
        <w:tc>
          <w:tcPr>
            <w:tcW w:w="22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-1508125</wp:posOffset>
            </wp:positionV>
            <wp:extent cx="3429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1631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-1207770</wp:posOffset>
            </wp:positionV>
            <wp:extent cx="34290"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0861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-479425</wp:posOffset>
            </wp:positionV>
            <wp:extent cx="342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-462280</wp:posOffset>
            </wp:positionV>
            <wp:extent cx="34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fair value of the identifiable intangible assets acquired:</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5"/>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Value of management and advisory contracts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9,450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Value of trade name</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5440" w:type="dxa"/>
            <w:vAlign w:val="bottom"/>
          </w:tcPr>
          <w:p>
            <w:pPr>
              <w:ind w:left="200"/>
              <w:spacing w:after="0"/>
              <w:rPr>
                <w:sz w:val="20"/>
                <w:szCs w:val="20"/>
                <w:color w:val="auto"/>
              </w:rPr>
            </w:pPr>
            <w:r>
              <w:rPr>
                <w:rFonts w:ascii="Arial" w:cs="Arial" w:eastAsia="Arial" w:hAnsi="Arial"/>
                <w:sz w:val="18"/>
                <w:szCs w:val="18"/>
                <w:color w:val="auto"/>
              </w:rPr>
              <w:t>Total identifiable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-170815</wp:posOffset>
            </wp:positionV>
            <wp:extent cx="431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In connection with the acquisition, Bonaccord assumed a Strategic Alliance Agreement ("SAA"), providing a third-party the right to receive 15% of the net management fee earnings, which includes the management fees minus applicable expenses, for Bonaccord Fund I ("Fund I") and any subsequent fund, paid quarterly, in exchange for funding certain amounts of capital commitments to the fund. See Note 5 for more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The goodwill recorded as part of the acquisition includes the expected benefits that management believes will result from the acquisition, including the Company’s build out of its investment product offering. Approximately $42.9 million of goodwill is expected to be deductible for tax purposes.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Hark</w:t>
      </w:r>
    </w:p>
    <w:p>
      <w:pPr>
        <w:spacing w:after="0" w:line="108"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On September 30, 2021, the Company completed the purchase of Hark for total consideration of $7.2 million, which includes $5.0 million of cash and $2.2 million of estimated contingent consideration, with the fair value based on the scenario based method. The acquisition was accounted for as a business combination under the acquisition method of accounting pursuant to ASC 805.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T</w:t>
      </w:r>
      <w:r>
        <w:rPr>
          <w:rFonts w:ascii="Arial" w:cs="Arial" w:eastAsia="Arial" w:hAnsi="Arial"/>
          <w:sz w:val="16"/>
          <w:szCs w:val="16"/>
          <w:color w:val="231F20"/>
        </w:rPr>
        <w:t>he fair value consisted</w:t>
      </w:r>
      <w:r>
        <w:rPr>
          <w:rFonts w:ascii="Arial" w:cs="Arial" w:eastAsia="Arial" w:hAnsi="Arial"/>
          <w:sz w:val="16"/>
          <w:szCs w:val="16"/>
          <w:color w:val="auto"/>
        </w:rPr>
        <w:t xml:space="preserve"> </w:t>
      </w:r>
      <w:r>
        <w:rPr>
          <w:rFonts w:ascii="Arial" w:cs="Arial" w:eastAsia="Arial" w:hAnsi="Arial"/>
          <w:sz w:val="16"/>
          <w:szCs w:val="16"/>
          <w:color w:val="231F20"/>
        </w:rPr>
        <w:t>of $2.5 million in net assets and $4.7 million in goodwill. The total contingent consideration payment will not exceed $5.4 million.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12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fair value of management and advisory contracts acquired were estimated using the excess earnings method. Significant inputs to the valuation model include existing revenue, estimates of expenses and contributory asset charges, the economic life of the contracts and a discount rate based on a weighted average cost of capital.</w:t>
      </w:r>
    </w:p>
    <w:p>
      <w:pPr>
        <w:spacing w:after="0" w:line="19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The fair value of trade names acquired were estimated using the relief from royalty method. Significant inputs to the valuation model include estimates of existing and future revenue, estimated royalty rate, economic life and a discount rate based on a weighted average cost of capital.</w:t>
      </w:r>
    </w:p>
    <w:p>
      <w:pPr>
        <w:spacing w:after="0" w:line="14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fair value of technology acquired was estimated using the relief from royalty method. Significant inputs to the valuation model include a royalty rate, an estimated life and a discount rate.</w:t>
      </w:r>
    </w:p>
    <w:p>
      <w:pPr>
        <w:spacing w:after="0" w:line="1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management and advisory contracts, trade names and the acquired technology all have a finite useful life. The carrying value of the management fund and advisory contracts and trade names will be amortized in line with the pattern in which the economic benefits arise and are reviewed at least annually for indicators of impairment in value that is other than temporary. The technology will be amortized on a straight-line basis.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Pro-forma Financial Information</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unaudited pro forma condensed consolidated results of operations of the Company assumes the acquisition of Bonaccord was completed on January 1, 2021:</w:t>
      </w:r>
    </w:p>
    <w:p>
      <w:pPr>
        <w:spacing w:after="0" w:line="176"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For the Nine Months</w:t>
      </w:r>
    </w:p>
    <w:p>
      <w:pPr>
        <w:spacing w:after="0" w:line="4"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Ended September 30,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140,015</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120,057</w:t>
            </w:r>
          </w:p>
        </w:tc>
        <w:tc>
          <w:tcPr>
            <w:tcW w:w="100" w:type="dxa"/>
            <w:vAlign w:val="bottom"/>
            <w:shd w:val="clear" w:color="auto" w:fill="CFF0FC"/>
          </w:tcPr>
          <w:p>
            <w:pPr>
              <w:spacing w:after="0"/>
              <w:rPr>
                <w:sz w:val="18"/>
                <w:szCs w:val="18"/>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Net income attributable to P10</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24,563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12,749</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Pro forma adjustments include revenue and net income of the acquired business for each period. Other pro forma adjustments include intangible amortization expense and interest expense based on debt issued or repaid in connection with the acquisition as if the acquisition was completed on January 1,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revenues disaggregated by product offering:</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For the Nine Months</w:t>
            </w:r>
          </w:p>
        </w:tc>
        <w:tc>
          <w:tcPr>
            <w:tcW w:w="100" w:type="dxa"/>
            <w:vAlign w:val="bottom"/>
          </w:tcPr>
          <w:p>
            <w:pPr>
              <w:spacing w:after="0"/>
              <w:rPr>
                <w:sz w:val="14"/>
                <w:szCs w:val="14"/>
                <w:color w:val="auto"/>
              </w:rPr>
            </w:pPr>
          </w:p>
        </w:tc>
      </w:tr>
      <w:tr>
        <w:trPr>
          <w:trHeight w:val="186"/>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6"/>
                <w:szCs w:val="16"/>
                <w:color w:val="auto"/>
              </w:rPr>
            </w:pPr>
          </w:p>
        </w:tc>
      </w:tr>
      <w:tr>
        <w:trPr>
          <w:trHeight w:val="161"/>
        </w:trPr>
        <w:tc>
          <w:tcPr>
            <w:tcW w:w="5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5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advisory fees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138,957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104,029</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Subscriptions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r>
      <w:tr>
        <w:trPr>
          <w:trHeight w:val="216"/>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49,996</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38,145</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140,015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104,901</w:t>
            </w:r>
          </w:p>
        </w:tc>
        <w:tc>
          <w:tcPr>
            <w:tcW w:w="10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5969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Alliance Expense</w:t>
      </w:r>
    </w:p>
    <w:p>
      <w:pPr>
        <w:spacing w:after="0" w:line="12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connection with the Bonaccord acquisition, Bonaccord assumed a SAA. This SAA provides the third-party the right to receive 15% of the net management fee earnings, which includes the management fees minus applicable expenses, for Fund I and subsequent funds, paid quarterly, in exchange for funding certain amounts of capital commitments to the fund. Net management fee earnings the third-party has the right to receive is based on the total capital committed.</w:t>
      </w:r>
    </w:p>
    <w:p>
      <w:pPr>
        <w:spacing w:after="0" w:line="18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addition, net management fee earnings would increase by the same percentage, retroactive to the date of the first close in Fund II. The maximum commitment requirement has been met as of September 30, 2022. The Company believes its probable that the third-party will exercise the option to acquire equity in Bonaccord and has begun to accrue an additional 5% of net management fee earnings. If executed, the purchase price shall be reduced by the amount of management fee distributions which the third-party would have been paid as of the initial closing of Fund II. Similar terms apply for Fund III with the exception that the third-party can acquire 9.8 basis points for every $5.0 million committed up to 4.9%. This commitment has not yet been met as of September 30, 2022 as Fund III has not yet had its final close.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 For the three and nine months ended September 30, 2022, the strategic alliance expense reported was $0.1 million and $0.4 million, respectively. In the three and nine months ended September 30, 2021, there was no strategic alliance expense. This is reported on the Consolidated Statements of Operations as strategic alliance expense in operating expenses.</w:t>
      </w: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 Receivable</w:t>
      </w:r>
    </w:p>
    <w:p>
      <w:pPr>
        <w:spacing w:after="0" w:line="108"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The Company's note receivable consists of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with a maturity date of September 30, 2031. The note will earn interest at the greater of (i) the applicable federal rate that must be charged to avoid imputation of interest under Section 1274(d) of the U.S. Internal Revenue Code and (ii) 5.5%. Interest will be paid on December 31st of each year commencing December 31, 2021, with any unpaid accrued interest being capitalized and added to the outstanding principal balance. There was no cash paid for interest as of December 31, 2021 and the outstanding balance was capitalized to the note receivable. Principal payments will be made periodically as mandatorily required payments from available cash flows at BCP. As of September 30, 2022 and December 31, 2021, the outstanding balance was $4.0 million and $2.6 million, respectively. The Company recognized interest income of $0.1 million and $0.1 million for the three and nine months ended September 30, 2022, respectively. The Company recognized no interest income for the three and nine months ended September 30, 2021. This is presented in other revenue on the Consolidated Statement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Variable Interest Entities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Company consolidates certain VIEs for which it is the primary beneficiary. VIEs consist of certain operating entities not wholly owned by the Company and include Holdco, RCP 2, RCP 3, TrueBridge, Hark and Bonaccord. See Note 2 for more information on the Company’s accounting policies related to the consolidation of VIEs. The assets of the consolidated VIEs totaled $393.7 million and $413.2 million as of September 30, 2022 and December 31, 2021, respectively. The liabilities of the consolidated VIEs totaled $51.6 million and $53.6 million as of September 30, 2022 and December 31, 2021, respectively. The assets of our consolidated VIE’s are owned by those entities and not generally available to satisfy P10’s obligations, and the liabilities of our consolidated VIE’s are obligations of those entities, and their creditors do not generally have recourse to the assets of P10.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Unconsolidated VIEs</w:t>
      </w:r>
    </w:p>
    <w:p>
      <w:pPr>
        <w:spacing w:after="0" w:line="10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Unconsolidated Subsidiaries</w:t>
      </w:r>
    </w:p>
    <w:p>
      <w:pPr>
        <w:spacing w:after="0" w:line="10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Company’s investment in unconsolidated subsidiaries consist of equity method investments primarily related to ECG’s tax credit finance and asset management activities.</w:t>
      </w:r>
    </w:p>
    <w:p>
      <w:pPr>
        <w:spacing w:after="0" w:line="157"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As of September 30, 2022, investment in unconsolidated subsidiaries totaled $2.1 million, of which $1.9 million related to ECG’s asset management businesses and $0.2 million related to ECG’s tax credit finance businesses. As of December 31, 2021, investment in unconsolidated subsidiaries totaled $1.8 million, of which $1.6 million related to ECG’s asset management businesses and $0.2 million related to ECG’s tax credit finance businesses.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10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ECG manages some of its alternative asset management funds through various unconsolidated subsidiaries and records these investments under the equity method of accounting. ECG recorded its share of income in the amount of $0.2 million and $1.3 million for the three and nine months ended September 30, 2022, respectively, and $0.3 million and $0.8 million for the three and nine months ended September 30, 2021, respectively. For the three and nine months ended September 30, 2022, ECG made $0 and $0 capital contributions and received distributions of $0.3 million and $1.0 million, respectively.</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Credit Finance</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ECG provides a wide range of tax credit transactions and consulting services through various entities which are wholly owned subsidiaries of Enhanced Tax Credit Finance, LLC (“ETCF”), which is a wholly owned subsidiary of ECG. Some of these subsidiaries own nominal interests, typically under 1.0%, in various VIEs and record these investments under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3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measurement alternative described in Note 2 above. For the three and nine months ended September 30, 2022, ECG made $0 and $0 of capital contributions and received distributions of $0 and $0,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 the following:</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As of September</w:t>
            </w:r>
          </w:p>
        </w:tc>
        <w:tc>
          <w:tcPr>
            <w:tcW w:w="14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94"/>
              <w:spacing w:after="0"/>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5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Computers and purchased software</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(587 )</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Changes in goodwill for the nine months ended September 30, 2022 is as follows:</w:t>
      </w:r>
    </w:p>
    <w:p>
      <w:pPr>
        <w:spacing w:after="0" w:line="23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-119380</wp:posOffset>
            </wp:positionV>
            <wp:extent cx="427736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Purchase price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Increase from acquisitions</w:t>
      </w:r>
    </w:p>
    <w:p>
      <w:pPr>
        <w:spacing w:after="0" w:line="4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Balance at September 30, 2022</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Intangibles consists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3" w:hanging="603"/>
        <w:spacing w:after="0"/>
        <w:tabs>
          <w:tab w:leader="none" w:pos="603" w:val="left"/>
        </w:tabs>
        <w:numPr>
          <w:ilvl w:val="0"/>
          <w:numId w:val="3"/>
        </w:numPr>
        <w:rPr>
          <w:rFonts w:ascii="Arial" w:cs="Arial" w:eastAsia="Arial" w:hAnsi="Arial"/>
          <w:sz w:val="18"/>
          <w:szCs w:val="18"/>
          <w:color w:val="auto"/>
        </w:rPr>
      </w:pPr>
      <w:r>
        <w:rPr>
          <w:rFonts w:ascii="Arial" w:cs="Arial" w:eastAsia="Arial" w:hAnsi="Arial"/>
          <w:sz w:val="18"/>
          <w:szCs w:val="18"/>
          <w:color w:val="auto"/>
        </w:rPr>
        <w:t>418,701</w:t>
      </w:r>
    </w:p>
    <w:p>
      <w:pPr>
        <w:spacing w:after="0" w:line="23" w:lineRule="exact"/>
        <w:rPr>
          <w:rFonts w:ascii="Arial" w:cs="Arial" w:eastAsia="Arial" w:hAnsi="Arial"/>
          <w:sz w:val="18"/>
          <w:szCs w:val="18"/>
          <w:color w:val="auto"/>
        </w:rPr>
      </w:pPr>
    </w:p>
    <w:p>
      <w:pPr>
        <w:ind w:left="963"/>
        <w:spacing w:after="0"/>
        <w:rPr>
          <w:rFonts w:ascii="Arial" w:cs="Arial" w:eastAsia="Arial" w:hAnsi="Arial"/>
          <w:sz w:val="18"/>
          <w:szCs w:val="18"/>
          <w:color w:val="auto"/>
        </w:rPr>
      </w:pPr>
      <w:r>
        <w:rPr>
          <w:rFonts w:ascii="Arial" w:cs="Arial" w:eastAsia="Arial" w:hAnsi="Arial"/>
          <w:sz w:val="15"/>
          <w:szCs w:val="15"/>
          <w:color w:val="auto"/>
        </w:rPr>
        <w:t>(11 )</w:t>
      </w:r>
    </w:p>
    <w:p>
      <w:pPr>
        <w:spacing w:after="0" w:line="43" w:lineRule="exact"/>
        <w:rPr>
          <w:rFonts w:ascii="Arial" w:cs="Arial" w:eastAsia="Arial" w:hAnsi="Arial"/>
          <w:sz w:val="18"/>
          <w:szCs w:val="18"/>
          <w:color w:val="auto"/>
        </w:rPr>
      </w:pPr>
    </w:p>
    <w:p>
      <w:pPr>
        <w:ind w:left="1123"/>
        <w:spacing w:after="0"/>
        <w:rPr>
          <w:rFonts w:ascii="Arial" w:cs="Arial" w:eastAsia="Arial" w:hAnsi="Arial"/>
          <w:sz w:val="18"/>
          <w:szCs w:val="18"/>
          <w:color w:val="auto"/>
        </w:rPr>
      </w:pPr>
      <w:r>
        <w:rPr>
          <w:rFonts w:ascii="Arial" w:cs="Arial" w:eastAsia="Arial" w:hAnsi="Arial"/>
          <w:sz w:val="18"/>
          <w:szCs w:val="18"/>
          <w:color w:val="auto"/>
        </w:rPr>
        <w:t>-</w:t>
      </w:r>
    </w:p>
    <w:p>
      <w:pPr>
        <w:ind w:left="603" w:hanging="603"/>
        <w:spacing w:after="0"/>
        <w:tabs>
          <w:tab w:leader="none" w:pos="603"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418,690 </w:t>
      </w:r>
      <w:r>
        <w:rPr>
          <w:rFonts w:ascii="Arial" w:cs="Arial" w:eastAsia="Arial" w:hAnsi="Arial"/>
          <w:sz w:val="1"/>
          <w:szCs w:val="1"/>
          <w:color w:val="auto"/>
        </w:rPr>
        <w:drawing>
          <wp:inline distT="0" distB="0" distL="0" distR="0">
            <wp:extent cx="34290" cy="1524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15240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77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771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42" w:lineRule="exact"/>
        <w:rPr>
          <w:sz w:val="20"/>
          <w:szCs w:val="20"/>
          <w:color w:val="auto"/>
        </w:rPr>
      </w:pPr>
    </w:p>
    <w:p>
      <w:pPr>
        <w:sectPr>
          <w:pgSz w:w="11900" w:h="16838" w:orient="portrait"/>
          <w:cols w:equalWidth="0" w:num="2">
            <w:col w:w="7017" w:space="720"/>
            <w:col w:w="3503"/>
          </w:cols>
          <w:pgMar w:left="320" w:top="121"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w w:val="97"/>
              </w:rPr>
              <w:t>As of September 30, 2022</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7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right"/>
              <w:ind w:right="401"/>
              <w:spacing w:after="0" w:line="133" w:lineRule="exact"/>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1"/>
                <w:szCs w:val="11"/>
                <w:color w:val="auto"/>
              </w:rPr>
            </w:pPr>
          </w:p>
        </w:tc>
        <w:tc>
          <w:tcPr>
            <w:tcW w:w="112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100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17,350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17,350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indefinite-lived intangible assets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17,380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17,380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21,440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(2,991 )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18,449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Management and advisory contracts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151,166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(77,802 )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73,364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(1,103 )</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finite-lived intangible assets</w:t>
            </w: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174,965</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(81,896</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93,069</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192,345</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(81,896 </w:t>
            </w:r>
            <w:r>
              <w:rPr>
                <w:rFonts w:ascii="Arial" w:cs="Arial" w:eastAsia="Arial" w:hAnsi="Arial"/>
                <w:sz w:val="18"/>
                <w:szCs w:val="18"/>
                <w:color w:val="auto"/>
                <w:highlight w:val="white"/>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110,449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1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-1499235</wp:posOffset>
            </wp:positionV>
            <wp:extent cx="60325"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-1499235</wp:posOffset>
            </wp:positionV>
            <wp:extent cx="5143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-1499235</wp:posOffset>
            </wp:positionV>
            <wp:extent cx="51435"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-624840</wp:posOffset>
            </wp:positionV>
            <wp:extent cx="6032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-624840</wp:posOffset>
            </wp:positionV>
            <wp:extent cx="5143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right"/>
              <w:ind w:right="401"/>
              <w:spacing w:after="0" w:line="13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1"/>
                <w:szCs w:val="11"/>
                <w:color w:val="auto"/>
              </w:rPr>
            </w:pPr>
          </w:p>
        </w:tc>
      </w:tr>
      <w:tr>
        <w:trPr>
          <w:trHeight w:val="185"/>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17,350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17,350</w:t>
            </w:r>
          </w:p>
        </w:tc>
        <w:tc>
          <w:tcPr>
            <w:tcW w:w="80" w:type="dxa"/>
            <w:vAlign w:val="bottom"/>
          </w:tcPr>
          <w:p>
            <w:pPr>
              <w:spacing w:after="0"/>
              <w:rPr>
                <w:sz w:val="19"/>
                <w:szCs w:val="19"/>
                <w:color w:val="auto"/>
              </w:rPr>
            </w:pPr>
          </w:p>
        </w:tc>
      </w:tr>
      <w:tr>
        <w:trPr>
          <w:trHeight w:val="216"/>
        </w:trPr>
        <w:tc>
          <w:tcPr>
            <w:tcW w:w="4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 indefinite-lived intangible assets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17,380</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(1,785 )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19,655</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Management and advisory contracts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(60,934 )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90,232</w:t>
            </w:r>
          </w:p>
        </w:tc>
        <w:tc>
          <w:tcPr>
            <w:tcW w:w="80" w:type="dxa"/>
            <w:vAlign w:val="bottom"/>
            <w:shd w:val="clear" w:color="auto" w:fill="CFF0FC"/>
          </w:tcPr>
          <w:p>
            <w:pPr>
              <w:spacing w:after="0"/>
              <w:rPr>
                <w:sz w:val="19"/>
                <w:szCs w:val="19"/>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(6,639 )</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18"/>
                <w:szCs w:val="18"/>
                <w:color w:val="auto"/>
              </w:rPr>
            </w:pPr>
          </w:p>
        </w:tc>
      </w:tr>
      <w:tr>
        <w:trPr>
          <w:trHeight w:val="209"/>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finite-lived intangible assets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180,766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(69,358</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198,146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(69,358 </w:t>
            </w:r>
            <w:r>
              <w:rPr>
                <w:rFonts w:ascii="Arial" w:cs="Arial" w:eastAsia="Arial" w:hAnsi="Arial"/>
                <w:sz w:val="18"/>
                <w:szCs w:val="18"/>
                <w:color w:val="auto"/>
                <w:highlight w:val="white"/>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128,788</w:t>
            </w:r>
          </w:p>
        </w:tc>
        <w:tc>
          <w:tcPr>
            <w:tcW w:w="8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032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-1045210</wp:posOffset>
            </wp:positionV>
            <wp:extent cx="51435"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-1045210</wp:posOffset>
            </wp:positionV>
            <wp:extent cx="5143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032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Management and advisory contracts and finite lived trade names are amortized over 7 - 16 years and are being amortized in line with pattern in which the economic benefits that are expected to occur. Technology is amortized on a straight-line basis over 4 years. The amortization expense for each of the next five years and thereafter are as follows:</w:t>
      </w:r>
    </w:p>
    <w:p>
      <w:pPr>
        <w:spacing w:after="0" w:line="196"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6,160</w:t>
            </w:r>
          </w:p>
        </w:tc>
        <w:tc>
          <w:tcPr>
            <w:tcW w:w="6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21,155</w:t>
            </w:r>
          </w:p>
        </w:tc>
        <w:tc>
          <w:tcPr>
            <w:tcW w:w="6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17,590</w:t>
            </w:r>
          </w:p>
        </w:tc>
        <w:tc>
          <w:tcPr>
            <w:tcW w:w="6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13,807</w:t>
            </w:r>
          </w:p>
        </w:tc>
        <w:tc>
          <w:tcPr>
            <w:tcW w:w="6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10,878</w:t>
            </w:r>
          </w:p>
        </w:tc>
        <w:tc>
          <w:tcPr>
            <w:tcW w:w="6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23,479</w:t>
            </w:r>
          </w:p>
        </w:tc>
        <w:tc>
          <w:tcPr>
            <w:tcW w:w="60" w:type="dxa"/>
            <w:vAlign w:val="bottom"/>
          </w:tcPr>
          <w:p>
            <w:pPr>
              <w:spacing w:after="0"/>
              <w:rPr>
                <w:sz w:val="18"/>
                <w:szCs w:val="18"/>
                <w:color w:val="auto"/>
              </w:rPr>
            </w:pPr>
          </w:p>
        </w:tc>
      </w:tr>
      <w:tr>
        <w:trPr>
          <w:trHeight w:val="25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amortization</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93,069</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Company measures certain liabilities at fair value on a recurring basis. The following tables provide details regarding the classification of these liabilities within the fair value hierarchy as of the dates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8"/>
                <w:szCs w:val="18"/>
                <w:b w:val="1"/>
                <w:bCs w:val="1"/>
                <w:color w:val="auto"/>
                <w:w w:val="88"/>
              </w:rPr>
              <w:t>As of September 30, 2022</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I</w:t>
            </w:r>
          </w:p>
        </w:tc>
        <w:tc>
          <w:tcPr>
            <w:tcW w:w="3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II</w:t>
            </w: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III</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Contingent consideration obligation</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30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24,330</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tcPr>
          <w:p>
            <w:pPr>
              <w:spacing w:after="0"/>
              <w:rPr>
                <w:sz w:val="18"/>
                <w:szCs w:val="18"/>
                <w:color w:val="auto"/>
              </w:rPr>
            </w:pPr>
          </w:p>
        </w:tc>
      </w:tr>
      <w:tr>
        <w:trPr>
          <w:trHeight w:val="250"/>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340" w:type="dxa"/>
            <w:vAlign w:val="bottom"/>
            <w:tcBorders>
              <w:top w:val="single" w:sz="8" w:color="auto"/>
              <w:bottom w:val="single" w:sz="8" w:color="auto"/>
            </w:tcBorders>
            <w:shd w:val="clear" w:color="auto" w:fill="CFF0FC"/>
          </w:tcPr>
          <w:p>
            <w:pPr>
              <w:jc w:val="right"/>
              <w:ind w:right="11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ind w:right="113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center"/>
              <w:ind w:left="1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24,330</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-24765</wp:posOffset>
            </wp:positionV>
            <wp:extent cx="3497580" cy="5911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97580" cy="59118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8"/>
                <w:szCs w:val="18"/>
                <w:b w:val="1"/>
                <w:bCs w:val="1"/>
                <w:color w:val="auto"/>
                <w:w w:val="89"/>
              </w:rPr>
              <w:t>As of December 31, 2021</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I</w:t>
            </w:r>
          </w:p>
        </w:tc>
        <w:tc>
          <w:tcPr>
            <w:tcW w:w="3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II</w:t>
            </w: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III</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Contingent consideration obligation</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30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22,963</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tcPr>
          <w:p>
            <w:pPr>
              <w:spacing w:after="0"/>
              <w:rPr>
                <w:sz w:val="18"/>
                <w:szCs w:val="18"/>
                <w:color w:val="auto"/>
              </w:rPr>
            </w:pPr>
          </w:p>
        </w:tc>
      </w:tr>
      <w:tr>
        <w:trPr>
          <w:trHeight w:val="250"/>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340" w:type="dxa"/>
            <w:vAlign w:val="bottom"/>
            <w:tcBorders>
              <w:top w:val="single" w:sz="8" w:color="auto"/>
              <w:bottom w:val="single" w:sz="8" w:color="auto"/>
            </w:tcBorders>
            <w:shd w:val="clear" w:color="auto" w:fill="CFF0FC"/>
          </w:tcPr>
          <w:p>
            <w:pPr>
              <w:jc w:val="right"/>
              <w:ind w:right="11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ind w:right="113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center"/>
              <w:ind w:left="1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22,963</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-8255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liabilities presented in the tables above, there were no changes in fair value hierarchy levels during the periods ended September 30, 2022 and December 31,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 dollar amounts stated in thousands)</w:t>
      </w:r>
    </w:p>
    <w:p>
      <w:pPr>
        <w:sectPr>
          <w:pgSz w:w="11900" w:h="16838" w:orient="portrait"/>
          <w:cols w:equalWidth="0" w:num="1">
            <w:col w:w="11260"/>
          </w:cols>
          <w:pgMar w:left="320" w:top="121" w:right="319" w:bottom="1440" w:gutter="0" w:footer="0" w:header="0"/>
        </w:sectPr>
      </w:pPr>
    </w:p>
    <w:p>
      <w:pPr>
        <w:spacing w:after="0" w:line="2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changes in the fair value of Level III financial instruments are set forth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Contingent Consideration Liability</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Change in fair value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6"/>
        <w:spacing w:after="0"/>
        <w:rPr>
          <w:sz w:val="20"/>
          <w:szCs w:val="20"/>
          <w:color w:val="auto"/>
        </w:rPr>
      </w:pPr>
      <w:r>
        <w:rPr>
          <w:rFonts w:ascii="Arial" w:cs="Arial" w:eastAsia="Arial" w:hAnsi="Arial"/>
          <w:sz w:val="18"/>
          <w:szCs w:val="18"/>
          <w:b w:val="1"/>
          <w:bCs w:val="1"/>
          <w:color w:val="auto"/>
        </w:rPr>
        <w:t>For the Nine</w:t>
      </w:r>
    </w:p>
    <w:p>
      <w:pPr>
        <w:jc w:val="center"/>
        <w:ind w:right="36"/>
        <w:spacing w:after="0" w:line="221" w:lineRule="auto"/>
        <w:rPr>
          <w:sz w:val="20"/>
          <w:szCs w:val="20"/>
          <w:color w:val="auto"/>
        </w:rPr>
      </w:pPr>
      <w:r>
        <w:rPr>
          <w:rFonts w:ascii="Arial" w:cs="Arial" w:eastAsia="Arial" w:hAnsi="Arial"/>
          <w:sz w:val="18"/>
          <w:szCs w:val="18"/>
          <w:b w:val="1"/>
          <w:bCs w:val="1"/>
          <w:color w:val="auto"/>
        </w:rPr>
        <w:t>Months Ended</w:t>
      </w:r>
    </w:p>
    <w:p>
      <w:pPr>
        <w:jc w:val="center"/>
        <w:ind w:left="-3"/>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wp:posOffset>
            </wp:positionV>
            <wp:extent cx="10026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ind w:left="604"/>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10026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3" w:lineRule="exact"/>
        <w:rPr>
          <w:sz w:val="20"/>
          <w:szCs w:val="20"/>
          <w:color w:val="auto"/>
        </w:rPr>
      </w:pPr>
    </w:p>
    <w:p>
      <w:pPr>
        <w:ind w:left="1064" w:hanging="1064"/>
        <w:spacing w:after="0"/>
        <w:tabs>
          <w:tab w:leader="none" w:pos="1064" w:val="left"/>
        </w:tabs>
        <w:numPr>
          <w:ilvl w:val="0"/>
          <w:numId w:val="5"/>
        </w:numPr>
        <w:rPr>
          <w:rFonts w:ascii="Arial" w:cs="Arial" w:eastAsia="Arial" w:hAnsi="Arial"/>
          <w:sz w:val="15"/>
          <w:szCs w:val="15"/>
          <w:color w:val="auto"/>
        </w:rPr>
      </w:pPr>
      <w:r>
        <w:rPr>
          <w:rFonts w:ascii="Arial" w:cs="Arial" w:eastAsia="Arial" w:hAnsi="Arial"/>
          <w:sz w:val="15"/>
          <w:szCs w:val="15"/>
          <w:color w:val="auto"/>
        </w:rPr>
        <w:t>22,963</w:t>
      </w:r>
    </w:p>
    <w:p>
      <w:pPr>
        <w:spacing w:after="0" w:line="57" w:lineRule="exact"/>
        <w:rPr>
          <w:rFonts w:ascii="Arial" w:cs="Arial" w:eastAsia="Arial" w:hAnsi="Arial"/>
          <w:sz w:val="15"/>
          <w:szCs w:val="15"/>
          <w:color w:val="auto"/>
        </w:rPr>
      </w:pPr>
    </w:p>
    <w:p>
      <w:pPr>
        <w:ind w:left="1484"/>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10026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ind w:left="1064" w:hanging="1064"/>
        <w:spacing w:after="0"/>
        <w:tabs>
          <w:tab w:leader="none" w:pos="1064" w:val="left"/>
        </w:tabs>
        <w:numPr>
          <w:ilvl w:val="0"/>
          <w:numId w:val="6"/>
        </w:numPr>
        <w:rPr>
          <w:rFonts w:ascii="Arial" w:cs="Arial" w:eastAsia="Arial" w:hAnsi="Arial"/>
          <w:sz w:val="15"/>
          <w:szCs w:val="15"/>
          <w:color w:val="auto"/>
        </w:rPr>
      </w:pPr>
      <w:r>
        <w:rPr>
          <w:rFonts w:ascii="Arial" w:cs="Arial" w:eastAsia="Arial" w:hAnsi="Arial"/>
          <w:sz w:val="15"/>
          <w:szCs w:val="15"/>
          <w:color w:val="auto"/>
        </w:rPr>
        <w:t>24,330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215" w:right="165"/>
        <w:spacing w:after="0" w:line="266" w:lineRule="auto"/>
        <w:rPr>
          <w:sz w:val="20"/>
          <w:szCs w:val="20"/>
          <w:color w:val="auto"/>
        </w:rPr>
      </w:pPr>
      <w:r>
        <w:rPr>
          <w:rFonts w:ascii="Arial" w:cs="Arial" w:eastAsia="Arial" w:hAnsi="Arial"/>
          <w:sz w:val="16"/>
          <w:szCs w:val="16"/>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635</wp:posOffset>
            </wp:positionV>
            <wp:extent cx="11315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615"/>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028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 w:lineRule="exact"/>
        <w:rPr>
          <w:sz w:val="20"/>
          <w:szCs w:val="20"/>
          <w:color w:val="auto"/>
        </w:rPr>
      </w:pPr>
    </w:p>
    <w:p>
      <w:pPr>
        <w:ind w:left="1315" w:hanging="1315"/>
        <w:spacing w:after="0"/>
        <w:tabs>
          <w:tab w:leader="none" w:pos="1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593</w:t>
      </w:r>
    </w:p>
    <w:p>
      <w:pPr>
        <w:spacing w:after="0" w:line="22" w:lineRule="exact"/>
        <w:rPr>
          <w:rFonts w:ascii="Arial" w:cs="Arial" w:eastAsia="Arial" w:hAnsi="Arial"/>
          <w:sz w:val="18"/>
          <w:szCs w:val="18"/>
          <w:color w:val="auto"/>
        </w:rPr>
      </w:pPr>
    </w:p>
    <w:p>
      <w:pPr>
        <w:ind w:left="1095"/>
        <w:spacing w:after="0"/>
        <w:rPr>
          <w:rFonts w:ascii="Arial" w:cs="Arial" w:eastAsia="Arial" w:hAnsi="Arial"/>
          <w:sz w:val="18"/>
          <w:szCs w:val="18"/>
          <w:color w:val="auto"/>
        </w:rPr>
      </w:pPr>
      <w:r>
        <w:rPr>
          <w:rFonts w:ascii="Arial" w:cs="Arial" w:eastAsia="Arial" w:hAnsi="Arial"/>
          <w:sz w:val="18"/>
          <w:szCs w:val="18"/>
          <w:color w:val="auto"/>
        </w:rPr>
        <w:t>19,160</w:t>
      </w:r>
    </w:p>
    <w:p>
      <w:pPr>
        <w:spacing w:after="0" w:line="9" w:lineRule="exact"/>
        <w:rPr>
          <w:rFonts w:ascii="Arial" w:cs="Arial" w:eastAsia="Arial" w:hAnsi="Arial"/>
          <w:sz w:val="18"/>
          <w:szCs w:val="18"/>
          <w:color w:val="auto"/>
        </w:rPr>
      </w:pPr>
    </w:p>
    <w:p>
      <w:pPr>
        <w:ind w:left="1315"/>
        <w:spacing w:after="0"/>
        <w:rPr>
          <w:rFonts w:ascii="Arial" w:cs="Arial" w:eastAsia="Arial" w:hAnsi="Arial"/>
          <w:sz w:val="18"/>
          <w:szCs w:val="18"/>
          <w:color w:val="auto"/>
        </w:rPr>
      </w:pPr>
      <w:r>
        <w:rPr>
          <w:rFonts w:ascii="Arial" w:cs="Arial" w:eastAsia="Arial" w:hAnsi="Arial"/>
          <w:sz w:val="18"/>
          <w:szCs w:val="18"/>
          <w:color w:val="auto"/>
        </w:rPr>
        <w:t>134</w:t>
      </w:r>
    </w:p>
    <w:p>
      <w:pPr>
        <w:spacing w:after="0" w:line="9" w:lineRule="exact"/>
        <w:rPr>
          <w:rFonts w:ascii="Arial" w:cs="Arial" w:eastAsia="Arial" w:hAnsi="Arial"/>
          <w:sz w:val="18"/>
          <w:szCs w:val="18"/>
          <w:color w:val="auto"/>
        </w:rPr>
      </w:pPr>
    </w:p>
    <w:p>
      <w:pPr>
        <w:ind w:left="1255"/>
        <w:spacing w:after="0"/>
        <w:rPr>
          <w:rFonts w:ascii="Arial" w:cs="Arial" w:eastAsia="Arial" w:hAnsi="Arial"/>
          <w:sz w:val="18"/>
          <w:szCs w:val="18"/>
          <w:color w:val="auto"/>
        </w:rPr>
      </w:pPr>
      <w:r>
        <w:rPr>
          <w:rFonts w:ascii="Arial" w:cs="Arial" w:eastAsia="Arial" w:hAnsi="Arial"/>
          <w:sz w:val="16"/>
          <w:szCs w:val="16"/>
          <w:color w:val="auto"/>
        </w:rPr>
        <w:t>(727 )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wp:posOffset>
            </wp:positionV>
            <wp:extent cx="1028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2" w:lineRule="exact"/>
        <w:rPr>
          <w:sz w:val="20"/>
          <w:szCs w:val="20"/>
          <w:color w:val="auto"/>
        </w:rPr>
      </w:pPr>
    </w:p>
    <w:p>
      <w:pPr>
        <w:ind w:left="1095" w:hanging="1095"/>
        <w:spacing w:after="0"/>
        <w:tabs>
          <w:tab w:leader="none" w:pos="1095" w:val="left"/>
        </w:tabs>
        <w:numPr>
          <w:ilvl w:val="0"/>
          <w:numId w:val="8"/>
        </w:numPr>
        <w:rPr>
          <w:rFonts w:ascii="Arial" w:cs="Arial" w:eastAsia="Arial" w:hAnsi="Arial"/>
          <w:sz w:val="18"/>
          <w:szCs w:val="18"/>
          <w:color w:val="auto"/>
        </w:rPr>
      </w:pPr>
      <w:r>
        <w:rPr>
          <w:rFonts w:ascii="Arial" w:cs="Arial" w:eastAsia="Arial" w:hAnsi="Arial"/>
          <w:sz w:val="18"/>
          <w:szCs w:val="18"/>
          <w:color w:val="auto"/>
        </w:rPr>
        <w:t>19,160</w:t>
      </w:r>
    </w:p>
    <w:p>
      <w:pPr>
        <w:spacing w:after="0" w:line="235" w:lineRule="exact"/>
        <w:rPr>
          <w:sz w:val="20"/>
          <w:szCs w:val="20"/>
          <w:color w:val="auto"/>
        </w:rPr>
      </w:pPr>
    </w:p>
    <w:p>
      <w:pPr>
        <w:sectPr>
          <w:pgSz w:w="11900" w:h="16838" w:orient="portrait"/>
          <w:cols w:equalWidth="0" w:num="3">
            <w:col w:w="6956" w:space="720"/>
            <w:col w:w="1544" w:space="305"/>
            <w:col w:w="1735"/>
          </w:cols>
          <w:pgMar w:left="320" w:top="121" w:right="319" w:bottom="1440" w:gutter="0" w:footer="0" w:header="0"/>
          <w:type w:val="continuous"/>
        </w:sectPr>
      </w:pPr>
    </w:p>
    <w:p>
      <w:pPr>
        <w:spacing w:after="0" w:line="56"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The fair value of the contingent consideration liability represents the fair value of future payments upon satisfaction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 Obligations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obligations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left="101"/>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5"/>
                <w:szCs w:val="15"/>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left="101"/>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jc w:val="center"/>
              <w:ind w:left="365"/>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revolving credit facility state tax credits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5"/>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(8 )</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1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 state tax credits, net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Revolver facility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3"/>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49,900</w:t>
            </w:r>
          </w:p>
        </w:tc>
        <w:tc>
          <w:tcPr>
            <w:tcW w:w="80" w:type="dxa"/>
            <w:vAlign w:val="bottom"/>
          </w:tcPr>
          <w:p>
            <w:pPr>
              <w:spacing w:after="0"/>
              <w:rPr>
                <w:sz w:val="18"/>
                <w:szCs w:val="18"/>
                <w:color w:val="auto"/>
              </w:rPr>
            </w:pPr>
          </w:p>
        </w:tc>
        <w:tc>
          <w:tcPr>
            <w:tcW w:w="54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90,900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(2,833 )</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3"/>
              </w:rPr>
              <w:t>(2,981 )</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10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Revolver facility, net</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gridSpan w:val="2"/>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47,067</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87,919</w:t>
            </w:r>
          </w:p>
        </w:tc>
        <w:tc>
          <w:tcPr>
            <w:tcW w:w="80" w:type="dxa"/>
            <w:vAlign w:val="bottom"/>
            <w:tcBorders>
              <w:top w:val="single" w:sz="8" w:color="CFF0FC"/>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5"/>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(1,293 )</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(415 )</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1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Term loan, net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123,707</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124,585</w:t>
            </w: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Total debt obligations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3"/>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170,774</w:t>
            </w:r>
          </w:p>
        </w:tc>
        <w:tc>
          <w:tcPr>
            <w:tcW w:w="80" w:type="dxa"/>
            <w:vAlign w:val="bottom"/>
          </w:tcPr>
          <w:p>
            <w:pPr>
              <w:spacing w:after="0"/>
              <w:rPr>
                <w:sz w:val="18"/>
                <w:szCs w:val="18"/>
                <w:color w:val="auto"/>
              </w:rPr>
            </w:pPr>
          </w:p>
        </w:tc>
        <w:tc>
          <w:tcPr>
            <w:tcW w:w="54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212,496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The table below summarizes the terms of the debt obligations.</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3"/>
                <w:szCs w:val="13"/>
                <w:b w:val="1"/>
                <w:bCs w:val="1"/>
                <w:color w:val="auto"/>
              </w:rPr>
              <w:t>September 30, 2022</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auto"/>
                <w:w w:val="90"/>
              </w:rPr>
              <w:t>Aggregate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Outstanding</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1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Arial" w:cs="Arial" w:eastAsia="Arial" w:hAnsi="Arial"/>
                <w:sz w:val="13"/>
                <w:szCs w:val="13"/>
                <w:b w:val="1"/>
                <w:bCs w:val="1"/>
                <w:color w:val="auto"/>
              </w:rPr>
              <w:t>Maturity Date</w:t>
            </w:r>
          </w:p>
        </w:tc>
        <w:tc>
          <w:tcPr>
            <w:tcW w:w="120" w:type="dxa"/>
            <w:vAlign w:val="bottom"/>
          </w:tcPr>
          <w:p>
            <w:pPr>
              <w:spacing w:after="0"/>
              <w:rPr>
                <w:sz w:val="16"/>
                <w:szCs w:val="16"/>
                <w:color w:val="auto"/>
              </w:rPr>
            </w:pPr>
          </w:p>
        </w:tc>
        <w:tc>
          <w:tcPr>
            <w:tcW w:w="86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Facility Size</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221"/>
              <w:spacing w:after="0"/>
              <w:rPr>
                <w:sz w:val="20"/>
                <w:szCs w:val="20"/>
                <w:color w:val="auto"/>
              </w:rPr>
            </w:pPr>
            <w:r>
              <w:rPr>
                <w:rFonts w:ascii="Arial" w:cs="Arial" w:eastAsia="Arial" w:hAnsi="Arial"/>
                <w:sz w:val="13"/>
                <w:szCs w:val="13"/>
                <w:b w:val="1"/>
                <w:bCs w:val="1"/>
                <w:color w:val="auto"/>
              </w:rPr>
              <w:t>Debt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Available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Value</w:t>
            </w:r>
          </w:p>
        </w:tc>
        <w:tc>
          <w:tcPr>
            <w:tcW w:w="220" w:type="dxa"/>
            <w:vAlign w:val="bottom"/>
          </w:tcPr>
          <w:p>
            <w:pPr>
              <w:spacing w:after="0"/>
              <w:rPr>
                <w:sz w:val="16"/>
                <w:szCs w:val="16"/>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Interest Rate</w:t>
            </w:r>
          </w:p>
        </w:tc>
        <w:tc>
          <w:tcPr>
            <w:tcW w:w="0" w:type="dxa"/>
            <w:vAlign w:val="bottom"/>
          </w:tcPr>
          <w:p>
            <w:pPr>
              <w:spacing w:after="0"/>
              <w:rPr>
                <w:sz w:val="1"/>
                <w:szCs w:val="1"/>
                <w:color w:val="auto"/>
              </w:rPr>
            </w:pPr>
          </w:p>
        </w:tc>
      </w:tr>
      <w:tr>
        <w:trPr>
          <w:trHeight w:val="169"/>
        </w:trPr>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Term Loan</w:t>
            </w:r>
          </w:p>
        </w:tc>
        <w:tc>
          <w:tcPr>
            <w:tcW w:w="31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3"/>
                <w:szCs w:val="13"/>
                <w:color w:val="auto"/>
              </w:rPr>
              <w:t>12/22/2025</w:t>
            </w: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125,000</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125,000</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w w:val="93"/>
              </w:rPr>
              <w:t>123,707</w:t>
            </w:r>
          </w:p>
        </w:tc>
        <w:tc>
          <w:tcPr>
            <w:tcW w:w="22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3"/>
                <w:szCs w:val="13"/>
                <w:color w:val="auto"/>
                <w:w w:val="94"/>
              </w:rPr>
              <w:t>2.35</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3"/>
                <w:szCs w:val="13"/>
                <w:color w:val="auto"/>
              </w:rPr>
              <w:t>Revolver Facility</w:t>
            </w:r>
          </w:p>
        </w:tc>
        <w:tc>
          <w:tcPr>
            <w:tcW w:w="4100" w:type="dxa"/>
            <w:vAlign w:val="bottom"/>
            <w:gridSpan w:val="2"/>
          </w:tcPr>
          <w:p>
            <w:pPr>
              <w:ind w:left="3300"/>
              <w:spacing w:after="0"/>
              <w:rPr>
                <w:sz w:val="20"/>
                <w:szCs w:val="20"/>
                <w:color w:val="auto"/>
              </w:rPr>
            </w:pPr>
            <w:r>
              <w:rPr>
                <w:rFonts w:ascii="Arial" w:cs="Arial" w:eastAsia="Arial" w:hAnsi="Arial"/>
                <w:sz w:val="13"/>
                <w:szCs w:val="13"/>
                <w:color w:val="auto"/>
              </w:rPr>
              <w:t>12/22/2025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125,000</w:t>
            </w: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49,900</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75,100</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47,067</w:t>
            </w:r>
          </w:p>
        </w:tc>
        <w:tc>
          <w:tcPr>
            <w:tcW w:w="1320" w:type="dxa"/>
            <w:vAlign w:val="bottom"/>
            <w:gridSpan w:val="4"/>
          </w:tcPr>
          <w:p>
            <w:pPr>
              <w:ind w:left="940"/>
              <w:spacing w:after="0"/>
              <w:rPr>
                <w:sz w:val="20"/>
                <w:szCs w:val="20"/>
                <w:color w:val="auto"/>
              </w:rPr>
            </w:pPr>
            <w:r>
              <w:rPr>
                <w:rFonts w:ascii="Arial" w:cs="Arial" w:eastAsia="Arial" w:hAnsi="Arial"/>
                <w:sz w:val="13"/>
                <w:szCs w:val="13"/>
                <w:color w:val="auto"/>
                <w:w w:val="88"/>
              </w:rPr>
              <w:t>3.03 %</w:t>
            </w:r>
          </w:p>
        </w:tc>
        <w:tc>
          <w:tcPr>
            <w:tcW w:w="0" w:type="dxa"/>
            <w:vAlign w:val="bottom"/>
          </w:tcPr>
          <w:p>
            <w:pPr>
              <w:spacing w:after="0"/>
              <w:rPr>
                <w:sz w:val="1"/>
                <w:szCs w:val="1"/>
                <w:color w:val="auto"/>
              </w:rPr>
            </w:pPr>
          </w:p>
        </w:tc>
      </w:tr>
      <w:tr>
        <w:trPr>
          <w:trHeight w:val="208"/>
        </w:trPr>
        <w:tc>
          <w:tcPr>
            <w:tcW w:w="1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w:t>
            </w:r>
          </w:p>
        </w:tc>
        <w:tc>
          <w:tcPr>
            <w:tcW w:w="3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250,000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174,900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75,100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w w:val="93"/>
              </w:rPr>
              <w:t>170,774</w:t>
            </w: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-2322195</wp:posOffset>
            </wp:positionV>
            <wp:extent cx="5143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-2322195</wp:posOffset>
            </wp:positionV>
            <wp:extent cx="4318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1460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-2039620</wp:posOffset>
            </wp:positionV>
            <wp:extent cx="5143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-2039620</wp:posOffset>
            </wp:positionV>
            <wp:extent cx="4318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1543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-1464945</wp:posOffset>
            </wp:positionV>
            <wp:extent cx="5143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-1464945</wp:posOffset>
            </wp:positionV>
            <wp:extent cx="431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w:t>
      </w:r>
    </w:p>
    <w:p>
      <w:pPr>
        <w:spacing w:after="0" w:line="108" w:lineRule="exact"/>
        <w:rPr>
          <w:sz w:val="20"/>
          <w:szCs w:val="20"/>
          <w:color w:val="auto"/>
        </w:rPr>
      </w:pPr>
    </w:p>
    <w:p>
      <w:pPr>
        <w:jc w:val="both"/>
        <w:ind w:right="20" w:firstLine="509"/>
        <w:spacing w:after="0" w:line="249" w:lineRule="auto"/>
        <w:rPr>
          <w:sz w:val="20"/>
          <w:szCs w:val="20"/>
          <w:color w:val="auto"/>
        </w:rPr>
      </w:pPr>
      <w:r>
        <w:rPr>
          <w:rFonts w:ascii="Arial" w:cs="Arial" w:eastAsia="Arial" w:hAnsi="Arial"/>
          <w:sz w:val="18"/>
          <w:szCs w:val="18"/>
          <w:color w:val="auto"/>
        </w:rPr>
        <w:t>On December 22, 2021, the Company extinguished its debt outstanding with HPS, as described below in the Credit and Guaranty Facility section and simultaneously entered into a new credit agreement with JP Morgan Chase Bank, N.A. ("JP Morgan") in order to gain more favorable interest terms. The Company used the proceeds from the new credit agreement with JP Morgan not only to repay the outstanding balance with HPS but also to repay the notes payable to sellers as described below in the Notes Payable to Sellers section.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State Tax Credits</w:t>
      </w:r>
    </w:p>
    <w:p>
      <w:pPr>
        <w:spacing w:after="0" w:line="108"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Enhanced State Tax Credit Fund III, LLC, a subsidiary of ECG, had a $10 million revolving credit facility with a regional financial institution restricted solely for the purchase of allocable state tax credits from various state tax credit incentive</w:t>
      </w:r>
    </w:p>
    <w:p>
      <w:pPr>
        <w:jc w:val="center"/>
        <w:ind w:right="2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3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programs. The facility bore interest at 0.25% above the Prime Rate and matured on June 15, 2022. The facility was not renewed upon maturity. There was no outstanding balance nor any interest incurred as of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to Sellers</w:t>
      </w:r>
    </w:p>
    <w:p>
      <w:pPr>
        <w:spacing w:after="0" w:line="12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7"/>
          <w:szCs w:val="17"/>
          <w:color w:val="auto"/>
        </w:rPr>
        <w:t>On October 5, 2017, the Company issued Secured Promissory Notes Payable (“2017 Seller Notes”) in the amount of $81.3 million to the owners of RCP 2 in connection with the acquisition of that entity. The 2017 Seller Notes were set to mature on January 15, 2025. On December 23, 2021, the Company used the proceeds from the new credit agreement with JP Morgan to repay the outstanding balance of the 2017 Sellers Notes.</w:t>
      </w:r>
    </w:p>
    <w:p>
      <w:pPr>
        <w:spacing w:after="0" w:line="15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7"/>
          <w:szCs w:val="17"/>
          <w:color w:val="auto"/>
        </w:rPr>
        <w:t>On January 3, 2018, the Company issued Secured Promissory Notes Payable (“2018 Seller Notes”) in the amount of $22.1 million to the owners of RCP 3 in connection with the acquisition of that entity. The 2018 Seller Notes were set to mature on January 15, 2025. On December 23, 2021, the Company used the proceeds from the new credit agreement with JP Morgan to repay the outstanding balance of the 2018 Sellers Notes.</w:t>
      </w:r>
    </w:p>
    <w:p>
      <w:pPr>
        <w:spacing w:after="0" w:line="17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On January 3, 2018, the Company issued tax amortization benefits in the amount of $48.4 million (“TAB Payments”) to the owners of RCP 3 in connection with the acquisition of that entity. The TAB Payments were set to mature on April 15, 2023. On December 23, 2021, the Company used the proceeds from the new credit agreement with JP Morgan to repay the outstanding balance of the TAB Payments.</w:t>
      </w:r>
    </w:p>
    <w:p>
      <w:pPr>
        <w:spacing w:after="0" w:line="17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2017 Seller Notes, the 2018 Seller Notes and the TAB Payments are collectively referred to as “Notes payable to sellers” on our Consolidated Financial Statements.</w:t>
      </w:r>
    </w:p>
    <w:p>
      <w:pPr>
        <w:spacing w:after="0" w:line="156"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Non-cash interest expense was recorded on a periodic basis for the Notes payable to sellers. During the three and nine months ended September 30, 2022, we recorded $0 and $0, respectively, and for the three and nine months ended September 30, 2021, we recorded $0.3 million and $0.7 million, respectively, in interest expense related to the TAB Payments.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Guaranty Facility</w:t>
      </w:r>
    </w:p>
    <w:p>
      <w:pPr>
        <w:spacing w:after="0" w:line="24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8"/>
          <w:szCs w:val="18"/>
          <w:color w:val="auto"/>
        </w:rPr>
        <w:t>The Company’s subsidiary, Holdco, entered into the Credit and Guaranty Facility (the "Facility") with HPS as administrative agent and collateral agent on October 7, 2017. The Facility initially provided for a $130.0 million senior secured credit facility in order to refinance the existing debt obligations of RCP Advisors and provide for the financing to repay the Seller Notes due resulting from the acquisition of RCP Advisors. The Facility provided for a $125 million five-year term, subject to certain EBITDA levels and conditions, and a $5 million one-year line of credit. The line of credit was repaid and subsequently expired during 2018. Holdco was permitted to draw up to $125 million in aggregate on the term loan in tranches through July 31, 2019.</w:t>
      </w:r>
    </w:p>
    <w:p>
      <w:pPr>
        <w:spacing w:after="0" w:line="19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On October 2, 2020 and December 14, 2020, in connection with the acquisitions of TrueBridge and Enhanced, the term loan under the Facility was amended adding an additional $91.4 million and $68.0 million to the Facility, respectively.</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On September 30, 2021, in connection with the acquisition of Bonaccord, the term loan under the Facility was amended adding an additional $35.0 million to the Facility.</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On October 28, 2021, a payment of $88.6 million was made on the Facility, which included an optional repayment of $86.8 million, required prepayment penalty of $1.2 million, and an accrued interest payment of $0.6 million.</w:t>
      </w:r>
    </w:p>
    <w:p>
      <w:pPr>
        <w:spacing w:after="0" w:line="18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On December 22, 2021, the remaining principal balance under the Facility of $200 million was repaid using the proceeds of the new credit facility with JP Morgan. In accordance with the Facility, the Company also paid the remaining accrued interest balance of $2.1 million and an early extinguishment fee of $3.7 million.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and Term Loan</w:t>
      </w:r>
    </w:p>
    <w:p>
      <w:pPr>
        <w:spacing w:after="0" w:line="216"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8"/>
          <w:szCs w:val="18"/>
          <w:color w:val="auto"/>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w:t>
      </w:r>
    </w:p>
    <w:p>
      <w:pPr>
        <w:spacing w:after="0" w:line="19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8"/>
          <w:szCs w:val="18"/>
          <w:color w:val="auto"/>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 Certain P10 subsidiaries are encumbered by this debt agreement.</w:t>
      </w:r>
    </w:p>
    <w:p>
      <w:pPr>
        <w:spacing w:after="0" w:line="18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The Credit Agreement contains affirmative and negative covenants typical of such financing transactions, and specific financial covenants which require P10 to maintain a minimum leverage ratio. As of September 30, 2022, P10 was in compliance with its financial covenants required under the facility. As of September 30, 2022, the balance drawn on the revolving credit facility is $49.9 million and on the term loan, the balance is $125.0 million. The balance as of December 31, 2021 was $90.9 million on the revolving credit facility and $125 million on the term loan. For the three and nine months ended September 30, 2022, $2.1 million and $4.6 million of interest expense was incurred, respectively.</w:t>
      </w:r>
    </w:p>
    <w:p>
      <w:pPr>
        <w:spacing w:after="0" w:line="180"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In September 2022, the Company exercised the accordion feature on the Credit Agreement. The principal was not drawn on the accordion until the fourth quarter of 2022, however, the Company incurred $1.4 million of debt issuance costs in September associated with the exercise.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Payable</w:t>
      </w:r>
    </w:p>
    <w:p>
      <w:pPr>
        <w:spacing w:after="0" w:line="10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20" w:type="dxa"/>
            <w:vAlign w:val="bottom"/>
            <w:gridSpan w:val="2"/>
          </w:tcPr>
          <w:p>
            <w:pPr>
              <w:jc w:val="right"/>
              <w:ind w:right="1690"/>
              <w:spacing w:after="0"/>
              <w:rPr>
                <w:sz w:val="20"/>
                <w:szCs w:val="20"/>
                <w:color w:val="auto"/>
              </w:rPr>
            </w:pPr>
            <w:r>
              <w:rPr>
                <w:rFonts w:ascii="Arial" w:cs="Arial" w:eastAsia="Arial" w:hAnsi="Arial"/>
                <w:sz w:val="18"/>
                <w:szCs w:val="18"/>
                <w:color w:val="auto"/>
                <w:w w:val="90"/>
              </w:rPr>
              <w:t>Future principal maturities of debt as of September 30, 2022 are as follows: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4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5480" w:type="dxa"/>
            <w:vAlign w:val="bottom"/>
            <w:shd w:val="clear" w:color="auto" w:fill="CFF0FC"/>
          </w:tcPr>
          <w:p>
            <w:pPr>
              <w:jc w:val="right"/>
              <w:ind w:right="5030"/>
              <w:spacing w:after="0"/>
              <w:rPr>
                <w:sz w:val="20"/>
                <w:szCs w:val="20"/>
                <w:color w:val="auto"/>
              </w:rPr>
            </w:pPr>
            <w:r>
              <w:rPr>
                <w:rFonts w:ascii="Arial" w:cs="Arial" w:eastAsia="Arial" w:hAnsi="Arial"/>
                <w:sz w:val="18"/>
                <w:szCs w:val="18"/>
                <w:color w:val="auto"/>
                <w:w w:val="84"/>
              </w:rPr>
              <w:t>2022</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80" w:type="dxa"/>
            <w:vAlign w:val="bottom"/>
          </w:tcPr>
          <w:p>
            <w:pPr>
              <w:jc w:val="right"/>
              <w:ind w:right="5030"/>
              <w:spacing w:after="0"/>
              <w:rPr>
                <w:sz w:val="20"/>
                <w:szCs w:val="20"/>
                <w:color w:val="auto"/>
              </w:rPr>
            </w:pPr>
            <w:r>
              <w:rPr>
                <w:rFonts w:ascii="Arial" w:cs="Arial" w:eastAsia="Arial" w:hAnsi="Arial"/>
                <w:sz w:val="18"/>
                <w:szCs w:val="18"/>
                <w:color w:val="auto"/>
                <w:w w:val="84"/>
              </w:rPr>
              <w:t>2023</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80" w:type="dxa"/>
            <w:vAlign w:val="bottom"/>
            <w:shd w:val="clear" w:color="auto" w:fill="CFF0FC"/>
          </w:tcPr>
          <w:p>
            <w:pPr>
              <w:jc w:val="right"/>
              <w:ind w:right="5030"/>
              <w:spacing w:after="0"/>
              <w:rPr>
                <w:sz w:val="20"/>
                <w:szCs w:val="20"/>
                <w:color w:val="auto"/>
              </w:rPr>
            </w:pPr>
            <w:r>
              <w:rPr>
                <w:rFonts w:ascii="Arial" w:cs="Arial" w:eastAsia="Arial" w:hAnsi="Arial"/>
                <w:sz w:val="18"/>
                <w:szCs w:val="18"/>
                <w:color w:val="auto"/>
                <w:w w:val="84"/>
              </w:rPr>
              <w:t>2024</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80" w:type="dxa"/>
            <w:vAlign w:val="bottom"/>
            <w:tcBorders>
              <w:bottom w:val="single" w:sz="8" w:color="CFF0FC"/>
            </w:tcBorders>
          </w:tcPr>
          <w:p>
            <w:pPr>
              <w:jc w:val="right"/>
              <w:ind w:right="5030"/>
              <w:spacing w:after="0"/>
              <w:rPr>
                <w:sz w:val="20"/>
                <w:szCs w:val="20"/>
                <w:color w:val="auto"/>
              </w:rPr>
            </w:pPr>
            <w:r>
              <w:rPr>
                <w:rFonts w:ascii="Arial" w:cs="Arial" w:eastAsia="Arial" w:hAnsi="Arial"/>
                <w:sz w:val="18"/>
                <w:szCs w:val="18"/>
                <w:color w:val="auto"/>
                <w:w w:val="84"/>
              </w:rPr>
              <w:t>2025</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162,400</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54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174,900</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342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0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Debt issuance costs are offset against the Revolving Credit Facility State Tax Credits, the Credit and Guaranty Facility, and the Revolver Facility and Term Loan. Unamortized debt issuance costs for the Credit and Guaranty Facility as of September 30, 2022 and December 31, 2021 were $0 and $0, respectively. Unamortized debt issuance costs for the Revolving Credit Facility State Tax Credits as of September 30, 2022 and December 31, 2021 were $0 and $8 thousand, respectively. Unamortized debt issuance costs for the Revolver Facility and Term Loan as of September 30, 2022 and December 31, 2021 were $4.1 million and $3.4 million, respectively. This is included in debt obligations on the consolidated balance sheets.</w:t>
      </w:r>
    </w:p>
    <w:p>
      <w:pPr>
        <w:spacing w:after="0" w:line="15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Amortization expense related to debt issuance costs totaled $0.2 million and $0.6 million for the three and nine months ended September 30, 2022, respectively, and $0.7 million and $2.1 million for the three and nine months ended September 30, 2021, respectively, and are included within interest expense, net on the accompanying Consolidated Statements of Operations. During the nine months ended September 30, 2022 and September 30, 2021, we recorded $1.4 million and $0.9 million in debt issuance costs, respectively, which is included in debt obligations on the consolidated balance sheets.</w:t>
      </w: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1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P10 has paid $0.2 million and $0.2 million in rent to 210 Capital, LLC for the nine months ended September 30, 2022 and September 30, 2021, respectively.</w:t>
      </w:r>
    </w:p>
    <w:p>
      <w:pPr>
        <w:spacing w:after="0" w:line="1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Effective April 1, 2020, P10 Intermediate paid a quarterly management fee of $250 thousand to Keystone Capital XXX, LLC, which was the holder of the Series B preferred shares issued by P10 Intermediate in connection with the acquisition of Five Points. As a result of that agreement, P10 Intermediate paid $0.1 million and $0.8 million for the nine months ended September 30, 2022 and September 30, 2021, respectively. This management fee was terminated effective October 20, 2021 when the Company's redeemable noncontrolling interest was converted to shares of Class B common stock in connection with the Company's IPO.</w:t>
      </w:r>
    </w:p>
    <w:p>
      <w:pPr>
        <w:spacing w:after="0" w:line="19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September 30, 2022, the total accounts receivable from the Funds totaled $6.4 million, of which $4.2 million related to reimbursable expenses and $2.2 million related to fees earned but not yet received. As of December 31, 2021, the total accounts receivable from the Funds totaled $2.4 million, of which $1.6 million related to reimbursable expenses and $0.8 million related to fees earned but not yet received. In certain instances, the Company may incur expenses related to specific products that never materialize. The costs are then removed from the balance sheet and expensed on the Consolidated Statement of Operations. The management fees described here are included in accounts receivable on the Consolidated Balance Sheet and the reimbursable expenses are included in due from related parties on the Consolidated Balance Sheets.</w:t>
      </w:r>
    </w:p>
    <w:p>
      <w:pPr>
        <w:spacing w:after="0" w:line="186"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and new projects undertaken by Enhanced PC. In exchange for those services, which commenced on January 1, 2021, ECG receives advisory fees from Enhanced PC based on a declining fixed fee schedule, initially totaling $76.0 million over 7 years. As a result of new projects during 2021, ECG will receive additional advisory fees from Enhanced PC totaling $22.0 million over 7 years, based on a declining fixed fee schedule. This agreement is subject to customary termination provisions. For the three and nine months ended September 30, 2022, advisory fees earned or recognized under this agreement were $5.5 million and $16.6 million, respectively, and are reported in management and advisory fees on the Consolidated Statement of Operations. For the three and nine months ended September 30, 2021, advisory fees earned or recognized under this agreement were $4.8 million and $14.3 million, respectively. As of September 30, 2022 and December 31, 2021, the receivable balance was $23.0 million and $9.5 million, respectively, and is included in due from related parties on the Consolidated Balance Sheets.</w:t>
      </w:r>
    </w:p>
    <w:p>
      <w:pPr>
        <w:spacing w:after="0" w:line="16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will pay ECH for the use of their employees to provide services to Enhanced PC at the direction of ECG. The Company recognized $3.3 million and $7.9 million for the three and nine months ended September 30, 2022, respectively, and $0.9 million and $6.1 million for the three and nine months ended September 30, 2021, respectively, related to this agreement within compensation and benefits on our Consolidated Statements of Operations.</w:t>
      </w:r>
    </w:p>
    <w:p>
      <w:pPr>
        <w:spacing w:after="0" w:line="18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On September 10, 2021, ECG entered into a strategic partnership with Crossroads Impact Corp. ("Crossroads"),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 The Company recognized $1.2 million and $2.2 million for the three and nine months ended September 30, 2022, respectively, which is included in management and advisory fees on the Consolidated Statements of Operations. No revenues were recognized for the three and nine months ended September 30, 2021.</w:t>
      </w:r>
    </w:p>
    <w:p>
      <w:pPr>
        <w:spacing w:after="0" w:line="18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July 6, 2022, Crossroads entered into a Common Stock Purchase Agreement (the “Commenda Purchase Agreement”) with P10 Commenda Impact Fund Onshore, LLC and P10 Commenda Impact Fund Offshore, LLC (together, the “Commenda Funds”). Pursuant to the terms of the Commenda Purchase Agreement, on July 6, 2022, Crossroads issued 4,646,840 shares of Crossroads common stock to the Commenda Funds for $10.76 per shares, for an aggregate amount of approximately $50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40" w:lineRule="exact"/>
        <w:rPr>
          <w:sz w:val="20"/>
          <w:szCs w:val="20"/>
          <w:color w:val="auto"/>
        </w:rPr>
      </w:pPr>
    </w:p>
    <w:p>
      <w:pPr>
        <w:jc w:val="both"/>
        <w:ind w:firstLine="45"/>
        <w:spacing w:after="0" w:line="263" w:lineRule="auto"/>
        <w:rPr>
          <w:sz w:val="20"/>
          <w:szCs w:val="20"/>
          <w:color w:val="auto"/>
        </w:rPr>
      </w:pPr>
      <w:r>
        <w:rPr>
          <w:rFonts w:ascii="Arial" w:cs="Arial" w:eastAsia="Arial" w:hAnsi="Arial"/>
          <w:sz w:val="17"/>
          <w:szCs w:val="17"/>
          <w:color w:val="auto"/>
        </w:rPr>
        <w:t>million. Pursuant to the terms of the Commenda Purchase Agreement, on August 1, 2022, Crossroads closed on the sale of an additional 1,394,052 shares of Crossroads common stock to the Commenda Funds at $10.76 per share. P10 Advisors, LLC, an affiliate of the Company, is the investment advisor to the Commenda Funds. Robert Alpert and C. Clark Webb are directors of Crossroads. The Company recognized $0.1 million and $0.1 million for the three and nine months ended September 30, 2022, respectively, which is included in management and advisory fees on the Consolidated Statements of Operations. No revenues were recognized for the three and nine months ended September 30, 2021.</w:t>
      </w:r>
    </w:p>
    <w:p>
      <w:pPr>
        <w:spacing w:after="0" w:line="17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On July 11, 2022, Crossroads entered into an Amended and Restated Advisory Agreement (the “Amended Advisory Agreement”) with ECG. The Amended Advisory Agreement provides for ECG to receive a services fee of 1.5% per year of the capital deployed by Crossroads under the Amended Advisory Agreement (0.375% quarterly), and an incentive fee of 15% over a 7% hurdle rate.</w:t>
      </w:r>
    </w:p>
    <w:p>
      <w:pPr>
        <w:spacing w:after="0" w:line="17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Upon the closing of the Bonaccord acquisition on September 30, 2021, an Advance Agreement and Secured Promissory Note was signed with BCP, an entity that was formed by employees of the Company. For details, see Note 6.</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1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$0.8 million and $2.4 million for the three and nine months ended September 30, 2022, and $0.5 million and $1.6 million for the three and nine months ended September 30, 2021, respectively.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information regarding the Company’s operating leases as of September 30, 2022:</w:t>
      </w:r>
    </w:p>
    <w:p>
      <w:pPr>
        <w:spacing w:after="0" w:line="226"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13,052</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lease liabilities</w:t>
            </w:r>
          </w:p>
        </w:tc>
        <w:tc>
          <w:tcPr>
            <w:tcW w:w="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4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4.47 %</w:t>
            </w:r>
          </w:p>
        </w:tc>
      </w:tr>
      <w:tr>
        <w:trPr>
          <w:trHeight w:val="635"/>
        </w:trPr>
        <w:tc>
          <w:tcPr>
            <w:tcW w:w="7200" w:type="dxa"/>
            <w:vAlign w:val="bottom"/>
            <w:gridSpan w:val="2"/>
          </w:tcPr>
          <w:p>
            <w:pPr>
              <w:spacing w:after="0"/>
              <w:rPr>
                <w:sz w:val="20"/>
                <w:szCs w:val="20"/>
                <w:color w:val="auto"/>
              </w:rPr>
            </w:pPr>
            <w:r>
              <w:rPr>
                <w:rFonts w:ascii="Arial" w:cs="Arial" w:eastAsia="Arial" w:hAnsi="Arial"/>
                <w:sz w:val="18"/>
                <w:szCs w:val="18"/>
                <w:color w:val="auto"/>
              </w:rPr>
              <w:t>The future contractual lease payments as of September 30, 2022 are as follows: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17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74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c>
          <w:tcPr>
            <w:tcW w:w="100" w:type="dxa"/>
            <w:vAlign w:val="bottom"/>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4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19,506</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discount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(3,121 )</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Less construction allowance</w:t>
            </w:r>
          </w:p>
        </w:tc>
        <w:tc>
          <w:tcPr>
            <w:tcW w:w="4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(960 )</w:t>
            </w:r>
          </w:p>
        </w:tc>
        <w:tc>
          <w:tcPr>
            <w:tcW w:w="100" w:type="dxa"/>
            <w:vAlign w:val="bottom"/>
          </w:tcPr>
          <w:p>
            <w:pPr>
              <w:spacing w:after="0"/>
              <w:rPr>
                <w:sz w:val="18"/>
                <w:szCs w:val="18"/>
                <w:color w:val="auto"/>
              </w:rPr>
            </w:pPr>
          </w:p>
        </w:tc>
      </w:tr>
      <w:tr>
        <w:trPr>
          <w:trHeight w:val="209"/>
        </w:trPr>
        <w:tc>
          <w:tcPr>
            <w:tcW w:w="1740" w:type="dxa"/>
            <w:vAlign w:val="bottom"/>
          </w:tcPr>
          <w:p>
            <w:pPr>
              <w:spacing w:after="0"/>
              <w:rPr>
                <w:sz w:val="18"/>
                <w:szCs w:val="18"/>
                <w:color w:val="auto"/>
              </w:rPr>
            </w:pPr>
          </w:p>
        </w:tc>
        <w:tc>
          <w:tcPr>
            <w:tcW w:w="54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lease liabilities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-2073910</wp:posOffset>
            </wp:positionV>
            <wp:extent cx="427736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77360" cy="1371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3429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do not believe that any of these matters, individually or in the aggregate, will result in losses that are materially in excess of amounts already recognized, if any.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2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15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Based on these methodologies, the Company’s effective income tax rate for the nine months ended September 30, 2022 was 25.90%. The effective tax rate differs from the federal statutory rate of 21% due primarily to state and local income taxes.</w:t>
      </w:r>
    </w:p>
    <w:p>
      <w:pPr>
        <w:spacing w:after="0" w:line="18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September 30, 2022, the Company has recorded a $12.8 million valuation allowance against deferred tax assets, primarily related to a note impairment. There was no change to the valuation allowance during the nine months ended September 30, 2022.</w:t>
      </w:r>
    </w:p>
    <w:p>
      <w:pPr>
        <w:spacing w:after="0" w:line="187"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Options previously granted under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7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 On June 17, 2022, at the Annual Meeting of Stockholders, the shareholders authorized an additional 5,000,000 of shares from the Plan creating a total of 14,300,000 shares available for grant under the Plan and the 2018 Plan.</w:t>
      </w:r>
    </w:p>
    <w:p>
      <w:pPr>
        <w:spacing w:after="0" w:line="181"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On March 15, 2022, the Board of Directors approved the settlement of 1.1 million options from a grantee with a fair market value option price of $11.83, less a negotiated discount of 2.5%, totaling $12.5 million. This was paid on June 15, 2022.</w:t>
      </w: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the nine months ended September 30, 2022 is as follows: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76"/>
        </w:trPr>
        <w:tc>
          <w:tcPr>
            <w:tcW w:w="3240" w:type="dxa"/>
            <w:vAlign w:val="bottom"/>
          </w:tcPr>
          <w:p>
            <w:pPr>
              <w:spacing w:after="0"/>
              <w:rPr>
                <w:sz w:val="15"/>
                <w:szCs w:val="15"/>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5"/>
                <w:szCs w:val="15"/>
                <w:color w:val="auto"/>
              </w:rPr>
            </w:pPr>
          </w:p>
        </w:tc>
        <w:tc>
          <w:tcPr>
            <w:tcW w:w="14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Weighted Average</w:t>
            </w:r>
          </w:p>
        </w:tc>
        <w:tc>
          <w:tcPr>
            <w:tcW w:w="2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Pr>
          <w:p>
            <w:pPr>
              <w:spacing w:after="0"/>
              <w:rPr>
                <w:sz w:val="15"/>
                <w:szCs w:val="15"/>
                <w:color w:val="auto"/>
              </w:rPr>
            </w:pPr>
          </w:p>
        </w:tc>
      </w:tr>
      <w:tr>
        <w:trPr>
          <w:trHeight w:val="185"/>
        </w:trPr>
        <w:tc>
          <w:tcPr>
            <w:tcW w:w="3240" w:type="dxa"/>
            <w:vAlign w:val="bottom"/>
          </w:tcPr>
          <w:p>
            <w:pPr>
              <w:spacing w:after="0"/>
              <w:rPr>
                <w:sz w:val="16"/>
                <w:szCs w:val="16"/>
                <w:color w:val="auto"/>
              </w:rPr>
            </w:pPr>
          </w:p>
        </w:tc>
        <w:tc>
          <w:tcPr>
            <w:tcW w:w="14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9"/>
              </w:rPr>
              <w:t>(whole dollars)</w:t>
            </w:r>
          </w:p>
        </w:tc>
        <w:tc>
          <w:tcPr>
            <w:tcW w:w="100" w:type="dxa"/>
            <w:vAlign w:val="bottom"/>
          </w:tcPr>
          <w:p>
            <w:pPr>
              <w:spacing w:after="0"/>
              <w:rPr>
                <w:sz w:val="16"/>
                <w:szCs w:val="16"/>
                <w:color w:val="auto"/>
              </w:rPr>
            </w:pPr>
          </w:p>
        </w:tc>
      </w:tr>
      <w:tr>
        <w:trPr>
          <w:trHeight w:val="223"/>
        </w:trPr>
        <w:tc>
          <w:tcPr>
            <w:tcW w:w="3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gridSpan w:val="2"/>
          </w:tcPr>
          <w:p>
            <w:pPr>
              <w:spacing w:after="0"/>
              <w:rPr>
                <w:sz w:val="19"/>
                <w:szCs w:val="19"/>
                <w:color w:val="auto"/>
              </w:rPr>
            </w:pPr>
          </w:p>
        </w:tc>
        <w:tc>
          <w:tcPr>
            <w:tcW w:w="44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7,095,936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73,156,722</w:t>
            </w:r>
          </w:p>
        </w:tc>
        <w:tc>
          <w:tcPr>
            <w:tcW w:w="100" w:type="dxa"/>
            <w:vAlign w:val="bottom"/>
            <w:shd w:val="clear" w:color="auto" w:fill="CFF0FC"/>
          </w:tcPr>
          <w:p>
            <w:pPr>
              <w:spacing w:after="0"/>
              <w:rPr>
                <w:sz w:val="19"/>
                <w:szCs w:val="19"/>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1,323,733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(41,570 )</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240" w:type="dxa"/>
            <w:vAlign w:val="bottom"/>
          </w:tcPr>
          <w:p>
            <w:pPr>
              <w:ind w:left="180"/>
              <w:spacing w:after="0"/>
              <w:rPr>
                <w:sz w:val="20"/>
                <w:szCs w:val="20"/>
                <w:color w:val="auto"/>
              </w:rPr>
            </w:pPr>
            <w:r>
              <w:rPr>
                <w:rFonts w:ascii="Arial" w:cs="Arial" w:eastAsia="Arial" w:hAnsi="Arial"/>
                <w:sz w:val="18"/>
                <w:szCs w:val="18"/>
                <w:color w:val="auto"/>
              </w:rPr>
              <w:t>Settled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(1,120,000 )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Expired/Forfeited</w:t>
            </w: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(29,985 )</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32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as of September 30, 2022</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7,228,114</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Borders>
              <w:top w:val="single" w:sz="8" w:color="CFF0FC"/>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37,496,331</w:t>
            </w:r>
          </w:p>
        </w:tc>
        <w:tc>
          <w:tcPr>
            <w:tcW w:w="100" w:type="dxa"/>
            <w:vAlign w:val="bottom"/>
            <w:tcBorders>
              <w:top w:val="single" w:sz="8" w:color="CFF0FC"/>
            </w:tcBorders>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Exercisable as of September 30, 2022</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320,440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w:t>
            </w:r>
          </w:p>
        </w:tc>
        <w:tc>
          <w:tcPr>
            <w:tcW w:w="20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6.04</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2,144,803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-334010</wp:posOffset>
            </wp:positionV>
            <wp:extent cx="6858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-334010</wp:posOffset>
            </wp:positionV>
            <wp:extent cx="6032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-334010</wp:posOffset>
            </wp:positionV>
            <wp:extent cx="6032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assumptions used in calculating the fair value of stock options granted during the nine months ended September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were as follows:</w:t>
      </w:r>
    </w:p>
    <w:p>
      <w:pPr>
        <w:spacing w:after="0" w:line="201"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For the Nine Months Ended</w:t>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1820" w:type="dxa"/>
        <w:tblCellMar>
          <w:top w:w="0" w:type="dxa"/>
          <w:left w:w="0" w:type="dxa"/>
          <w:bottom w:w="0" w:type="dxa"/>
          <w:right w:w="0" w:type="dxa"/>
        </w:tblCellMar>
      </w:tblPr>
      <w:tr>
        <w:trPr>
          <w:trHeight w:val="169"/>
        </w:trPr>
        <w:tc>
          <w:tcPr>
            <w:tcW w:w="52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(yrs)</w:t>
            </w:r>
          </w:p>
        </w:tc>
        <w:tc>
          <w:tcPr>
            <w:tcW w:w="18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 (yrs)</w:t>
            </w: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35.40 %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40.33 %</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1.98 %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1.68 %</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-282575</wp:posOffset>
            </wp:positionV>
            <wp:extent cx="4843145"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843145" cy="137160"/>
                    </a:xfrm>
                    <a:prstGeom prst="rect">
                      <a:avLst/>
                    </a:prstGeom>
                    <a:noFill/>
                  </pic:spPr>
                </pic:pic>
              </a:graphicData>
            </a:graphic>
          </wp:anchor>
        </w:drawing>
      </w:r>
    </w:p>
    <w:p>
      <w:pPr>
        <w:spacing w:after="0" w:line="37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has granted restricted stock awards ("RSAs") to certain employees. Holders of RSAs have no voting rights and accrue dividends until vesting with payment being made once they vest. All of the shares currently vest one year from the grant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820" w:type="dxa"/>
            <w:vAlign w:val="bottom"/>
          </w:tcPr>
          <w:p>
            <w:pPr>
              <w:jc w:val="center"/>
              <w:ind w:left="688"/>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jc w:val="right"/>
              <w:ind w:right="455"/>
              <w:spacing w:after="0"/>
              <w:rPr>
                <w:sz w:val="20"/>
                <w:szCs w:val="20"/>
                <w:color w:val="auto"/>
              </w:rPr>
            </w:pPr>
            <w:r>
              <w:rPr>
                <w:rFonts w:ascii="Arial" w:cs="Arial" w:eastAsia="Arial" w:hAnsi="Arial"/>
                <w:sz w:val="14"/>
                <w:szCs w:val="14"/>
                <w:b w:val="1"/>
                <w:bCs w:val="1"/>
                <w:color w:val="auto"/>
              </w:rPr>
              <w:t>Weighted-Average Grant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Outstanding as of December 31, 2021</w:t>
            </w:r>
          </w:p>
        </w:tc>
        <w:tc>
          <w:tcPr>
            <w:tcW w:w="182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b w:val="1"/>
                <w:bCs w:val="1"/>
                <w:color w:val="auto"/>
                <w:w w:val="90"/>
              </w:rPr>
              <w:t>RSAs</w:t>
            </w:r>
          </w:p>
        </w:tc>
        <w:tc>
          <w:tcPr>
            <w:tcW w:w="7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Date Fair Value Per RSA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36,033</w:t>
            </w:r>
          </w:p>
        </w:tc>
        <w:tc>
          <w:tcPr>
            <w:tcW w:w="4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33,346</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200"/>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(26,582 )</w:t>
            </w:r>
          </w:p>
        </w:tc>
        <w:tc>
          <w:tcPr>
            <w:tcW w:w="3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Outstanding as of September 30, 2022</w:t>
            </w:r>
          </w:p>
        </w:tc>
        <w:tc>
          <w:tcPr>
            <w:tcW w:w="760" w:type="dxa"/>
            <w:vAlign w:val="bottom"/>
          </w:tcPr>
          <w:p>
            <w:pPr>
              <w:jc w:val="right"/>
              <w:spacing w:after="0"/>
              <w:rPr>
                <w:sz w:val="20"/>
                <w:szCs w:val="20"/>
                <w:color w:val="auto"/>
              </w:rPr>
            </w:pPr>
            <w:r>
              <w:rPr>
                <w:rFonts w:ascii="Arial" w:cs="Arial" w:eastAsia="Arial" w:hAnsi="Arial"/>
                <w:sz w:val="18"/>
                <w:szCs w:val="18"/>
                <w:color w:val="auto"/>
              </w:rPr>
              <w:t>42,797</w:t>
            </w:r>
          </w:p>
        </w:tc>
        <w:tc>
          <w:tcPr>
            <w:tcW w:w="4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-170815</wp:posOffset>
            </wp:positionV>
            <wp:extent cx="685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76"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The Company has granted restricted stock units ("RSUs") to certain employees. Holders of RSUs have no voting rights and are not eligible to receive dividends or other distributions paid with respect to any RSUs that have not vested. All of the shares currently vest one year from the grant date.</w:t>
      </w:r>
    </w:p>
    <w:p>
      <w:pPr>
        <w:spacing w:after="0" w:line="13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and the Company and employees agreed to a value of $17.5 million worth of units that would vest at each future achievement of performance metrics. As of September 30, 2022, certain performance metrics have been met and 294,820 units have been allocated to specific employees. The Company deemed it probable that at least some of the remaining units would vest. Unvested units are remeasured quarterly against performance metrics as a liability on the Consolidated Balance Sheets and expense is recognized over the expected vesting period. An expense of $3.9 million has been recorded for the three and nine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months ended September 30, 2022 on the Consolidated Statements of Operations. The unrecognized expense associated with the Bonaccord Units was $8.1 million as of September 30, 2022.</w:t>
      </w:r>
    </w:p>
    <w:p>
      <w:pPr>
        <w:spacing w:after="0" w:line="171"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As of September 30, 2022, no Hark Units have vested but the Company believes it is probable that the RSUs will be earned. An expense of $0.6 million has been recorded for the three and nine months ended September 30, 2022 on the Consolidated Statements of Operations. Unvested units are recognized ratably as a liability on the Consolidated Balance Sheets and expense is recognized over the expected vesting period. The unrecognized expense associated with the Hark Units was $0.9 million as of September 30, 2022.</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below table does not include Bonaccord or Hark Units that were issued outside of the Plan, that have not vested and are recorded as a liability.</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780" w:type="dxa"/>
            <w:vAlign w:val="bottom"/>
          </w:tcPr>
          <w:p>
            <w:pPr>
              <w:jc w:val="center"/>
              <w:ind w:left="748"/>
              <w:spacing w:after="0"/>
              <w:rPr>
                <w:sz w:val="20"/>
                <w:szCs w:val="20"/>
                <w:color w:val="auto"/>
              </w:rPr>
            </w:pPr>
            <w:r>
              <w:rPr>
                <w:rFonts w:ascii="Arial" w:cs="Arial" w:eastAsia="Arial" w:hAnsi="Arial"/>
                <w:sz w:val="14"/>
                <w:szCs w:val="14"/>
                <w:b w:val="1"/>
                <w:bCs w:val="1"/>
                <w:color w:val="auto"/>
                <w:w w:val="97"/>
              </w:rPr>
              <w:t>Number of</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tcPr>
          <w:p>
            <w:pPr>
              <w:jc w:val="right"/>
              <w:ind w:right="455"/>
              <w:spacing w:after="0"/>
              <w:rPr>
                <w:sz w:val="20"/>
                <w:szCs w:val="20"/>
                <w:color w:val="auto"/>
              </w:rPr>
            </w:pPr>
            <w:r>
              <w:rPr>
                <w:rFonts w:ascii="Arial" w:cs="Arial" w:eastAsia="Arial" w:hAnsi="Arial"/>
                <w:sz w:val="14"/>
                <w:szCs w:val="14"/>
                <w:b w:val="1"/>
                <w:bCs w:val="1"/>
                <w:color w:val="auto"/>
              </w:rPr>
              <w:t>Weighted-Average Grant</w:t>
            </w:r>
          </w:p>
        </w:tc>
        <w:tc>
          <w:tcPr>
            <w:tcW w:w="100" w:type="dxa"/>
            <w:vAlign w:val="bottom"/>
          </w:tcPr>
          <w:p>
            <w:pPr>
              <w:spacing w:after="0"/>
              <w:rPr>
                <w:sz w:val="15"/>
                <w:szCs w:val="15"/>
                <w:color w:val="auto"/>
              </w:rPr>
            </w:pPr>
          </w:p>
        </w:tc>
      </w:tr>
      <w:tr>
        <w:trPr>
          <w:trHeight w:val="185"/>
        </w:trPr>
        <w:tc>
          <w:tcPr>
            <w:tcW w:w="5540" w:type="dxa"/>
            <w:vAlign w:val="bottom"/>
          </w:tcPr>
          <w:p>
            <w:pPr>
              <w:spacing w:after="0"/>
              <w:rPr>
                <w:sz w:val="16"/>
                <w:szCs w:val="16"/>
                <w:color w:val="auto"/>
              </w:rPr>
            </w:pPr>
          </w:p>
        </w:tc>
        <w:tc>
          <w:tcPr>
            <w:tcW w:w="178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b w:val="1"/>
                <w:bCs w:val="1"/>
                <w:color w:val="auto"/>
                <w:w w:val="96"/>
              </w:rPr>
              <w:t>RSUs</w:t>
            </w:r>
          </w:p>
        </w:tc>
        <w:tc>
          <w:tcPr>
            <w:tcW w:w="8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Date Fair Value Per RSU</w:t>
            </w:r>
          </w:p>
        </w:tc>
        <w:tc>
          <w:tcPr>
            <w:tcW w:w="100" w:type="dxa"/>
            <w:vAlign w:val="bottom"/>
          </w:tcPr>
          <w:p>
            <w:pPr>
              <w:spacing w:after="0"/>
              <w:rPr>
                <w:sz w:val="16"/>
                <w:szCs w:val="16"/>
                <w:color w:val="auto"/>
              </w:rPr>
            </w:pPr>
          </w:p>
        </w:tc>
      </w:tr>
      <w:tr>
        <w:trPr>
          <w:trHeight w:val="20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7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59,654</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802,955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(294,820 )</w:t>
            </w:r>
          </w:p>
        </w:tc>
        <w:tc>
          <w:tcPr>
            <w:tcW w:w="32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2022</w:t>
            </w:r>
          </w:p>
        </w:tc>
        <w:tc>
          <w:tcPr>
            <w:tcW w:w="17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567,789</w:t>
            </w:r>
          </w:p>
        </w:tc>
        <w:tc>
          <w:tcPr>
            <w:tcW w:w="3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Compensation expense equal to the grant date fair value is recognized for these awards over the vesting period and is included in compensation and benefits on our Consolidated Statements of Operations. The stock-based compensation expense for the three and nine months ended September 30, 2022 was $7.3 million and $11.5 million and for the three and nine months ended September 30, 2021 was $0.5 million and $1.5 million, respectively. Unrecognized stock-based compensation expense related to outstanding unvested stock options as of September 30, 2022 was $6.4 million and is expected to be recognized over a weighted average period of 2.6 years. Any future forfeitures will impact this amount.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24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Additionally, diluted EPS reflects the potential dilution that could occur if convertible preferred shares of P10 Intermediate were converted into common shares of P10 Intermediate. This is only applicable for the three and nine months ended September 30, 2021 as the preferred shares of P10 Intermediate converted to shares of Class B common stock effective with the IPO.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the numerators and denominators used in the computation of basic and diluted EPS: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For the Nine Months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180"/>
              <w:spacing w:after="0" w:line="175" w:lineRule="exact"/>
              <w:rPr>
                <w:sz w:val="20"/>
                <w:szCs w:val="20"/>
                <w:color w:val="auto"/>
              </w:rPr>
            </w:pPr>
            <w:r>
              <w:rPr>
                <w:rFonts w:ascii="Arial" w:cs="Arial" w:eastAsia="Arial" w:hAnsi="Arial"/>
                <w:sz w:val="18"/>
                <w:szCs w:val="18"/>
                <w:color w:val="auto"/>
              </w:rPr>
              <w:t>Numerator for earnings per share assuming</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5,617</w:t>
            </w:r>
          </w:p>
        </w:tc>
        <w:tc>
          <w:tcPr>
            <w:tcW w:w="4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2,515</w:t>
            </w:r>
          </w:p>
        </w:tc>
        <w:tc>
          <w:tcPr>
            <w:tcW w:w="4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24,563</w:t>
            </w:r>
          </w:p>
        </w:tc>
        <w:tc>
          <w:tcPr>
            <w:tcW w:w="4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20" w:type="dxa"/>
            <w:vAlign w:val="bottom"/>
          </w:tcPr>
          <w:p>
            <w:pPr>
              <w:ind w:left="320"/>
              <w:spacing w:after="0" w:line="190" w:lineRule="exact"/>
              <w:rPr>
                <w:sz w:val="20"/>
                <w:szCs w:val="20"/>
                <w:color w:val="auto"/>
              </w:rPr>
            </w:pPr>
            <w:r>
              <w:rPr>
                <w:rFonts w:ascii="Arial" w:cs="Arial" w:eastAsia="Arial" w:hAnsi="Arial"/>
                <w:sz w:val="18"/>
                <w:szCs w:val="18"/>
                <w:color w:val="auto"/>
              </w:rPr>
              <w:t>dilution</w:t>
            </w: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180"/>
              <w:spacing w:after="0" w:line="175" w:lineRule="exact"/>
              <w:rPr>
                <w:sz w:val="20"/>
                <w:szCs w:val="20"/>
                <w:color w:val="auto"/>
              </w:rPr>
            </w:pPr>
            <w:r>
              <w:rPr>
                <w:rFonts w:ascii="Arial" w:cs="Arial" w:eastAsia="Arial" w:hAnsi="Arial"/>
                <w:sz w:val="18"/>
                <w:szCs w:val="18"/>
                <w:color w:val="auto"/>
              </w:rPr>
              <w:t>Denominator for basic calculation—Weighted-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20"/>
              <w:spacing w:after="0"/>
              <w:rPr>
                <w:sz w:val="20"/>
                <w:szCs w:val="20"/>
                <w:color w:val="auto"/>
              </w:rPr>
            </w:pPr>
            <w:r>
              <w:rPr>
                <w:rFonts w:ascii="Arial" w:cs="Arial" w:eastAsia="Arial" w:hAnsi="Arial"/>
                <w:sz w:val="18"/>
                <w:szCs w:val="18"/>
                <w:color w:val="auto"/>
              </w:rPr>
              <w:t>average shares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117,210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62,465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117,210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62,465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180"/>
              <w:spacing w:after="0" w:line="175" w:lineRule="exact"/>
              <w:rPr>
                <w:sz w:val="20"/>
                <w:szCs w:val="20"/>
                <w:color w:val="auto"/>
              </w:rPr>
            </w:pPr>
            <w:r>
              <w:rPr>
                <w:rFonts w:ascii="Arial" w:cs="Arial" w:eastAsia="Arial" w:hAnsi="Arial"/>
                <w:sz w:val="18"/>
                <w:szCs w:val="18"/>
                <w:color w:val="auto"/>
              </w:rPr>
              <w:t>Weighted shares assumed upon exercise of stock</w:t>
            </w:r>
          </w:p>
        </w:tc>
        <w:tc>
          <w:tcPr>
            <w:tcW w:w="24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4,322</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4,323</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4,152</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12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options</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Denominator for earnings per share assuming dilution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121,532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121,362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Earnings per share—basic</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0.05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0.21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Earnings per share—diluted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0.20</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-454025</wp:posOffset>
            </wp:positionV>
            <wp:extent cx="685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-454025</wp:posOffset>
            </wp:positionV>
            <wp:extent cx="685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-454025</wp:posOffset>
            </wp:positionV>
            <wp:extent cx="60325"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6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computations of diluted earnings per share excluded options to purchase 1.0 million and 1.0 million shares of common stock for the three and nine months ended September 30, 2022, respectively, and 0 and 2.9 million shares for the three and nine months ended September 30, 2021, respectively, because the options were anti-dilutive.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Redeemable Noncontrolling Interest</w:t>
      </w:r>
    </w:p>
    <w:p>
      <w:pPr>
        <w:spacing w:after="0" w:line="200" w:lineRule="exact"/>
        <w:rPr>
          <w:sz w:val="20"/>
          <w:szCs w:val="20"/>
          <w:color w:val="auto"/>
        </w:rPr>
      </w:pPr>
    </w:p>
    <w:p>
      <w:pPr>
        <w:spacing w:after="0" w:line="21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In connection with the closing of the acquisition of Five Points on April 1, 2020, the Company formed a new subsidiary, P10 Intermediate, which was the acquiring entity of Five Points. On April 1, 2020, P10 Intermediate issued three series (A, B and C) of redeemable convertible preferred shares. On October 2, 2020 and December 14, 2020, P10 Intermediate issued two additional series (D and E) in connection with the acquisitions of TrueBridge and Enhanced. The preferred shares on an as-if-converted basis represented approximately 40.9% of the aggregate issued and outstanding share capital of P10 Intermediate with P10 owning the remaining 59.1% through its 100% ownership of the outstanding common stock of P10 Intermediate. The third-party ownership interest represented a noncontrolling interest in P10 Intermediate, which the Company had a controlling interest in. Dividends on the preferred shares were recognized as preferred dividends attributable to redeemable non-controlling interest in our Consolidated Statements of Operations. In connection with the IPO on October 20, 2021, all preferred shares were contractually converted to Class B common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1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On October 13, 2022, the Company completed the acquisition of all of the issued and outstanding membership interests of Westech Investment Advisors LLC ("WTI") for a purchase price consisting of $97.0 million in cash and earnout payments of up to an additional $70.0 million of cash and common stock and an aggregate of 3,916,666 membership units of P10 Intermediate which can be exchanged on a one-for-one basis into shares of P10 common stock, subject to certain conditions pursuant to the Exchange Agreement entered into on August 25, 2022. The Company is in the process of completing its accounting for the transaction.</w:t>
      </w:r>
    </w:p>
    <w:p>
      <w:pPr>
        <w:spacing w:after="0" w:line="19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In connection with the acquisition of WTI, the Company granted 3,595,000 options under the 2021 Incentive Plan. The options vest over five years and expire ten years from the grant date.</w:t>
      </w:r>
    </w:p>
    <w:p>
      <w:pPr>
        <w:spacing w:after="0" w:line="17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 drew on the accordion feature of the Credit Agreement in order to fund the cash portion of the purchase price of the WTI acquisition. The $125.0 million accordion was exercised as $87.5 million of term loan and $37.5 million of revolver. We drew $87.5 million of the term loan and $6.0 million of the revolver in cash to complete the WTI acquisition.</w:t>
      </w:r>
    </w:p>
    <w:p>
      <w:pPr>
        <w:spacing w:after="0" w:line="1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Board of Directors of the Company has declared a quarterly dividend of $0.03 per share of Class A and Class B common stock, payable on December 20, 2022, to the holders of record as of the close of business on November 30, 2022.</w:t>
      </w: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4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accordance with ASC 855, Subsequent Events, the Company evaluated all material events or transactions that occurred after September 30, 2022, the Consolidated Balance Sheet date, through the date the Consolidated Financial Statements were issued, and determined there have been no additional events or transactions that would materially impact the Consolidated Financial Statements.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due to the effects of acquisitions which occurred during the year ended December 31, 2021, but may not have had a material impact on our statements of operations due to the limited period of time which they were included in our consolidated results. This quarterly report reflects the historical results of operations and financial position of P10 Holdings, our predecessor for accounting purposes, prior to the Reorganization and IPO.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2021, particularly in "Risk Factors" and the "Forward-Looking Information." Unless otherwise indicated, references in this Quarterly Report on Form 10-Q to fiscal 2022 and 2021 are to our fiscal years ended December 31, 2022 and 2021,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8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During 2020, we completed several acquisitions to expand the private market solutions available to our investors. On April 1, 2020, we completed our acquisition of Five Points to serve as our Private Credit solution (which also offers certain private equity solutions). On October 2, 2020, we completed our acquisition of TrueBridge Capital Partners, LLC (TrueBridge) to serve as our Venture Capital solution. On December 14, 2020, we completed our acquisition of 100% of the equity interest in Enhanced Capital Group, LLC (ECG) to serve as our Impact Investing solution. These acquisitions were accounted for as business combinations, and these entities are reported as consolidated subsidiaries of P10. Additionally, on December 14, 2020, we completed our acquisition of approximately 49% of the voting interests and 50% of the economic interests in ECP, which is a related party of ECG. As we only acquired a non-controlling interest in ECP, it is reported as an equity method investment in accordance with ASC 323, </w:t>
      </w:r>
      <w:r>
        <w:rPr>
          <w:rFonts w:ascii="Arial" w:cs="Arial" w:eastAsia="Arial" w:hAnsi="Arial"/>
          <w:sz w:val="18"/>
          <w:szCs w:val="18"/>
          <w:i w:val="1"/>
          <w:iCs w:val="1"/>
          <w:color w:val="auto"/>
        </w:rPr>
        <w:t>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w:t>
      </w:r>
      <w:r>
        <w:rPr>
          <w:rFonts w:ascii="Arial" w:cs="Arial" w:eastAsia="Arial" w:hAnsi="Arial"/>
          <w:sz w:val="18"/>
          <w:szCs w:val="18"/>
          <w:color w:val="auto"/>
        </w:rPr>
        <w:t>(“ASC 323").</w:t>
      </w:r>
    </w:p>
    <w:p>
      <w:pPr>
        <w:spacing w:after="0" w:line="18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On September 30, 2021, we completed the acquisitions of Hark Capital Advisors, LLC (Hark) and Bonaccord Capital Advisors, LLC (Bonaccord) to further expand on solutions available to our investors. The effect of these acquisitions is reflected in our Consolidated Balance Sheet at December 31, 2021 and the Consolidated Statement of Operations from September 30, 2021 to December 31, 2021. These acquisitions were accounted for as business combinations and are reported as consolidated subsidiaries of P10.</w:t>
      </w:r>
    </w:p>
    <w:p>
      <w:pPr>
        <w:spacing w:after="0" w:line="19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On October 20, 2021, P10 Holdings, in connection with its IPO, completed a reorganization and restructure. In connection with the reorganization, P10 became the parent company and all of the existing equity of P10 Holdings, which is a wholly owned subsidiary of P10, and its consolidated subsidiaries, including the convertible preferred units of P10 Intermediate were converted into common stock of P10. The offering and reorganization included a reverse stock split of P10 Holdings common stock on a 0.7-for-1 basis pursuant to which every outstanding share of common stock decreased to 0.7 shares. Net proceeds from the sale of our Class A common stock, after deducting underwriting discounts and commissions but before expenses was approximately $129.4 million. Of the proceeds, $86.8 million was used to pay down outstanding term loan debt, $12.4 million was used to pay off Seller's Notes, $1.1 million was used to cash settle certain option awards, $1.0 million was used to fund the dividend on P10 Intermediate's preferred stock and $4.5 million was used to pay expenses incurred in connection with the offering.</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jc w:val="both"/>
        <w:ind w:right="20" w:firstLine="509"/>
        <w:spacing w:after="0" w:line="277" w:lineRule="auto"/>
        <w:rPr>
          <w:sz w:val="20"/>
          <w:szCs w:val="20"/>
          <w:color w:val="auto"/>
        </w:rPr>
      </w:pPr>
      <w:r>
        <w:rPr>
          <w:rFonts w:ascii="Arial" w:cs="Arial" w:eastAsia="Arial" w:hAnsi="Arial"/>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57"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On December 22, 2021, P10 entered into a $250 million credit agreement with a syndicate of banks, including JP Morgan Chase Bank and Texas Capital Bank as joint lead arrangers and bookrunners, which provided for the Term Loan in an aggregate principal amount of $125 million and Revolver Facility in an aggregate principal amount of $125 million with a four year term and an additional $125 million accordion feature, which the Company exercised in September 2022. The variable interest rate is 210 basis points over SOFR. Borrowings were used to pay down the outstanding balance under the previous credit facility with HPS and related transaction expenses, pay off Seller's Notes related to the RCP acquisition and to finance working capital needs and for general corporate purposes. The outstanding balance as of September 30, 2022 was $174.9 million.</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our private market solutions were comprised of the following:</w:t>
      </w:r>
    </w:p>
    <w:p>
      <w:pPr>
        <w:spacing w:after="0" w:line="104" w:lineRule="exact"/>
        <w:rPr>
          <w:sz w:val="20"/>
          <w:szCs w:val="20"/>
          <w:color w:val="auto"/>
        </w:rPr>
      </w:pPr>
    </w:p>
    <w:p>
      <w:pPr>
        <w:jc w:val="both"/>
        <w:ind w:left="1020" w:hanging="503"/>
        <w:spacing w:after="0" w:line="257"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Private Equity Solutions (PES)</w:t>
      </w:r>
      <w:r>
        <w:rPr>
          <w:rFonts w:ascii="Arial" w:cs="Arial" w:eastAsia="Arial" w:hAnsi="Arial"/>
          <w:sz w:val="17"/>
          <w:szCs w:val="17"/>
          <w:color w:val="auto"/>
        </w:rPr>
        <w:t>. Under PES, we make direct and indirect investments in middle and lower- middle market private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across North America. PES also makes minority equity investments in a diversified portfolio of mid-sized managers across private equity, private credit and real assets. The PES investment team, which is comprised of 40 investment professionals with an average of 24+ years of experience, has deep and long-standing investor and fund manager relationships in the middle and lower-middle market which it has cultivated over the past 20 years, including over 1,800+ investors, 260+ fund managers, 480+ private market funds and 1,900+ portfolio companies. We have 50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4,900 investment firms, 9,800 funds, 44,000 individual transactions, 29,000 private companies and 276,000 financial metrics. As of September 30, 2022, PES managed $10.6 billion of Fee Paying Assets Under Management ("FPAUM").</w:t>
      </w:r>
    </w:p>
    <w:p>
      <w:pPr>
        <w:spacing w:after="0" w:line="86" w:lineRule="exact"/>
        <w:rPr>
          <w:rFonts w:ascii="Arial" w:cs="Arial" w:eastAsia="Arial" w:hAnsi="Arial"/>
          <w:sz w:val="17"/>
          <w:szCs w:val="17"/>
          <w:color w:val="auto"/>
        </w:rPr>
      </w:pPr>
    </w:p>
    <w:p>
      <w:pPr>
        <w:jc w:val="both"/>
        <w:ind w:left="1020" w:hanging="503"/>
        <w:spacing w:after="0" w:line="259"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Venture Capital Solutions (VCS). </w:t>
      </w:r>
      <w:r>
        <w:rPr>
          <w:rFonts w:ascii="Arial" w:cs="Arial" w:eastAsia="Arial" w:hAnsi="Arial"/>
          <w:sz w:val="17"/>
          <w:szCs w:val="17"/>
          <w:color w:val="auto"/>
        </w:rPr>
        <w:t>Under VCS, we make investments in venture capital funds across North America and specialize in targeting</w:t>
      </w:r>
      <w:r>
        <w:rPr>
          <w:rFonts w:ascii="Arial" w:cs="Arial" w:eastAsia="Arial" w:hAnsi="Arial"/>
          <w:sz w:val="17"/>
          <w:szCs w:val="17"/>
          <w:i w:val="1"/>
          <w:iCs w:val="1"/>
          <w:color w:val="auto"/>
        </w:rPr>
        <w:t xml:space="preserve"> </w:t>
      </w:r>
      <w:r>
        <w:rPr>
          <w:rFonts w:ascii="Arial" w:cs="Arial" w:eastAsia="Arial" w:hAnsi="Arial"/>
          <w:sz w:val="17"/>
          <w:szCs w:val="17"/>
          <w:color w:val="auto"/>
        </w:rPr>
        <w:t>high-performing, access-constrained opportunities. The VCS investment team, which is comprised of 15 investment professionals with an average of 21+ years of experience, has deep and long-standing investor and fund manager relationships in the venture market which it has cultivated over the past 14+ years, including over 930+ investors, 60+ fund managers, 55 direct investments, 230+ private market funds and 6,500+ portfolio companies. We have 18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September 30, 2022, VCS managed $5.2 billion of FPAUM.</w:t>
      </w:r>
    </w:p>
    <w:p>
      <w:pPr>
        <w:spacing w:after="0" w:line="67" w:lineRule="exact"/>
        <w:rPr>
          <w:rFonts w:ascii="Arial" w:cs="Arial" w:eastAsia="Arial" w:hAnsi="Arial"/>
          <w:sz w:val="17"/>
          <w:szCs w:val="17"/>
          <w:color w:val="auto"/>
        </w:rPr>
      </w:pPr>
    </w:p>
    <w:p>
      <w:pPr>
        <w:jc w:val="both"/>
        <w:ind w:left="1020" w:hanging="503"/>
        <w:spacing w:after="0" w:line="260"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Impact Investing Solutions (IIS). </w:t>
      </w:r>
      <w:r>
        <w:rPr>
          <w:rFonts w:ascii="Arial" w:cs="Arial" w:eastAsia="Arial" w:hAnsi="Arial"/>
          <w:sz w:val="17"/>
          <w:szCs w:val="17"/>
          <w:color w:val="auto"/>
        </w:rPr>
        <w:t>Under IIS, we make equity, tax equity, and debt investments in impact initiatives across North America. IIS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targets investments in renewable energy development and historic building renovation projects, as well as providing capital to small businesses that are women or minority owned or operating in underserved communities. The IIS investment team, which is comprised of 12 investment professionals with an average of 21+ years of experience, has deep and long-standing relationships in the impact market which it has cultivated over the past 20 years, including deploying capital on behalf of over 82 investors. We currently have 35 active investment vehicles. We are differentiated in both the breadth of impact areas served, the type of capital deployed and the duration of our track record. We have collectively deployed over $4.8 billion into 750+ projects, supporting 400+ businesses across 38 states since 2000. We have invested $2.6 billion in Impact Assets across our Small Business Lending, Impact Real Estate and Climate Finance Strategies. Investments in solar assets have generated over 781 million KWh of renewable energy over the lifetime of the portfolio. As of September 30, 2022, IIS managed $1.8 billion of FPAUM</w:t>
      </w:r>
      <w:r>
        <w:rPr>
          <w:rFonts w:ascii="Arial" w:cs="Arial" w:eastAsia="Arial" w:hAnsi="Arial"/>
          <w:sz w:val="17"/>
          <w:szCs w:val="17"/>
          <w:i w:val="1"/>
          <w:iCs w:val="1"/>
          <w:color w:val="auto"/>
        </w:rPr>
        <w:t>.</w:t>
      </w:r>
    </w:p>
    <w:p>
      <w:pPr>
        <w:spacing w:after="0" w:line="82" w:lineRule="exact"/>
        <w:rPr>
          <w:rFonts w:ascii="Arial" w:cs="Arial" w:eastAsia="Arial" w:hAnsi="Arial"/>
          <w:sz w:val="17"/>
          <w:szCs w:val="17"/>
          <w:color w:val="auto"/>
        </w:rPr>
      </w:pPr>
    </w:p>
    <w:p>
      <w:pPr>
        <w:jc w:val="both"/>
        <w:ind w:left="1020" w:hanging="503"/>
        <w:spacing w:after="0" w:line="273"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Private Credit Solutions (PCS). </w:t>
      </w:r>
      <w:r>
        <w:rPr>
          <w:rFonts w:ascii="Arial" w:cs="Arial" w:eastAsia="Arial" w:hAnsi="Arial"/>
          <w:sz w:val="16"/>
          <w:szCs w:val="16"/>
          <w:color w:val="auto"/>
        </w:rPr>
        <w:t>Under PCS, we primarily make debt investments across North America, targeting lower middle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24 investment professionals with an average of 23+ years of experience, has deep and long-standing relationships in the private credit market which it has cultivated over the past 22 years, including 290+ investors across 9 active investment vehicles and 70+ portfolio companies with over $1.9+ billion capital deployed. Our PCS is</w:t>
      </w:r>
    </w:p>
    <w:p>
      <w:pPr>
        <w:ind w:left="1020"/>
        <w:spacing w:after="0" w:line="227" w:lineRule="auto"/>
        <w:rPr>
          <w:sz w:val="20"/>
          <w:szCs w:val="20"/>
          <w:color w:val="auto"/>
        </w:rPr>
      </w:pPr>
      <w:r>
        <w:rPr>
          <w:rFonts w:ascii="Arial" w:cs="Arial" w:eastAsia="Arial" w:hAnsi="Arial"/>
          <w:sz w:val="18"/>
          <w:szCs w:val="18"/>
          <w:color w:val="auto"/>
        </w:rPr>
        <w:t>differentiated by our relationship-driven sourcing approach providing capital solutions 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jc w:val="both"/>
        <w:ind w:left="1020"/>
        <w:spacing w:after="0" w:line="256" w:lineRule="auto"/>
        <w:rPr>
          <w:sz w:val="20"/>
          <w:szCs w:val="20"/>
          <w:color w:val="auto"/>
        </w:rPr>
      </w:pPr>
      <w:r>
        <w:rPr>
          <w:rFonts w:ascii="Arial" w:cs="Arial" w:eastAsia="Arial" w:hAnsi="Arial"/>
          <w:sz w:val="18"/>
          <w:szCs w:val="18"/>
          <w:color w:val="auto"/>
        </w:rPr>
        <w:t>growth-oriented companies. We are further synergistically strengthened by our PES network of fund managers, characterized by more than 575 credit opportunities annually. We currently maintain 50+ active sponsor relationships and have 70+ platform investments. As of September 30, 2022, PCS managed $1.4 billion of FPAUM.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Sources of Revenue</w:t>
      </w:r>
    </w:p>
    <w:p>
      <w:pPr>
        <w:spacing w:after="0" w:line="22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87" w:lineRule="exact"/>
        <w:rPr>
          <w:sz w:val="20"/>
          <w:szCs w:val="20"/>
          <w:color w:val="auto"/>
        </w:rPr>
      </w:pPr>
    </w:p>
    <w:p>
      <w:pPr>
        <w:jc w:val="both"/>
        <w:ind w:left="1020" w:hanging="503"/>
        <w:spacing w:after="0" w:line="277"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Primary Investment Funds. </w:t>
      </w:r>
      <w:r>
        <w:rPr>
          <w:rFonts w:ascii="Arial" w:cs="Arial" w:eastAsia="Arial" w:hAnsi="Arial"/>
          <w:sz w:val="16"/>
          <w:szCs w:val="16"/>
          <w:color w:val="auto"/>
        </w:rPr>
        <w:t>Primary investment funds refer to investment vehicles which target investments in new private markets funds,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$11.5 billion of our FPAUM as of September 30, 2022.</w:t>
      </w:r>
    </w:p>
    <w:p>
      <w:pPr>
        <w:spacing w:after="0" w:line="56" w:lineRule="exact"/>
        <w:rPr>
          <w:rFonts w:ascii="Arial" w:cs="Arial" w:eastAsia="Arial" w:hAnsi="Arial"/>
          <w:sz w:val="16"/>
          <w:szCs w:val="16"/>
          <w:color w:val="auto"/>
        </w:rPr>
      </w:pPr>
    </w:p>
    <w:p>
      <w:pPr>
        <w:jc w:val="both"/>
        <w:ind w:left="1020" w:hanging="503"/>
        <w:spacing w:after="0" w:line="278"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Direct and Co-Investment Funds. </w:t>
      </w:r>
      <w:r>
        <w:rPr>
          <w:rFonts w:ascii="Arial" w:cs="Arial" w:eastAsia="Arial" w:hAnsi="Arial"/>
          <w:sz w:val="16"/>
          <w:szCs w:val="16"/>
          <w:color w:val="auto"/>
        </w:rPr>
        <w:t>Direct and co-investments involve acquiring an equity interest in or making a loan to an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$6.2 billion of our FPAUM as of September 30, 2022.</w:t>
      </w:r>
    </w:p>
    <w:p>
      <w:pPr>
        <w:spacing w:after="0" w:line="52" w:lineRule="exact"/>
        <w:rPr>
          <w:rFonts w:ascii="Arial" w:cs="Arial" w:eastAsia="Arial" w:hAnsi="Arial"/>
          <w:sz w:val="16"/>
          <w:szCs w:val="16"/>
          <w:color w:val="auto"/>
        </w:rPr>
      </w:pPr>
    </w:p>
    <w:p>
      <w:pPr>
        <w:jc w:val="both"/>
        <w:ind w:left="1020" w:hanging="503"/>
        <w:spacing w:after="0" w:line="280"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Secondaries. </w:t>
      </w:r>
      <w:r>
        <w:rPr>
          <w:rFonts w:ascii="Arial" w:cs="Arial" w:eastAsia="Arial" w:hAnsi="Arial"/>
          <w:sz w:val="16"/>
          <w:szCs w:val="16"/>
          <w:color w:val="auto"/>
        </w:rPr>
        <w:t>Secondaries refer to investments in existing private markets funds through the acquisition of an existing interest in a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$1.4 billion of our FPAUM as of September 30, 2022.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Segments</w:t>
      </w:r>
    </w:p>
    <w:p>
      <w:pPr>
        <w:spacing w:after="0" w:line="21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operate our business as a single operating segment, which is how our chief operating decision makers (our Co-Chief Executive Officers) evaluate financial performance and make decisions regarding the allocation of resources.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Affecting Our Business</w:t>
      </w:r>
    </w:p>
    <w:p>
      <w:pPr>
        <w:spacing w:after="0" w:line="21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With interest rates continuing to rise and the global economy outlook remaining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uncertain, we continue to see investors turning towards alternative investments to achieve consistent and higher yields with our contractually guaranteed fee rate.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continued growth of our business may be influenced by several factors, including the following market trends:</w:t>
      </w:r>
    </w:p>
    <w:p>
      <w:pPr>
        <w:spacing w:after="0" w:line="104" w:lineRule="exact"/>
        <w:rPr>
          <w:sz w:val="20"/>
          <w:szCs w:val="20"/>
          <w:color w:val="auto"/>
        </w:rPr>
      </w:pPr>
    </w:p>
    <w:p>
      <w:pPr>
        <w:jc w:val="both"/>
        <w:ind w:left="1020" w:hanging="503"/>
        <w:spacing w:after="0" w:line="273"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Accelerating demand for private markets solutions. </w:t>
      </w:r>
      <w:r>
        <w:rPr>
          <w:rFonts w:ascii="Arial" w:cs="Arial" w:eastAsia="Arial" w:hAnsi="Arial"/>
          <w:sz w:val="16"/>
          <w:szCs w:val="16"/>
          <w:color w:val="auto"/>
        </w:rPr>
        <w:t>Our ability to attract new capital is dependent on investor demand for private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w:t>
      </w:r>
    </w:p>
    <w:p>
      <w:pPr>
        <w:spacing w:after="0" w:line="2" w:lineRule="exact"/>
        <w:rPr>
          <w:rFonts w:ascii="Arial" w:cs="Arial" w:eastAsia="Arial" w:hAnsi="Arial"/>
          <w:sz w:val="16"/>
          <w:szCs w:val="16"/>
          <w:color w:val="auto"/>
        </w:rPr>
      </w:pPr>
    </w:p>
    <w:p>
      <w:pPr>
        <w:jc w:val="both"/>
        <w:ind w:left="1020" w:firstLine="6"/>
        <w:spacing w:after="0" w:line="246" w:lineRule="auto"/>
        <w:tabs>
          <w:tab w:leader="none" w:pos="1233"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increasing long-term investor allocations towards private market asset classes, 2) legislation that allows retirement plans to add private equity vehicles as an investment option, and 3) the adoption of Environmental, Social, and Corporate Governance (“ESG”) and impact investing by the institutional and high net worth investor community.</w:t>
      </w:r>
    </w:p>
    <w:p>
      <w:pPr>
        <w:spacing w:after="0" w:line="76" w:lineRule="exact"/>
        <w:rPr>
          <w:rFonts w:ascii="Arial" w:cs="Arial" w:eastAsia="Arial" w:hAnsi="Arial"/>
          <w:sz w:val="18"/>
          <w:szCs w:val="18"/>
          <w:color w:val="auto"/>
        </w:rPr>
      </w:pPr>
    </w:p>
    <w:p>
      <w:pPr>
        <w:jc w:val="both"/>
        <w:ind w:left="1020" w:hanging="503"/>
        <w:spacing w:after="0" w:line="258"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Favorable lower and lower-middle market dynamics, and data driven sourcing. </w:t>
      </w:r>
      <w:r>
        <w:rPr>
          <w:rFonts w:ascii="Arial" w:cs="Arial" w:eastAsia="Arial" w:hAnsi="Arial"/>
          <w:sz w:val="17"/>
          <w:szCs w:val="17"/>
          <w:color w:val="auto"/>
        </w:rPr>
        <w:t>We attribute our strong investment performance track record</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management and monitoring and enable a portfolio grading system, as well as repository of investment evaluation scorecards. Our ability to maintain our data advantage is dependent on a number of factors, including our continued access to a broad set of private market information on an on-going basis.</w:t>
      </w:r>
    </w:p>
    <w:p>
      <w:pPr>
        <w:spacing w:after="0" w:line="70" w:lineRule="exact"/>
        <w:rPr>
          <w:rFonts w:ascii="Arial" w:cs="Arial" w:eastAsia="Arial" w:hAnsi="Arial"/>
          <w:sz w:val="17"/>
          <w:szCs w:val="17"/>
          <w:color w:val="auto"/>
        </w:rPr>
      </w:pPr>
    </w:p>
    <w:p>
      <w:pPr>
        <w:jc w:val="both"/>
        <w:ind w:left="1020" w:hanging="503"/>
        <w:spacing w:after="0" w:line="27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Expanding asset class solutions, broaden geographic reach and grow private markets network effect. </w:t>
      </w:r>
      <w:r>
        <w:rPr>
          <w:rFonts w:ascii="Arial" w:cs="Arial" w:eastAsia="Arial" w:hAnsi="Arial"/>
          <w:sz w:val="16"/>
          <w:szCs w:val="16"/>
          <w:color w:val="auto"/>
        </w:rPr>
        <w:t>Our ability to continue growing is</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will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71" w:lineRule="exact"/>
        <w:rPr>
          <w:rFonts w:ascii="Arial" w:cs="Arial" w:eastAsia="Arial" w:hAnsi="Arial"/>
          <w:sz w:val="16"/>
          <w:szCs w:val="16"/>
          <w:color w:val="auto"/>
        </w:rPr>
      </w:pPr>
    </w:p>
    <w:p>
      <w:pPr>
        <w:jc w:val="both"/>
        <w:ind w:left="1020" w:hanging="503"/>
        <w:spacing w:after="0" w:line="24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Increasing regulatory requirements and political uncertainty. </w:t>
      </w:r>
      <w:r>
        <w:rPr>
          <w:rFonts w:ascii="Arial" w:cs="Arial" w:eastAsia="Arial" w:hAnsi="Arial"/>
          <w:sz w:val="18"/>
          <w:szCs w:val="18"/>
          <w:color w:val="auto"/>
        </w:rPr>
        <w:t>The complex regulatory and tax environment could restrict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us to increased compliance costs and administrative burdens, as well as restrictions on our business activities. There is additional uncertainty around potential legal, regulatory, and tax changes, which may impact our profitability or impact our ability to operate and grow our business.</w:t>
      </w:r>
    </w:p>
    <w:p>
      <w:pPr>
        <w:spacing w:after="0" w:line="72" w:lineRule="exact"/>
        <w:rPr>
          <w:rFonts w:ascii="Arial" w:cs="Arial" w:eastAsia="Arial" w:hAnsi="Arial"/>
          <w:sz w:val="18"/>
          <w:szCs w:val="18"/>
          <w:color w:val="auto"/>
        </w:rPr>
      </w:pPr>
    </w:p>
    <w:p>
      <w:pPr>
        <w:jc w:val="both"/>
        <w:ind w:left="1020" w:hanging="503"/>
        <w:spacing w:after="0" w:line="273"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raise capital in order to fund acquisitions and strategic growth initiatives. </w:t>
      </w:r>
      <w:r>
        <w:rPr>
          <w:rFonts w:ascii="Arial" w:cs="Arial" w:eastAsia="Arial" w:hAnsi="Arial"/>
          <w:sz w:val="16"/>
          <w:szCs w:val="16"/>
          <w:color w:val="auto"/>
        </w:rPr>
        <w:t>In addition to organic growth of our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and services, our growth will continue to depend, in part, on our ability to identify, evaluate and acquire high performing and high-quality asset management businesses in order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w:t>
      </w:r>
    </w:p>
    <w:p>
      <w:pPr>
        <w:ind w:left="1020"/>
        <w:spacing w:after="0" w:line="227" w:lineRule="auto"/>
        <w:rPr>
          <w:sz w:val="20"/>
          <w:szCs w:val="20"/>
          <w:color w:val="auto"/>
        </w:rPr>
      </w:pPr>
      <w:r>
        <w:rPr>
          <w:rFonts w:ascii="Arial" w:cs="Arial" w:eastAsia="Arial" w:hAnsi="Arial"/>
          <w:sz w:val="18"/>
          <w:szCs w:val="18"/>
          <w:color w:val="auto"/>
        </w:rPr>
        <w:t>price of our 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jc w:val="both"/>
        <w:ind w:left="1020" w:hanging="503"/>
        <w:spacing w:after="0" w:line="288"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Increased competition to work with top private equity fund managers. </w:t>
      </w:r>
      <w:r>
        <w:rPr>
          <w:rFonts w:ascii="Arial" w:cs="Arial" w:eastAsia="Arial" w:hAnsi="Arial"/>
          <w:sz w:val="16"/>
          <w:szCs w:val="16"/>
          <w:color w:val="auto"/>
        </w:rPr>
        <w:t>There has been a trend amongst larger private markets investors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43" w:lineRule="exact"/>
        <w:rPr>
          <w:rFonts w:ascii="Arial" w:cs="Arial" w:eastAsia="Arial" w:hAnsi="Arial"/>
          <w:sz w:val="16"/>
          <w:szCs w:val="16"/>
          <w:color w:val="auto"/>
        </w:rPr>
      </w:pPr>
    </w:p>
    <w:p>
      <w:pPr>
        <w:jc w:val="both"/>
        <w:ind w:left="1020" w:hanging="503"/>
        <w:spacing w:after="0" w:line="24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Data advantage relative to competitors. </w:t>
      </w:r>
      <w:r>
        <w:rPr>
          <w:rFonts w:ascii="Arial" w:cs="Arial" w:eastAsia="Arial" w:hAnsi="Arial"/>
          <w:sz w:val="18"/>
          <w:szCs w:val="18"/>
          <w:color w:val="auto"/>
        </w:rPr>
        <w:t>We believe that the general trend towards transparency and consistency in private markets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a number of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Financial &amp; Operating Metrics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95"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We earn management and advisory fees based on a percentage of investors’ capital commitments in our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 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Compensation and benefits are our largest expense and consists of salaries, bonuses, stock-based compensation,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 The result is the substantial majority of our compensation and benefit expense is predictable.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jc w:val="both"/>
        <w:ind w:firstLine="509"/>
        <w:spacing w:after="0" w:line="249" w:lineRule="auto"/>
        <w:rPr>
          <w:sz w:val="20"/>
          <w:szCs w:val="20"/>
          <w:color w:val="auto"/>
        </w:rPr>
      </w:pPr>
      <w:r>
        <w:rPr>
          <w:rFonts w:ascii="Arial" w:cs="Arial" w:eastAsia="Arial" w:hAnsi="Arial"/>
          <w:sz w:val="18"/>
          <w:szCs w:val="18"/>
          <w:color w:val="auto"/>
        </w:rPr>
        <w:t>Professional fees primarily consist of legal, advisory, accounting and tax fees which may include services related to our strategic development opportunities such as due diligence performed in connection with potential acquisitions. Our professional fees will fluctuate commensurate with our strategic objectives and potential acquisitions, and certain recurring accounting advisory, audit and tax expenses are expected to increase as our Company has become an SEC registrant and we must comply with additional regulatory requirements.</w:t>
      </w:r>
    </w:p>
    <w:p>
      <w:pPr>
        <w:spacing w:after="0" w:line="19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General, administrative and other includes occupancy, travel and entertainment, technology, insurance and other general costs associated with operating our business.</w:t>
      </w:r>
    </w:p>
    <w:p>
      <w:pPr>
        <w:spacing w:after="0" w:line="17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Strategic alliance expense is included in operating expenses. This expense is driven by a Strategic Alliance Agreement (SAA) that Bonaccord had entered into with an investor at the time Bonaccord was acquired in exchange for a portion of net management fee earnings and net distributable carried interest at the time of acquisition.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Interest expense includes interest paid and accrued on our outstanding debt, along with the amortization of deferred financing costs, amortization of original issue discount and the write-off of deferred financing costs due to the repayment of previously outstanding debt. Interest expense also includes the effects of the imputed interest on certain non-interest-bearing notes payable.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Expense/Benefit</w:t>
      </w:r>
    </w:p>
    <w:p>
      <w:pPr>
        <w:spacing w:after="0" w:line="11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Income tax expense/benefit is comprised of current and deferred tax expense/benefit. Current income tax expense/benefit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Fee-Paying Assets Under Management, or FPAUM</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and nine months ended September 30, 2022 and September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97"/>
              </w:rPr>
              <w:t>For the 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w w:val="93"/>
              </w:rPr>
              <w:t>For the Nine Months Ended</w:t>
            </w:r>
          </w:p>
        </w:tc>
        <w:tc>
          <w:tcPr>
            <w:tcW w:w="940" w:type="dxa"/>
            <w:vAlign w:val="bottom"/>
          </w:tcPr>
          <w:p>
            <w:pPr>
              <w:spacing w:after="0"/>
              <w:rPr>
                <w:sz w:val="14"/>
                <w:szCs w:val="14"/>
                <w:color w:val="auto"/>
              </w:rPr>
            </w:pPr>
          </w:p>
        </w:tc>
      </w:tr>
      <w:tr>
        <w:trPr>
          <w:trHeight w:val="174"/>
        </w:trPr>
        <w:tc>
          <w:tcPr>
            <w:tcW w:w="3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3"/>
                <w:szCs w:val="13"/>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62"/>
        </w:trPr>
        <w:tc>
          <w:tcPr>
            <w:tcW w:w="3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5"/>
              </w:rPr>
              <w:t>$ Change</w:t>
            </w:r>
          </w:p>
        </w:tc>
        <w:tc>
          <w:tcPr>
            <w:tcW w:w="220" w:type="dxa"/>
            <w:vAlign w:val="bottom"/>
          </w:tcPr>
          <w:p>
            <w:pPr>
              <w:spacing w:after="0"/>
              <w:rPr>
                <w:sz w:val="14"/>
                <w:szCs w:val="14"/>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 Change</w:t>
            </w:r>
          </w:p>
        </w:tc>
        <w:tc>
          <w:tcPr>
            <w:tcW w:w="200" w:type="dxa"/>
            <w:vAlign w:val="bottom"/>
          </w:tcPr>
          <w:p>
            <w:pPr>
              <w:spacing w:after="0"/>
              <w:rPr>
                <w:sz w:val="14"/>
                <w:szCs w:val="1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 Change</w:t>
            </w:r>
          </w:p>
        </w:tc>
      </w:tr>
      <w:tr>
        <w:trPr>
          <w:trHeight w:val="156"/>
        </w:trPr>
        <w:tc>
          <w:tcPr>
            <w:tcW w:w="312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REVENUES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80"/>
              </w:rPr>
              <w:t>(in thousands)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1080" w:type="dxa"/>
            <w:vAlign w:val="bottom"/>
            <w:gridSpan w:val="3"/>
          </w:tcPr>
          <w:p>
            <w:pPr>
              <w:jc w:val="center"/>
              <w:ind w:right="457"/>
              <w:spacing w:after="0"/>
              <w:rPr>
                <w:sz w:val="20"/>
                <w:szCs w:val="20"/>
                <w:color w:val="auto"/>
              </w:rPr>
            </w:pPr>
            <w:r>
              <w:rPr>
                <w:rFonts w:ascii="Arial" w:cs="Arial" w:eastAsia="Arial" w:hAnsi="Arial"/>
                <w:sz w:val="13"/>
                <w:szCs w:val="13"/>
                <w:b w:val="1"/>
                <w:bCs w:val="1"/>
                <w:color w:val="auto"/>
                <w:w w:val="79"/>
              </w:rPr>
              <w:t>thousands)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Management and advisory fees</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49,479</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37,939</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11,540</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30%</w:t>
            </w:r>
          </w:p>
        </w:tc>
        <w:tc>
          <w:tcPr>
            <w:tcW w:w="26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138,957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center"/>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104,029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34,928</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34%</w:t>
            </w:r>
          </w:p>
        </w:tc>
      </w:tr>
      <w:tr>
        <w:trPr>
          <w:trHeight w:val="160"/>
        </w:trPr>
        <w:tc>
          <w:tcPr>
            <w:tcW w:w="3120" w:type="dxa"/>
            <w:vAlign w:val="bottom"/>
          </w:tcPr>
          <w:p>
            <w:pPr>
              <w:ind w:left="160"/>
              <w:spacing w:after="0"/>
              <w:rPr>
                <w:sz w:val="20"/>
                <w:szCs w:val="20"/>
                <w:color w:val="auto"/>
              </w:rPr>
            </w:pPr>
            <w:r>
              <w:rPr>
                <w:rFonts w:ascii="Arial" w:cs="Arial" w:eastAsia="Arial" w:hAnsi="Arial"/>
                <w:sz w:val="13"/>
                <w:szCs w:val="13"/>
                <w:color w:val="auto"/>
              </w:rPr>
              <w:t>Other revenue</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84"/>
              </w:rPr>
              <w:t>151%</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1,058</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w:t>
            </w: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84"/>
              </w:rPr>
              <w:t>21%</w:t>
            </w:r>
          </w:p>
        </w:tc>
      </w:tr>
      <w:tr>
        <w:trPr>
          <w:trHeight w:val="157"/>
        </w:trPr>
        <w:tc>
          <w:tcPr>
            <w:tcW w:w="31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Total revenues</w:t>
            </w: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49,996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38,145</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11,851</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31%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140,015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104,901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35,114</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33%</w:t>
            </w:r>
          </w:p>
        </w:tc>
      </w:tr>
      <w:tr>
        <w:trPr>
          <w:trHeight w:val="162"/>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Compensation and benefits</w:t>
            </w: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23,984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14,055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9,929</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71%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60,293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38,328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21,965</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57%</w:t>
            </w:r>
          </w:p>
        </w:tc>
      </w:tr>
      <w:tr>
        <w:trPr>
          <w:trHeight w:val="161"/>
        </w:trPr>
        <w:tc>
          <w:tcPr>
            <w:tcW w:w="3120" w:type="dxa"/>
            <w:vAlign w:val="bottom"/>
          </w:tcPr>
          <w:p>
            <w:pPr>
              <w:ind w:left="160"/>
              <w:spacing w:after="0"/>
              <w:rPr>
                <w:sz w:val="20"/>
                <w:szCs w:val="20"/>
                <w:color w:val="auto"/>
              </w:rPr>
            </w:pPr>
            <w:r>
              <w:rPr>
                <w:rFonts w:ascii="Arial" w:cs="Arial" w:eastAsia="Arial" w:hAnsi="Arial"/>
                <w:sz w:val="13"/>
                <w:szCs w:val="13"/>
                <w:color w:val="auto"/>
              </w:rPr>
              <w:t>Professional fees</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4,064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2,901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1,163</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9,038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378</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84"/>
              </w:rPr>
              <w:t>4%</w:t>
            </w:r>
          </w:p>
        </w:tc>
      </w:tr>
      <w:tr>
        <w:trPr>
          <w:trHeight w:val="163"/>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General, administrative and other</w:t>
            </w: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1,364</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51%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12,393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5,474</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79%</w:t>
            </w:r>
          </w:p>
        </w:tc>
      </w:tr>
      <w:tr>
        <w:trPr>
          <w:trHeight w:val="161"/>
        </w:trPr>
        <w:tc>
          <w:tcPr>
            <w:tcW w:w="3120" w:type="dxa"/>
            <w:vAlign w:val="bottom"/>
          </w:tcPr>
          <w:p>
            <w:pPr>
              <w:ind w:left="160"/>
              <w:spacing w:after="0"/>
              <w:rPr>
                <w:sz w:val="20"/>
                <w:szCs w:val="20"/>
                <w:color w:val="auto"/>
              </w:rPr>
            </w:pPr>
            <w:r>
              <w:rPr>
                <w:rFonts w:ascii="Arial" w:cs="Arial" w:eastAsia="Arial" w:hAnsi="Arial"/>
                <w:sz w:val="13"/>
                <w:szCs w:val="13"/>
                <w:color w:val="auto"/>
              </w:rPr>
              <w:t>Contingent consideration expense</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1,380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37"/>
              <w:spacing w:after="0"/>
              <w:rPr>
                <w:sz w:val="20"/>
                <w:szCs w:val="20"/>
                <w:color w:val="auto"/>
              </w:rPr>
            </w:pPr>
            <w:r>
              <w:rPr>
                <w:rFonts w:ascii="Arial" w:cs="Arial" w:eastAsia="Arial" w:hAnsi="Arial"/>
                <w:sz w:val="13"/>
                <w:szCs w:val="13"/>
                <w:color w:val="auto"/>
              </w:rPr>
              <w:t>(26 )</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1,406</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(5,408)%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1,367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1,233</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920%</w:t>
            </w:r>
          </w:p>
        </w:tc>
      </w:tr>
      <w:tr>
        <w:trPr>
          <w:trHeight w:val="163"/>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Amortization of intangibles</w:t>
            </w: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6,153</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7,484</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(1,331 )</w:t>
            </w: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18,487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22,452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(3,965 )</w:t>
            </w: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(18)%</w:t>
            </w:r>
          </w:p>
        </w:tc>
      </w:tr>
      <w:tr>
        <w:trPr>
          <w:trHeight w:val="160"/>
        </w:trPr>
        <w:tc>
          <w:tcPr>
            <w:tcW w:w="3120" w:type="dxa"/>
            <w:vAlign w:val="bottom"/>
          </w:tcPr>
          <w:p>
            <w:pPr>
              <w:ind w:left="160"/>
              <w:spacing w:after="0"/>
              <w:rPr>
                <w:sz w:val="20"/>
                <w:szCs w:val="20"/>
                <w:color w:val="auto"/>
              </w:rPr>
            </w:pPr>
            <w:r>
              <w:rPr>
                <w:rFonts w:ascii="Arial" w:cs="Arial" w:eastAsia="Arial" w:hAnsi="Arial"/>
                <w:sz w:val="13"/>
                <w:szCs w:val="13"/>
                <w:color w:val="auto"/>
              </w:rPr>
              <w:t>Strategic alliance expense</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124</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84"/>
              </w:rPr>
              <w:t>100%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429</w:t>
            </w: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100%</w:t>
            </w:r>
          </w:p>
        </w:tc>
      </w:tr>
      <w:tr>
        <w:trPr>
          <w:trHeight w:val="156"/>
        </w:trPr>
        <w:tc>
          <w:tcPr>
            <w:tcW w:w="3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Total operating expenses</w:t>
            </w: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39,736</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27,081</w:t>
            </w: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12,655</w:t>
            </w: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2"/>
              </w:rPr>
              <w:t>47%</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102,385</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76,871</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25,514</w:t>
            </w: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84"/>
              </w:rPr>
              <w:t>33%</w:t>
            </w:r>
          </w:p>
        </w:tc>
      </w:tr>
      <w:tr>
        <w:trPr>
          <w:trHeight w:val="302"/>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10,260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11,064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(804 )</w:t>
            </w:r>
          </w:p>
        </w:tc>
        <w:tc>
          <w:tcPr>
            <w:tcW w:w="880" w:type="dxa"/>
            <w:vAlign w:val="bottom"/>
          </w:tcPr>
          <w:p>
            <w:pPr>
              <w:jc w:val="center"/>
              <w:spacing w:after="0"/>
              <w:rPr>
                <w:sz w:val="20"/>
                <w:szCs w:val="20"/>
                <w:color w:val="auto"/>
              </w:rPr>
            </w:pPr>
            <w:r>
              <w:rPr>
                <w:rFonts w:ascii="Arial" w:cs="Arial" w:eastAsia="Arial" w:hAnsi="Arial"/>
                <w:sz w:val="13"/>
                <w:szCs w:val="13"/>
                <w:color w:val="auto"/>
                <w:w w:val="87"/>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37,630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28,030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9,600</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84"/>
              </w:rPr>
              <w:t>34%</w:t>
            </w:r>
          </w:p>
        </w:tc>
      </w:tr>
      <w:tr>
        <w:trPr>
          <w:trHeight w:val="178"/>
        </w:trPr>
        <w:tc>
          <w:tcPr>
            <w:tcW w:w="3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2"/>
        </w:trPr>
        <w:tc>
          <w:tcPr>
            <w:tcW w:w="3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OTHER (EXPENSE)/INCOME</w:t>
            </w: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283"/>
        </w:trPr>
        <w:tc>
          <w:tcPr>
            <w:tcW w:w="3120" w:type="dxa"/>
            <w:vAlign w:val="bottom"/>
          </w:tcPr>
          <w:p>
            <w:pPr>
              <w:ind w:left="160"/>
              <w:spacing w:after="0"/>
              <w:rPr>
                <w:sz w:val="20"/>
                <w:szCs w:val="20"/>
                <w:color w:val="auto"/>
              </w:rPr>
            </w:pPr>
            <w:r>
              <w:rPr>
                <w:rFonts w:ascii="Arial" w:cs="Arial" w:eastAsia="Arial" w:hAnsi="Arial"/>
                <w:sz w:val="13"/>
                <w:szCs w:val="13"/>
                <w:color w:val="auto"/>
              </w:rPr>
              <w:t>Interest expense implied on notes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3120" w:type="dxa"/>
            <w:vAlign w:val="bottom"/>
          </w:tcPr>
          <w:p>
            <w:pPr>
              <w:ind w:left="260"/>
              <w:spacing w:after="0"/>
              <w:rPr>
                <w:sz w:val="20"/>
                <w:szCs w:val="20"/>
                <w:color w:val="auto"/>
              </w:rPr>
            </w:pPr>
            <w:r>
              <w:rPr>
                <w:rFonts w:ascii="Arial" w:cs="Arial" w:eastAsia="Arial" w:hAnsi="Arial"/>
                <w:sz w:val="13"/>
                <w:szCs w:val="13"/>
                <w:color w:val="auto"/>
              </w:rPr>
              <w:t>payable to sellers</w:t>
            </w:r>
          </w:p>
        </w:tc>
        <w:tc>
          <w:tcPr>
            <w:tcW w:w="160" w:type="dxa"/>
            <w:vAlign w:val="bottom"/>
          </w:tcPr>
          <w:p>
            <w:pPr>
              <w:spacing w:after="0"/>
              <w:rPr>
                <w:sz w:val="14"/>
                <w:szCs w:val="14"/>
                <w:color w:val="auto"/>
              </w:rPr>
            </w:pPr>
          </w:p>
        </w:tc>
        <w:tc>
          <w:tcPr>
            <w:tcW w:w="8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37"/>
              <w:spacing w:after="0"/>
              <w:rPr>
                <w:sz w:val="20"/>
                <w:szCs w:val="20"/>
                <w:color w:val="auto"/>
              </w:rPr>
            </w:pPr>
            <w:r>
              <w:rPr>
                <w:rFonts w:ascii="Arial" w:cs="Arial" w:eastAsia="Arial" w:hAnsi="Arial"/>
                <w:sz w:val="13"/>
                <w:szCs w:val="13"/>
                <w:color w:val="auto"/>
              </w:rPr>
              <w:t>(223 )</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223</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97"/>
              <w:spacing w:after="0"/>
              <w:rPr>
                <w:sz w:val="20"/>
                <w:szCs w:val="20"/>
                <w:color w:val="auto"/>
              </w:rPr>
            </w:pPr>
            <w:r>
              <w:rPr>
                <w:rFonts w:ascii="Arial" w:cs="Arial" w:eastAsia="Arial" w:hAnsi="Arial"/>
                <w:sz w:val="13"/>
                <w:szCs w:val="13"/>
                <w:color w:val="auto"/>
              </w:rPr>
              <w:t>(657 )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657</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(100)%</w:t>
            </w:r>
          </w:p>
        </w:tc>
      </w:tr>
      <w:tr>
        <w:trPr>
          <w:trHeight w:val="170"/>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Interest expense, net</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(2,358 )</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(5,261 )</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2,903</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(55)%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(5,268 )</w:t>
            </w: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(15,761 )</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10,493</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(67)%</w:t>
            </w:r>
          </w:p>
        </w:tc>
      </w:tr>
      <w:tr>
        <w:trPr>
          <w:trHeight w:val="160"/>
        </w:trPr>
        <w:tc>
          <w:tcPr>
            <w:tcW w:w="3120" w:type="dxa"/>
            <w:vAlign w:val="bottom"/>
          </w:tcPr>
          <w:p>
            <w:pPr>
              <w:ind w:left="160"/>
              <w:spacing w:after="0"/>
              <w:rPr>
                <w:sz w:val="20"/>
                <w:szCs w:val="20"/>
                <w:color w:val="auto"/>
              </w:rPr>
            </w:pPr>
            <w:r>
              <w:rPr>
                <w:rFonts w:ascii="Arial" w:cs="Arial" w:eastAsia="Arial" w:hAnsi="Arial"/>
                <w:sz w:val="13"/>
                <w:szCs w:val="13"/>
                <w:color w:val="auto"/>
              </w:rPr>
              <w:t>Other income</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(74 )</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1,303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501</w:t>
            </w: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84"/>
              </w:rPr>
              <w:t>62%</w:t>
            </w:r>
          </w:p>
        </w:tc>
      </w:tr>
      <w:tr>
        <w:trPr>
          <w:trHeight w:val="156"/>
        </w:trPr>
        <w:tc>
          <w:tcPr>
            <w:tcW w:w="3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Total other (expense)</w:t>
            </w: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(2,175</w:t>
            </w:r>
          </w:p>
        </w:tc>
        <w:tc>
          <w:tcPr>
            <w:tcW w:w="240" w:type="dxa"/>
            <w:vAlign w:val="bottom"/>
            <w:tcBorders>
              <w:bottom w:val="single" w:sz="8" w:color="CFF0FC"/>
            </w:tcBorders>
            <w:shd w:val="clear" w:color="auto" w:fill="CFF0FC"/>
          </w:tcPr>
          <w:p>
            <w:pPr>
              <w:jc w:val="right"/>
              <w:ind w:right="11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(5,227</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3,052</w:t>
            </w: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2"/>
              </w:rPr>
              <w:t>(58)%</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(3,965</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(15,616</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11,651</w:t>
            </w: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2"/>
              </w:rPr>
              <w:t>(75)%</w:t>
            </w:r>
          </w:p>
        </w:tc>
      </w:tr>
      <w:tr>
        <w:trPr>
          <w:trHeight w:val="155"/>
        </w:trPr>
        <w:tc>
          <w:tcPr>
            <w:tcW w:w="3120" w:type="dxa"/>
            <w:vAlign w:val="bottom"/>
          </w:tcPr>
          <w:p>
            <w:pPr>
              <w:ind w:left="160"/>
              <w:spacing w:after="0"/>
              <w:rPr>
                <w:sz w:val="20"/>
                <w:szCs w:val="20"/>
                <w:color w:val="auto"/>
              </w:rPr>
            </w:pPr>
            <w:r>
              <w:rPr>
                <w:rFonts w:ascii="Arial" w:cs="Arial" w:eastAsia="Arial" w:hAnsi="Arial"/>
                <w:sz w:val="13"/>
                <w:szCs w:val="13"/>
                <w:color w:val="auto"/>
              </w:rPr>
              <w:t>Net income before income taxes</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8,085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5,837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2,248</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39%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33,665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12,414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21,251</w:t>
            </w: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171%</w:t>
            </w:r>
          </w:p>
        </w:tc>
      </w:tr>
      <w:tr>
        <w:trPr>
          <w:trHeight w:val="162"/>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Income tax expense</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(2,468 )</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(1,759 )</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(709 )</w:t>
            </w: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40%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(9,102 )</w:t>
            </w: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(3,154 )</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(5,948 )</w:t>
            </w: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189%</w:t>
            </w:r>
          </w:p>
        </w:tc>
      </w:tr>
      <w:tr>
        <w:trPr>
          <w:trHeight w:val="156"/>
        </w:trPr>
        <w:tc>
          <w:tcPr>
            <w:tcW w:w="31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NET INCOME</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5,617</w:t>
            </w:r>
          </w:p>
        </w:tc>
        <w:tc>
          <w:tcPr>
            <w:tcW w:w="240" w:type="dxa"/>
            <w:vAlign w:val="bottom"/>
            <w:tcBorders>
              <w:top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4,078</w:t>
            </w:r>
          </w:p>
        </w:tc>
        <w:tc>
          <w:tcPr>
            <w:tcW w:w="26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1,539</w:t>
            </w:r>
          </w:p>
        </w:tc>
        <w:tc>
          <w:tcPr>
            <w:tcW w:w="220" w:type="dxa"/>
            <w:vAlign w:val="bottom"/>
            <w:tcBorders>
              <w:top w:val="single" w:sz="8" w:color="CFF0FC"/>
            </w:tcBorders>
          </w:tcPr>
          <w:p>
            <w:pPr>
              <w:spacing w:after="0"/>
              <w:rPr>
                <w:sz w:val="13"/>
                <w:szCs w:val="13"/>
                <w:color w:val="auto"/>
              </w:rPr>
            </w:pPr>
          </w:p>
        </w:tc>
        <w:tc>
          <w:tcPr>
            <w:tcW w:w="880" w:type="dxa"/>
            <w:vAlign w:val="bottom"/>
            <w:tcBorders>
              <w:top w:val="single" w:sz="8" w:color="CFF0FC"/>
            </w:tcBorders>
          </w:tcPr>
          <w:p>
            <w:pPr>
              <w:jc w:val="center"/>
              <w:spacing w:after="0"/>
              <w:rPr>
                <w:sz w:val="20"/>
                <w:szCs w:val="20"/>
                <w:color w:val="auto"/>
              </w:rPr>
            </w:pPr>
            <w:r>
              <w:rPr>
                <w:rFonts w:ascii="Arial" w:cs="Arial" w:eastAsia="Arial" w:hAnsi="Arial"/>
                <w:sz w:val="13"/>
                <w:szCs w:val="13"/>
                <w:color w:val="auto"/>
                <w:w w:val="92"/>
              </w:rPr>
              <w:t>38%</w:t>
            </w: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24,563</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center"/>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9,260</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15,303</w:t>
            </w:r>
          </w:p>
        </w:tc>
        <w:tc>
          <w:tcPr>
            <w:tcW w:w="200" w:type="dxa"/>
            <w:vAlign w:val="bottom"/>
            <w:tcBorders>
              <w:top w:val="single" w:sz="8" w:color="CFF0FC"/>
            </w:tcBorders>
          </w:tcPr>
          <w:p>
            <w:pPr>
              <w:spacing w:after="0"/>
              <w:rPr>
                <w:sz w:val="13"/>
                <w:szCs w:val="13"/>
                <w:color w:val="auto"/>
              </w:rPr>
            </w:pPr>
          </w:p>
        </w:tc>
        <w:tc>
          <w:tcPr>
            <w:tcW w:w="940" w:type="dxa"/>
            <w:vAlign w:val="bottom"/>
            <w:tcBorders>
              <w:top w:val="single" w:sz="8" w:color="CFF0FC"/>
            </w:tcBorders>
          </w:tcPr>
          <w:p>
            <w:pPr>
              <w:jc w:val="center"/>
              <w:spacing w:after="0"/>
              <w:rPr>
                <w:sz w:val="20"/>
                <w:szCs w:val="20"/>
                <w:color w:val="auto"/>
              </w:rPr>
            </w:pPr>
            <w:r>
              <w:rPr>
                <w:rFonts w:ascii="Arial" w:cs="Arial" w:eastAsia="Arial" w:hAnsi="Arial"/>
                <w:sz w:val="13"/>
                <w:szCs w:val="13"/>
                <w:color w:val="auto"/>
                <w:w w:val="90"/>
              </w:rPr>
              <w:t>165%</w:t>
            </w: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-1379220</wp:posOffset>
            </wp:positionV>
            <wp:extent cx="77470" cy="316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31686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-1379220</wp:posOffset>
            </wp:positionV>
            <wp:extent cx="76835" cy="316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31686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-1379220</wp:posOffset>
            </wp:positionV>
            <wp:extent cx="68580" cy="316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-1379220</wp:posOffset>
            </wp:positionV>
            <wp:extent cx="68580" cy="316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-1379220</wp:posOffset>
            </wp:positionV>
            <wp:extent cx="68580" cy="316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-1379220</wp:posOffset>
            </wp:positionV>
            <wp:extent cx="68580" cy="316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-351155</wp:posOffset>
            </wp:positionV>
            <wp:extent cx="77470" cy="1117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-351155</wp:posOffset>
            </wp:positionV>
            <wp:extent cx="76835" cy="1117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-351155</wp:posOffset>
            </wp:positionV>
            <wp:extent cx="68580" cy="1117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-351155</wp:posOffset>
            </wp:positionV>
            <wp:extent cx="68580" cy="1117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-351155</wp:posOffset>
            </wp:positionV>
            <wp:extent cx="68580" cy="1117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-351155</wp:posOffset>
            </wp:positionV>
            <wp:extent cx="68580" cy="1117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-136525</wp:posOffset>
            </wp:positionV>
            <wp:extent cx="7747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-136525</wp:posOffset>
            </wp:positionV>
            <wp:extent cx="7683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-136525</wp:posOffset>
            </wp:positionV>
            <wp:extent cx="6858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-136525</wp:posOffset>
            </wp:positionV>
            <wp:extent cx="6858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-136525</wp:posOffset>
            </wp:positionV>
            <wp:extent cx="6858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-136525</wp:posOffset>
            </wp:positionV>
            <wp:extent cx="6858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2022 and September 30, 2021</w:t>
      </w:r>
    </w:p>
    <w:p>
      <w:pPr>
        <w:spacing w:after="0" w:line="10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September 30, 2022 and September 30, 2021. For the three months ended September 30, 2022 compared to the three months ended September 30, 2021, revenues increased $11.9 million or 31% due to higher management fees, primarily from the impact of organic 2022 growth.</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Management fees increased $11.5 million, or 30%, to $49.5 million for the three months ended September 30, 2022 as compared to the three months ended September 30, 2021 due to organic growth efforts in 2022. This growth is driven by increases in FPAUM, primarily from additional fund closings and capital raised. Catch up fees during the third quarter of 2022 were $0.8 million associated with fund closings at TrueBridge and RCP. Catch up fees were $1.7 million during the third quarter of 2021 also associated with Truebridge and RCP.</w:t>
      </w:r>
    </w:p>
    <w:p>
      <w:pPr>
        <w:spacing w:after="0" w:line="18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Other revenues, which represent ancillary elements of our business, increased by $0.3 million or 151% to $0.5 million for the three months ended September 30, 2022 as compared to the three months ended September 30, 2021 driven primarily by fund interest income, subscription revenues and ad hoc referral fees.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2022 and September 30, 2021</w:t>
      </w:r>
    </w:p>
    <w:p>
      <w:pPr>
        <w:spacing w:after="0" w:line="1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Total revenues increased $35.1 million, or 33%, to $140.0 million for the nine months ended September 30, 2022 compared to the nine months ended September 30, 2021, due to higher management and advisory fees, largely attributable to organic growth as well as the acquisitions of Hark and Bonaccord on September 30, 2021.</w:t>
      </w:r>
    </w:p>
    <w:p>
      <w:pPr>
        <w:spacing w:after="0" w:line="19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Management fees increased by $34.9 million, or 34%, to $139.0 million for the nine months ended September 30, 2022 as compared to the nine months ended September 30, 2021 due primarily to organic growth of FPAUM, which contributed $27.3 million to management fee and advisory revenues, in total. Revenue also increased by $7.6 million due to the acquisitions of Hark and Bonaccord in September 2021. Catch up fees for the nine months ended September 30, 2022 were $3.3 million associated with the fund closings at TrueBridge and RCP. Catch up fees were $2.9 million during the nine months ended September 30, 2021 also associated with TrueBridge and RCP.</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9" w:name="page40"/>
    <w:bookmarkEnd w:id="39"/>
    <w:p>
      <w:pPr>
        <w:jc w:val="both"/>
        <w:ind w:right="100" w:firstLine="509"/>
        <w:spacing w:after="0" w:line="277" w:lineRule="auto"/>
        <w:rPr>
          <w:sz w:val="20"/>
          <w:szCs w:val="20"/>
          <w:color w:val="auto"/>
        </w:rPr>
      </w:pPr>
      <w:r>
        <w:rPr>
          <w:rFonts w:ascii="Arial" w:cs="Arial" w:eastAsia="Arial" w:hAnsi="Arial"/>
          <w:sz w:val="18"/>
          <w:szCs w:val="18"/>
          <w:color w:val="auto"/>
        </w:rPr>
        <w:t>Other revenues increased by $0.2 million, or 21% to $1.1 million, from the nine months ended September 30, 2022 compared to the nine months ended September 30, 2021. This increase was primarily attributable to fund interest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5"/>
              </w:rPr>
              <w:t>For the Three Months Ended</w:t>
            </w: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For the Nine Months Ended</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Compensation and benefits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23,984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14,055</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9,929</w:t>
            </w:r>
          </w:p>
        </w:tc>
        <w:tc>
          <w:tcPr>
            <w:tcW w:w="22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71 %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60,293</w:t>
            </w:r>
          </w:p>
        </w:tc>
        <w:tc>
          <w:tcPr>
            <w:tcW w:w="3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38,328</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21,965</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4,064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2,901</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1,163</w:t>
            </w:r>
          </w:p>
        </w:tc>
        <w:tc>
          <w:tcPr>
            <w:tcW w:w="22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40 %</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9,416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9,038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378</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General, administrative, and other</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4,031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2,667</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1,364</w:t>
            </w:r>
          </w:p>
        </w:tc>
        <w:tc>
          <w:tcPr>
            <w:tcW w:w="22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51 %</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12,393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6,919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5,474</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Contingent consideration expense</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(26 )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1,406</w:t>
            </w:r>
          </w:p>
        </w:tc>
        <w:tc>
          <w:tcPr>
            <w:tcW w:w="22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(5,408 )%</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1,233</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920 %</w:t>
            </w: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Amortization of intangibles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6,153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7,484</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(1,331 )</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(18 )%</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18,487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22,452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(3,965 )</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Strategic alliance expense</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100 %</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429</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96"/>
        </w:trPr>
        <w:tc>
          <w:tcPr>
            <w:tcW w:w="294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39,736</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27,081</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12,655</w:t>
            </w:r>
          </w:p>
        </w:tc>
        <w:tc>
          <w:tcPr>
            <w:tcW w:w="22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47 %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102,385</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76,871</w:t>
            </w:r>
          </w:p>
        </w:tc>
        <w:tc>
          <w:tcPr>
            <w:tcW w:w="220" w:type="dxa"/>
            <w:vAlign w:val="bottom"/>
            <w:gridSpan w:val="2"/>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25,514</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2022 and September 30, 2021</w:t>
      </w:r>
    </w:p>
    <w:p>
      <w:pPr>
        <w:spacing w:after="0" w:line="104" w:lineRule="exact"/>
        <w:rPr>
          <w:sz w:val="20"/>
          <w:szCs w:val="20"/>
          <w:color w:val="auto"/>
        </w:rPr>
      </w:pPr>
    </w:p>
    <w:p>
      <w:pPr>
        <w:jc w:val="both"/>
        <w:ind w:right="100" w:firstLine="509"/>
        <w:spacing w:after="0" w:line="294" w:lineRule="auto"/>
        <w:rPr>
          <w:sz w:val="20"/>
          <w:szCs w:val="20"/>
          <w:color w:val="auto"/>
        </w:rPr>
      </w:pPr>
      <w:r>
        <w:rPr>
          <w:rFonts w:ascii="Arial" w:cs="Arial" w:eastAsia="Arial" w:hAnsi="Arial"/>
          <w:sz w:val="16"/>
          <w:szCs w:val="16"/>
          <w:color w:val="auto"/>
        </w:rPr>
        <w:t>Total operating expenses increased by $12.7 million, or 47%, to $39.7 million, for the three months ended September 30, 2022 as compared to the three months ended September 30, 2021 primarily driven by increases in compensation and benefits and general and administrative expenses associated with the growth of P10 since acquiring Hark and Bonaccord in September 2021 and D&amp;O insurance driven by the IPO transaction at the end of 2021.</w:t>
      </w:r>
    </w:p>
    <w:p>
      <w:pPr>
        <w:spacing w:after="0" w:line="161" w:lineRule="exact"/>
        <w:rPr>
          <w:sz w:val="20"/>
          <w:szCs w:val="20"/>
          <w:color w:val="auto"/>
        </w:rPr>
      </w:pPr>
    </w:p>
    <w:p>
      <w:pPr>
        <w:jc w:val="both"/>
        <w:ind w:right="100" w:firstLine="509"/>
        <w:spacing w:after="0" w:line="260" w:lineRule="auto"/>
        <w:rPr>
          <w:sz w:val="20"/>
          <w:szCs w:val="20"/>
          <w:color w:val="auto"/>
        </w:rPr>
      </w:pPr>
      <w:r>
        <w:rPr>
          <w:rFonts w:ascii="Arial" w:cs="Arial" w:eastAsia="Arial" w:hAnsi="Arial"/>
          <w:sz w:val="17"/>
          <w:szCs w:val="17"/>
          <w:color w:val="auto"/>
        </w:rPr>
        <w:t>Compensation and benefits expense increased by $9.9 million, or 71%, to $24.0 million for the three months ended September 30, 2022 as compared to the three months ended September 30, 2021. Stock compensation accounts for $7.3 million of the $9.9 million increase. This was driven by RSUs and stock options granted to employees during the fourth quarter of 2021 and the first and third quarter of 2022 as well as RSAs granted in late 2021 and the third quarter of 2022. The Bonaccord and Hark Units discussed in Note 16 account for $4.5 million of the stock compensation expense. There was a $1.1 million increase associated with the acquisitions of Hark and Bonaccord on the last day of the third quarter in 2021. The final driver is a $1.5 million increase associated with an increase in headcount across all subsidiaries.</w:t>
      </w:r>
    </w:p>
    <w:p>
      <w:pPr>
        <w:spacing w:after="0" w:line="187" w:lineRule="exact"/>
        <w:rPr>
          <w:sz w:val="20"/>
          <w:szCs w:val="20"/>
          <w:color w:val="auto"/>
        </w:rPr>
      </w:pPr>
    </w:p>
    <w:p>
      <w:pPr>
        <w:jc w:val="both"/>
        <w:ind w:right="100" w:firstLine="509"/>
        <w:spacing w:after="0" w:line="261" w:lineRule="auto"/>
        <w:rPr>
          <w:sz w:val="20"/>
          <w:szCs w:val="20"/>
          <w:color w:val="auto"/>
        </w:rPr>
      </w:pPr>
      <w:r>
        <w:rPr>
          <w:rFonts w:ascii="Arial" w:cs="Arial" w:eastAsia="Arial" w:hAnsi="Arial"/>
          <w:sz w:val="18"/>
          <w:szCs w:val="18"/>
          <w:color w:val="auto"/>
        </w:rPr>
        <w:t>Professional fees increased by $1.2 million, or 40% to $4.1 million. This is primarily driven by differences in the acquisition structures that were completed in 2021 as compared to 2022.</w:t>
      </w:r>
    </w:p>
    <w:p>
      <w:pPr>
        <w:spacing w:after="0" w:line="171" w:lineRule="exact"/>
        <w:rPr>
          <w:sz w:val="20"/>
          <w:szCs w:val="20"/>
          <w:color w:val="auto"/>
        </w:rPr>
      </w:pPr>
    </w:p>
    <w:p>
      <w:pPr>
        <w:jc w:val="both"/>
        <w:ind w:right="100" w:firstLine="509"/>
        <w:spacing w:after="0" w:line="249" w:lineRule="auto"/>
        <w:rPr>
          <w:sz w:val="20"/>
          <w:szCs w:val="20"/>
          <w:color w:val="auto"/>
        </w:rPr>
      </w:pPr>
      <w:r>
        <w:rPr>
          <w:rFonts w:ascii="Arial" w:cs="Arial" w:eastAsia="Arial" w:hAnsi="Arial"/>
          <w:sz w:val="18"/>
          <w:szCs w:val="18"/>
          <w:color w:val="auto"/>
        </w:rPr>
        <w:t>General, administrative and other increased by $1.4 million, or 51% to $4.0 million and was primarily due to the increase of insurance expense as noted above in D&amp;O insurance driven by the IPO transaction at the end of 2021. This added an additional $0.7 million of expense compared to the third quarter of 2021. The Company entered into two new leases since September 30, 2021 which added an additional $0.3 million of expense. The remaining $0.4 million of additional general and administrative expense is derived from additional information technology expenses and increased travel since last year.</w:t>
      </w:r>
    </w:p>
    <w:p>
      <w:pPr>
        <w:spacing w:after="0" w:line="182" w:lineRule="exact"/>
        <w:rPr>
          <w:sz w:val="20"/>
          <w:szCs w:val="20"/>
          <w:color w:val="auto"/>
        </w:rPr>
      </w:pPr>
    </w:p>
    <w:p>
      <w:pPr>
        <w:jc w:val="both"/>
        <w:ind w:right="100" w:firstLine="509"/>
        <w:spacing w:after="0" w:line="249" w:lineRule="auto"/>
        <w:rPr>
          <w:sz w:val="20"/>
          <w:szCs w:val="20"/>
          <w:color w:val="auto"/>
        </w:rPr>
      </w:pPr>
      <w:r>
        <w:rPr>
          <w:rFonts w:ascii="Arial" w:cs="Arial" w:eastAsia="Arial" w:hAnsi="Arial"/>
          <w:sz w:val="18"/>
          <w:szCs w:val="18"/>
          <w:color w:val="auto"/>
        </w:rPr>
        <w:t>Amortization of intangibles decreased by $1.3 million, or 18% to $6.2 million, for the three months ended September 30, 2022 as compared to the three months ended September 30, 2021. The decrease is driven by an intangible asset that fully amortized in 2021 at RCP and less amortization at ECG in 2022 than in 2021 driven by unique syndication fee contracts. This is offset by added intangible assets at Bonaccord and Hark following their acquisitions in September 2021.</w:t>
      </w:r>
    </w:p>
    <w:p>
      <w:pPr>
        <w:spacing w:after="0" w:line="181" w:lineRule="exact"/>
        <w:rPr>
          <w:sz w:val="20"/>
          <w:szCs w:val="20"/>
          <w:color w:val="auto"/>
        </w:rPr>
      </w:pPr>
    </w:p>
    <w:p>
      <w:pPr>
        <w:jc w:val="both"/>
        <w:ind w:right="100" w:firstLine="509"/>
        <w:spacing w:after="0" w:line="256" w:lineRule="auto"/>
        <w:rPr>
          <w:sz w:val="20"/>
          <w:szCs w:val="20"/>
          <w:color w:val="auto"/>
        </w:rPr>
      </w:pPr>
      <w:r>
        <w:rPr>
          <w:rFonts w:ascii="Arial" w:cs="Arial" w:eastAsia="Arial" w:hAnsi="Arial"/>
          <w:sz w:val="18"/>
          <w:szCs w:val="18"/>
          <w:color w:val="auto"/>
        </w:rPr>
        <w:t>Contingent consideration increased by $1.4 million for the three months ended September 30, 2022 as compared to the three months ended September 30, 2021. This increase is driven by the quarterly revaluations of Hark and Bonaccord contingent consideration, which was part of the acquisition in September 2021.</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SAA at Bonaccord added an additional $0.1 million of expense in the third quarter of 2022. Refer to Note 5 for further discussion.</w:t>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Nine Months Ended September 30, 2022 and September 30, 2021</w:t>
      </w:r>
    </w:p>
    <w:p>
      <w:pPr>
        <w:spacing w:after="0" w:line="117"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Total operating expenses increased by $25.5 million, or 33%, to $102.4 million for the nine months ended September 30, 2022 compared to the nine months ended September 30, 2021. This increase was primarily due to increases in compensation and benefits and general and administrative expenses and offset by a decrease in amortization expense of intangible assets. This is primarily driven by increases in stock compensation associated with RSU, RSA and stock option grants at the end of 2021 and beginning of 2022 and the third quarter of 2022 as well as insurance expense associated with D&amp;O insurance driven by the IPO transaction at the end of 2021. The acquisitions of Hark and Bonaccord in September 2021 also contributed to these increases.</w:t>
      </w:r>
    </w:p>
    <w:p>
      <w:pPr>
        <w:spacing w:after="0" w:line="15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Compensation and benefits expense increased by $22.0 million, or 57%, to $60.3 million, for the nine months ended September 30, 2022 compared to the nine months ended September 30, 2021. The acquisitions of Hark and Bonaccord made up $5.3 million of this increase. Another $11.3 million consisted of stock compensation expense related to RSUs and stock options issued to employees during the fourth quarter of 2021 and the first and third quarters of 2022 as well as RSAs issued in late 2021 and the third quarter of 2022. Of the $11.3 million of stock compensation expense, $4.5 million relates to the Bonaccord and Hark Units discussed in Note 16. There was a $1.6 million increase associated with the build out of P10 back office to meet compliance needs of a public company. An additional $2.1 million related to increases in headcount across all subsidiaries. Finally, Five Points made a $1.7 million one-time payment to buyout the employment contracts for the prior partners during the first quarter of 2022.</w:t>
      </w:r>
    </w:p>
    <w:p>
      <w:pPr>
        <w:spacing w:after="0" w:line="17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Professional fees increased by $0.4 million, or 4%, to $9.4 million primarily due to differences in the acquisition structures that were completed in 2021 as compared to 2022.</w:t>
      </w:r>
    </w:p>
    <w:p>
      <w:pPr>
        <w:spacing w:after="0" w:line="15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General, administrative and other increased by $5.5 million, or 79% to $12.4 million. The acquisitions of Hark and Bonaccord added an additional $2.3 million of expense for the nine months ended September 30, 2022 as compared to the nine months ended September 30, 2021. As previously mentioned, D&amp;O insurance added an additional $1.9 million of expense related to the IPO transaction. Additional office space in New York added $0.8 million of rent expense. The additional $0.5 million of expense relates to increased costs associated with expanded headcount and increased travel expenses.</w:t>
      </w:r>
    </w:p>
    <w:p>
      <w:pPr>
        <w:spacing w:after="0" w:line="19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Amortization of intangibles decreased by $4.0 million, or 18%, to $18.5 million, for the nine months ended September 30, 2022 as compared to the nine months ended September 30, 2021. The decrease is driven by a fully amortized intangible asset at RCP and less amortization at ECG in 2022 than in 2021 driven by unique syndication fee contracts. This is offset by added intangible assets at Bonaccord and Hark following their acquisitions in September 2021.</w:t>
      </w:r>
    </w:p>
    <w:p>
      <w:pPr>
        <w:spacing w:after="0" w:line="18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Contingent consideration increased by $1.2 million to $1.4 million for the nine months ended September 30, 2022 as compared to the nine months ended September 30, 2021. This increase is driven by the quarterly revaluations of Hark and Bonaccord contingent consideration, which was part of the acquisition in September 2021.</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SAA at Bonaccord added an additional $0.4 million of expense in 2022. Refer to Note 5 for further discussion.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2022 and September 30, 2021</w:t>
      </w:r>
    </w:p>
    <w:p>
      <w:pPr>
        <w:spacing w:after="0" w:line="11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Other expenses decreased $3.1 million, or 58%, to $2.2 million for the three months ended September 30, 2022 compared to the three months ended September 30, 2021. This decrease was primarily due to a $2.9 million decrease in interest expense related to the extinguishment and replacement of the credit and guaranty facility with the revolver and term loan facility. The credit and guaranty facility incurred interest at a rate of 7%. This was replaced with the revolving credit facility and term loan which incurs interest at a base rate of 2.1% plus SOFR. The decline in interest expense for the three months ended September 30 2022, as compared to the three months ended September 30, 2021 is a function both of lower interest rates as well as $111.9 million less in outstanding interest-bearing principal as of September 30, 2022. The lower principal balance was a result of the paydown of debt with IPO proceeds and operating cash flow during the last year.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2022 and September 30, 2021</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Other expenses decreased by $11.7 million, or 75%, to $4.0 million for the nine months ended September 30, 2022 compared to the nine months ended September 30, 2021. This decrease was primarily due to a $10.5 million decrease in interest expense related to the debt refinance mentioned in the above paragraph that took place in December 2021. Other income increased by $0.5 million driven by ECG’s increased income from unconsolidated subsidiaries in the first nine months of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Income Tax/Benefit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2022 and September 30, 2021</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Income tax expense increased by $0.7 million to $2.5 million for the three months ended September 30, 2022 compared to the three months ended September 30, 2021 due primarily to higher expected future net income during the 2022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2022 and September 30, 2021</w:t>
      </w:r>
    </w:p>
    <w:p>
      <w:pPr>
        <w:spacing w:after="0" w:line="104"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Income tax expense increased by $5.9 million to $9.1 million for the nine months ended September 30, 2022 compared to an expense of $3.2 million for the nine months ended September 30, 2021. The increase was primarily due to higher expected future net income during 2022.</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FPAUM</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provides a period-to-period roll-forward of our fee earning AUM on a pro forma basis as if Hark and Bonaccord were acquired on January 1, 2021.</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For the Three</w:t>
            </w:r>
          </w:p>
        </w:tc>
        <w:tc>
          <w:tcPr>
            <w:tcW w:w="1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For the Three Months</w:t>
            </w: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For the Nine Months</w:t>
            </w: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 the Nine Months</w:t>
            </w:r>
          </w:p>
        </w:tc>
      </w:tr>
      <w:tr>
        <w:trPr>
          <w:trHeight w:val="175"/>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2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5"/>
                <w:szCs w:val="15"/>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r>
      <w:tr>
        <w:trPr>
          <w:trHeight w:val="176"/>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5"/>
                <w:szCs w:val="15"/>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185"/>
        </w:trPr>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r>
      <w:tr>
        <w:trPr>
          <w:trHeight w:val="169"/>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4"/>
                <w:szCs w:val="14"/>
                <w:color w:val="auto"/>
              </w:rPr>
            </w:pPr>
          </w:p>
        </w:tc>
      </w:tr>
      <w:tr>
        <w:trPr>
          <w:trHeight w:val="216"/>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13,351</w:t>
            </w:r>
          </w:p>
        </w:tc>
        <w:tc>
          <w:tcPr>
            <w:tcW w:w="80" w:type="dxa"/>
            <w:vAlign w:val="bottom"/>
            <w:shd w:val="clear" w:color="auto" w:fill="CFF0FC"/>
          </w:tcPr>
          <w:p>
            <w:pPr>
              <w:spacing w:after="0"/>
              <w:rPr>
                <w:sz w:val="18"/>
                <w:szCs w:val="18"/>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2,771</w:t>
            </w:r>
          </w:p>
        </w:tc>
        <w:tc>
          <w:tcPr>
            <w:tcW w:w="80" w:type="dxa"/>
            <w:vAlign w:val="bottom"/>
          </w:tcPr>
          <w:p>
            <w:pPr>
              <w:spacing w:after="0"/>
              <w:rPr>
                <w:sz w:val="18"/>
                <w:szCs w:val="18"/>
                <w:color w:val="auto"/>
              </w:rPr>
            </w:pPr>
          </w:p>
        </w:tc>
      </w:tr>
      <w:tr>
        <w:trPr>
          <w:trHeight w:val="216"/>
        </w:trPr>
        <w:tc>
          <w:tcPr>
            <w:tcW w:w="2900" w:type="dxa"/>
            <w:vAlign w:val="bottom"/>
            <w:shd w:val="clear" w:color="auto" w:fill="CFF0FC"/>
          </w:tcPr>
          <w:p>
            <w:pPr>
              <w:ind w:left="360"/>
              <w:spacing w:after="0" w:line="216"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FF0FC"/>
          </w:tcPr>
          <w:p>
            <w:pPr>
              <w:spacing w:after="0"/>
              <w:rPr>
                <w:sz w:val="18"/>
                <w:szCs w:val="18"/>
                <w:color w:val="auto"/>
              </w:rPr>
            </w:pPr>
          </w:p>
        </w:tc>
      </w:tr>
      <w:tr>
        <w:trPr>
          <w:trHeight w:val="216"/>
        </w:trPr>
        <w:tc>
          <w:tcPr>
            <w:tcW w:w="290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r>
      <w:tr>
        <w:trPr>
          <w:trHeight w:val="216"/>
        </w:trPr>
        <w:tc>
          <w:tcPr>
            <w:tcW w:w="2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Scheduled fee base stepdowns</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(353 )</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(79 )</w:t>
            </w: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(462 )</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(241 )</w:t>
            </w:r>
          </w:p>
        </w:tc>
      </w:tr>
      <w:tr>
        <w:trPr>
          <w:trHeight w:val="216"/>
        </w:trPr>
        <w:tc>
          <w:tcPr>
            <w:tcW w:w="2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Expiration of fee period</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(19 )</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(18 )</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(603 )</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(61 )</w:t>
            </w:r>
          </w:p>
        </w:tc>
      </w:tr>
      <w:tr>
        <w:trPr>
          <w:trHeight w:val="210"/>
        </w:trPr>
        <w:tc>
          <w:tcPr>
            <w:tcW w:w="29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8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-153670</wp:posOffset>
            </wp:positionV>
            <wp:extent cx="60325"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-153670</wp:posOffset>
            </wp:positionV>
            <wp:extent cx="60325"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-153670</wp:posOffset>
            </wp:positionV>
            <wp:extent cx="60325"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-153670</wp:posOffset>
            </wp:positionV>
            <wp:extent cx="5143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154305"/>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11"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spacing w:after="0" w:line="7"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asset value change consists primarily of the impact of market value appreciation (depreciation) from funds that earn fees on a net asset value</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basis.</w:t>
      </w: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2" w:name="page43"/>
    <w:bookmarkEnd w:id="42"/>
    <w:p>
      <w:pPr>
        <w:ind w:left="520"/>
        <w:spacing w:after="0"/>
        <w:rPr>
          <w:sz w:val="20"/>
          <w:szCs w:val="20"/>
          <w:color w:val="auto"/>
        </w:rPr>
      </w:pPr>
      <w:r>
        <w:rPr>
          <w:rFonts w:ascii="Arial" w:cs="Arial" w:eastAsia="Arial" w:hAnsi="Arial"/>
          <w:sz w:val="18"/>
          <w:szCs w:val="18"/>
          <w:color w:val="auto"/>
        </w:rPr>
        <w:t>The following table provides a period-to-period roll-forward of our fee-earning AUM on an actual basis.</w:t>
      </w:r>
    </w:p>
    <w:p>
      <w:pPr>
        <w:spacing w:after="0" w:line="204"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For the Three Months</w:t>
            </w:r>
          </w:p>
        </w:tc>
        <w:tc>
          <w:tcPr>
            <w:tcW w:w="10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For the Three Months</w:t>
            </w:r>
          </w:p>
        </w:tc>
        <w:tc>
          <w:tcPr>
            <w:tcW w:w="1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For the Nine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For the Nine</w:t>
            </w:r>
          </w:p>
        </w:tc>
      </w:tr>
      <w:tr>
        <w:trPr>
          <w:trHeight w:val="176"/>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5"/>
                <w:szCs w:val="15"/>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Months Ended</w:t>
            </w: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Months Ended</w:t>
            </w:r>
          </w:p>
        </w:tc>
      </w:tr>
      <w:tr>
        <w:trPr>
          <w:trHeight w:val="175"/>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5"/>
                <w:szCs w:val="15"/>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85"/>
        </w:trPr>
        <w:tc>
          <w:tcPr>
            <w:tcW w:w="2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r>
      <w:tr>
        <w:trPr>
          <w:trHeight w:val="169"/>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4"/>
                <w:szCs w:val="14"/>
                <w:color w:val="auto"/>
              </w:rPr>
            </w:pPr>
          </w:p>
        </w:tc>
      </w:tr>
      <w:tr>
        <w:trPr>
          <w:trHeight w:val="216"/>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12,706</w:t>
            </w:r>
          </w:p>
        </w:tc>
        <w:tc>
          <w:tcPr>
            <w:tcW w:w="80" w:type="dxa"/>
            <w:vAlign w:val="bottom"/>
            <w:shd w:val="clear" w:color="auto" w:fill="CFF0FC"/>
          </w:tcPr>
          <w:p>
            <w:pPr>
              <w:spacing w:after="0"/>
              <w:rPr>
                <w:sz w:val="18"/>
                <w:szCs w:val="18"/>
                <w:color w:val="auto"/>
              </w:rPr>
            </w:pPr>
          </w:p>
        </w:tc>
      </w:tr>
      <w:tr>
        <w:trPr>
          <w:trHeight w:val="216"/>
        </w:trPr>
        <w:tc>
          <w:tcPr>
            <w:tcW w:w="2920" w:type="dxa"/>
            <w:vAlign w:val="bottom"/>
          </w:tcPr>
          <w:p>
            <w:pPr>
              <w:ind w:left="200"/>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Acquisitions</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FF0FC"/>
          </w:tcPr>
          <w:p>
            <w:pPr>
              <w:spacing w:after="0"/>
              <w:rPr>
                <w:sz w:val="18"/>
                <w:szCs w:val="18"/>
                <w:color w:val="auto"/>
              </w:rPr>
            </w:pPr>
          </w:p>
        </w:tc>
      </w:tr>
      <w:tr>
        <w:trPr>
          <w:trHeight w:val="216"/>
        </w:trPr>
        <w:tc>
          <w:tcPr>
            <w:tcW w:w="2920" w:type="dxa"/>
            <w:vAlign w:val="bottom"/>
          </w:tcPr>
          <w:p>
            <w:pPr>
              <w:ind w:left="380"/>
              <w:spacing w:after="0" w:line="216"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2,443</w:t>
            </w:r>
          </w:p>
        </w:tc>
        <w:tc>
          <w:tcPr>
            <w:tcW w:w="80" w:type="dxa"/>
            <w:vAlign w:val="bottom"/>
          </w:tcPr>
          <w:p>
            <w:pPr>
              <w:spacing w:after="0"/>
              <w:rPr>
                <w:sz w:val="18"/>
                <w:szCs w:val="18"/>
                <w:color w:val="auto"/>
              </w:rPr>
            </w:pPr>
          </w:p>
        </w:tc>
      </w:tr>
      <w:tr>
        <w:trPr>
          <w:trHeight w:val="216"/>
        </w:trPr>
        <w:tc>
          <w:tcPr>
            <w:tcW w:w="2920" w:type="dxa"/>
            <w:vAlign w:val="bottom"/>
            <w:shd w:val="clear" w:color="auto" w:fill="CFF0FC"/>
          </w:tcPr>
          <w:p>
            <w:pPr>
              <w:ind w:left="380"/>
              <w:spacing w:after="0" w:line="216"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FF0FC"/>
          </w:tcPr>
          <w:p>
            <w:pPr>
              <w:spacing w:after="0"/>
              <w:rPr>
                <w:sz w:val="18"/>
                <w:szCs w:val="18"/>
                <w:color w:val="auto"/>
              </w:rPr>
            </w:pPr>
          </w:p>
        </w:tc>
      </w:tr>
      <w:tr>
        <w:trPr>
          <w:trHeight w:val="216"/>
        </w:trPr>
        <w:tc>
          <w:tcPr>
            <w:tcW w:w="2920" w:type="dxa"/>
            <w:vAlign w:val="bottom"/>
          </w:tcPr>
          <w:p>
            <w:pPr>
              <w:ind w:left="380"/>
              <w:spacing w:after="0" w:line="216"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2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r>
      <w:tr>
        <w:trPr>
          <w:trHeight w:val="216"/>
        </w:trPr>
        <w:tc>
          <w:tcPr>
            <w:tcW w:w="2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75"/>
        </w:trPr>
        <w:tc>
          <w:tcPr>
            <w:tcW w:w="2920" w:type="dxa"/>
            <w:vAlign w:val="bottom"/>
          </w:tcPr>
          <w:p>
            <w:pPr>
              <w:ind w:left="380"/>
              <w:spacing w:after="0" w:line="175" w:lineRule="exact"/>
              <w:rPr>
                <w:sz w:val="20"/>
                <w:szCs w:val="20"/>
                <w:color w:val="auto"/>
              </w:rPr>
            </w:pPr>
            <w:r>
              <w:rPr>
                <w:rFonts w:ascii="Arial" w:cs="Arial" w:eastAsia="Arial" w:hAnsi="Arial"/>
                <w:sz w:val="18"/>
                <w:szCs w:val="18"/>
                <w:color w:val="auto"/>
              </w:rPr>
              <w:t>Scheduled fee base</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2920" w:type="dxa"/>
            <w:vAlign w:val="bottom"/>
          </w:tcPr>
          <w:p>
            <w:pPr>
              <w:ind w:left="380"/>
              <w:spacing w:after="0"/>
              <w:rPr>
                <w:sz w:val="20"/>
                <w:szCs w:val="20"/>
                <w:color w:val="auto"/>
              </w:rPr>
            </w:pPr>
            <w:r>
              <w:rPr>
                <w:rFonts w:ascii="Arial" w:cs="Arial" w:eastAsia="Arial" w:hAnsi="Arial"/>
                <w:sz w:val="18"/>
                <w:szCs w:val="18"/>
                <w:color w:val="auto"/>
              </w:rPr>
              <w:t>stepdowns</w:t>
            </w:r>
          </w:p>
        </w:tc>
        <w:tc>
          <w:tcPr>
            <w:tcW w:w="22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(353 )</w:t>
            </w:r>
          </w:p>
        </w:tc>
        <w:tc>
          <w:tcPr>
            <w:tcW w:w="10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(73 )</w:t>
            </w:r>
          </w:p>
        </w:tc>
        <w:tc>
          <w:tcPr>
            <w:tcW w:w="14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(462 )</w:t>
            </w: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(183 )</w:t>
            </w:r>
          </w:p>
        </w:tc>
      </w:tr>
      <w:tr>
        <w:trPr>
          <w:trHeight w:val="216"/>
        </w:trPr>
        <w:tc>
          <w:tcPr>
            <w:tcW w:w="2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Expiration of fee period</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(45 )</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(603 )</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(61 )</w:t>
            </w:r>
          </w:p>
        </w:tc>
      </w:tr>
      <w:tr>
        <w:trPr>
          <w:trHeight w:val="209"/>
        </w:trPr>
        <w:tc>
          <w:tcPr>
            <w:tcW w:w="29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8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-153670</wp:posOffset>
            </wp:positionV>
            <wp:extent cx="6032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-153670</wp:posOffset>
            </wp:positionV>
            <wp:extent cx="60325"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-153670</wp:posOffset>
            </wp:positionV>
            <wp:extent cx="51435"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-153670</wp:posOffset>
            </wp:positionV>
            <wp:extent cx="51435"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154305"/>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23" w:lineRule="exact"/>
        <w:rPr>
          <w:rFonts w:ascii="Arial" w:cs="Arial" w:eastAsia="Arial" w:hAnsi="Arial"/>
          <w:sz w:val="18"/>
          <w:szCs w:val="18"/>
          <w:color w:val="auto"/>
        </w:rPr>
      </w:pPr>
    </w:p>
    <w:p>
      <w:pPr>
        <w:ind w:left="520" w:hanging="512"/>
        <w:spacing w:after="0" w:line="236"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ind w:left="520" w:hanging="512"/>
        <w:spacing w:after="0" w:line="24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FPAUM as of September 30, 2022</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FPAUM increased $0.5 billion, or 2.7%, to $19.0 billion on a pro forma basis and actual basis for the three months ended September 30, 2022. This increase is due primarily to an increase in capital raised from our private equity and venture capital solutions. FPAUM increased $1.7 billion, or 9.8%, to $19.0 billion on a pro forma basis and $1.7 billion or 9.8% to $19.0 billion on an actual basis for the nine months ended September 30, 2022, due primarily to an increase in capital raised from our private equity and venture capital solutions.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1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8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order to compute Adjusted EBITDA, we adjust our GAAP net income for the following items:</w:t>
      </w:r>
    </w:p>
    <w:p>
      <w:pPr>
        <w:spacing w:after="0" w:line="104" w:lineRule="exact"/>
        <w:rPr>
          <w:sz w:val="20"/>
          <w:szCs w:val="20"/>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that typically do not require us to pay them in cash in the current period (such as depreciation, amortization and stock-based compensation),</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financing our business,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Acquisition-related expenses which reflects the actual costs incurred during the period for the acquisition of new businesses, which primarily consists of fees for professional services including legal, accounting, and advisory,</w:t>
      </w:r>
    </w:p>
    <w:p>
      <w:pPr>
        <w:spacing w:after="0" w:line="48" w:lineRule="exact"/>
        <w:rPr>
          <w:rFonts w:ascii="Arial" w:cs="Arial" w:eastAsia="Arial" w:hAnsi="Arial"/>
          <w:sz w:val="18"/>
          <w:szCs w:val="18"/>
          <w:color w:val="auto"/>
        </w:rPr>
      </w:pPr>
    </w:p>
    <w:p>
      <w:pPr>
        <w:jc w:val="both"/>
        <w:ind w:left="1020" w:hanging="503"/>
        <w:spacing w:after="0" w:line="25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Registration-related expenses includes professional services associated with our prospectus process incurred during the period, and does not reflect expected regulatory, compliance, and other costs associated with those that were incurred subsequent to our Initial Public Offering, and</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income taxes.</w:t>
      </w:r>
    </w:p>
    <w:p>
      <w:pPr>
        <w:spacing w:after="0" w:line="21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Adjusted Net Income in 2021 reflects the cash payments made for interest, which differs significantly from total interest expense that includes non-cash interest on the non-interest-bearing Seller Notes related to our acquisitions of RCP 2 and RCP 3 that existed. Similarly, the cash income taxes paid during the 2022 and 2021 periods differ significantly from the net income tax expense, which is primarily comprised of deferred tax expense as described in the results of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5"/>
          </w:tcPr>
          <w:p>
            <w:pPr>
              <w:ind w:left="920"/>
              <w:spacing w:after="0"/>
              <w:rPr>
                <w:sz w:val="20"/>
                <w:szCs w:val="20"/>
                <w:color w:val="auto"/>
              </w:rPr>
            </w:pPr>
            <w:r>
              <w:rPr>
                <w:rFonts w:ascii="Arial" w:cs="Arial" w:eastAsia="Arial" w:hAnsi="Arial"/>
                <w:sz w:val="14"/>
                <w:szCs w:val="14"/>
                <w:b w:val="1"/>
                <w:bCs w:val="1"/>
                <w:color w:val="auto"/>
              </w:rPr>
              <w:t>For the Three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For the Nine Months</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5"/>
          </w:tcPr>
          <w:p>
            <w:pPr>
              <w:ind w:left="880"/>
              <w:spacing w:after="0"/>
              <w:rPr>
                <w:sz w:val="20"/>
                <w:szCs w:val="20"/>
                <w:color w:val="auto"/>
              </w:rPr>
            </w:pPr>
            <w:r>
              <w:rPr>
                <w:rFonts w:ascii="Arial" w:cs="Arial" w:eastAsia="Arial" w:hAnsi="Arial"/>
                <w:sz w:val="14"/>
                <w:szCs w:val="14"/>
                <w:b w:val="1"/>
                <w:bCs w:val="1"/>
                <w:color w:val="auto"/>
              </w:rPr>
              <w:t>Months Ended</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4"/>
          </w:tcPr>
          <w:p>
            <w:pPr>
              <w:jc w:val="center"/>
              <w:ind w:left="655"/>
              <w:spacing w:after="0"/>
              <w:rPr>
                <w:sz w:val="20"/>
                <w:szCs w:val="20"/>
                <w:color w:val="auto"/>
              </w:rPr>
            </w:pPr>
            <w:r>
              <w:rPr>
                <w:rFonts w:ascii="Arial" w:cs="Arial" w:eastAsia="Arial" w:hAnsi="Arial"/>
                <w:sz w:val="14"/>
                <w:szCs w:val="14"/>
                <w:b w:val="1"/>
                <w:bCs w:val="1"/>
                <w:color w:val="auto"/>
                <w:w w:val="93"/>
              </w:rPr>
              <w:t>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left="655"/>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900"/>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3"/>
          </w:tcPr>
          <w:p>
            <w:pPr>
              <w:jc w:val="center"/>
              <w:ind w:right="19"/>
              <w:spacing w:after="0"/>
              <w:rPr>
                <w:sz w:val="20"/>
                <w:szCs w:val="20"/>
                <w:color w:val="auto"/>
              </w:rPr>
            </w:pPr>
            <w:r>
              <w:rPr>
                <w:rFonts w:ascii="Arial" w:cs="Arial" w:eastAsia="Arial" w:hAnsi="Arial"/>
                <w:sz w:val="14"/>
                <w:szCs w:val="14"/>
                <w:b w:val="1"/>
                <w:bCs w:val="1"/>
                <w:color w:val="auto"/>
                <w:w w:val="76"/>
              </w:rPr>
              <w:t>thousands)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35"/>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w w:val="74"/>
              </w:rPr>
              <w:t>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5,617</w:t>
            </w: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24,563</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Add back (subtract):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&amp; amortization</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6,284</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18,824</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2,358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9,102</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Non-recurring expenses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3,779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Non-cash stock based compensation</w:t>
            </w: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7,266</w:t>
            </w: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11,498</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27,772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75,972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Less:</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Cash interest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88"/>
              <w:spacing w:after="0"/>
              <w:rPr>
                <w:sz w:val="20"/>
                <w:szCs w:val="20"/>
                <w:color w:val="auto"/>
              </w:rPr>
            </w:pPr>
            <w:r>
              <w:rPr>
                <w:rFonts w:ascii="Arial" w:cs="Arial" w:eastAsia="Arial" w:hAnsi="Arial"/>
                <w:sz w:val="18"/>
                <w:szCs w:val="18"/>
                <w:color w:val="auto"/>
              </w:rPr>
              <w:t>(2,332 )</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(4,555 )</w:t>
            </w:r>
          </w:p>
        </w:tc>
        <w:tc>
          <w:tcPr>
            <w:tcW w:w="24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(4,622 )</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(13,712 )</w:t>
            </w:r>
          </w:p>
        </w:tc>
        <w:tc>
          <w:tcPr>
            <w:tcW w:w="0" w:type="dxa"/>
            <w:vAlign w:val="bottom"/>
          </w:tcPr>
          <w:p>
            <w:pPr>
              <w:spacing w:after="0"/>
              <w:rPr>
                <w:sz w:val="1"/>
                <w:szCs w:val="1"/>
                <w:color w:val="auto"/>
              </w:rPr>
            </w:pPr>
          </w:p>
        </w:tc>
      </w:tr>
      <w:tr>
        <w:trPr>
          <w:trHeight w:val="175"/>
        </w:trPr>
        <w:tc>
          <w:tcPr>
            <w:tcW w:w="49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Cash income taxes, net of taxes related to</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gridSpan w:val="3"/>
            <w:vMerge w:val="restart"/>
            <w:shd w:val="clear" w:color="auto" w:fill="CFF0FC"/>
          </w:tcPr>
          <w:p>
            <w:pPr>
              <w:jc w:val="right"/>
              <w:ind w:right="88"/>
              <w:spacing w:after="0"/>
              <w:rPr>
                <w:sz w:val="20"/>
                <w:szCs w:val="20"/>
                <w:color w:val="auto"/>
              </w:rPr>
            </w:pPr>
            <w:r>
              <w:rPr>
                <w:rFonts w:ascii="Arial" w:cs="Arial" w:eastAsia="Arial" w:hAnsi="Arial"/>
                <w:sz w:val="18"/>
                <w:szCs w:val="18"/>
                <w:color w:val="auto"/>
              </w:rPr>
              <w:t>(310 )</w:t>
            </w:r>
          </w:p>
        </w:tc>
        <w:tc>
          <w:tcPr>
            <w:tcW w:w="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(1,046 )</w:t>
            </w:r>
          </w:p>
        </w:tc>
        <w:tc>
          <w:tcPr>
            <w:tcW w:w="240" w:type="dxa"/>
            <w:vAlign w:val="bottom"/>
            <w:shd w:val="clear" w:color="auto" w:fill="CFF0FC"/>
          </w:tcPr>
          <w:p>
            <w:pPr>
              <w:spacing w:after="0"/>
              <w:rPr>
                <w:sz w:val="15"/>
                <w:szCs w:val="15"/>
                <w:color w:val="auto"/>
              </w:rPr>
            </w:pPr>
          </w:p>
        </w:tc>
        <w:tc>
          <w:tcPr>
            <w:tcW w:w="134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(738 )</w:t>
            </w:r>
          </w:p>
        </w:tc>
        <w:tc>
          <w:tcPr>
            <w:tcW w:w="360" w:type="dxa"/>
            <w:vAlign w:val="bottom"/>
            <w:shd w:val="clear" w:color="auto" w:fill="CFF0FC"/>
          </w:tcPr>
          <w:p>
            <w:pPr>
              <w:spacing w:after="0"/>
              <w:rPr>
                <w:sz w:val="15"/>
                <w:szCs w:val="15"/>
                <w:color w:val="auto"/>
              </w:rPr>
            </w:pPr>
          </w:p>
        </w:tc>
        <w:tc>
          <w:tcPr>
            <w:tcW w:w="11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(2,192 )</w:t>
            </w:r>
          </w:p>
        </w:tc>
        <w:tc>
          <w:tcPr>
            <w:tcW w:w="0" w:type="dxa"/>
            <w:vAlign w:val="bottom"/>
          </w:tcPr>
          <w:p>
            <w:pPr>
              <w:spacing w:after="0"/>
              <w:rPr>
                <w:sz w:val="1"/>
                <w:szCs w:val="1"/>
                <w:color w:val="auto"/>
              </w:rPr>
            </w:pPr>
          </w:p>
        </w:tc>
      </w:tr>
      <w:tr>
        <w:trPr>
          <w:trHeight w:val="217"/>
        </w:trPr>
        <w:tc>
          <w:tcPr>
            <w:tcW w:w="49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acquisitions</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3"/>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3"/>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25,130</w:t>
            </w:r>
          </w:p>
        </w:tc>
        <w:tc>
          <w:tcPr>
            <w:tcW w:w="2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16,156</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70,612</w:t>
            </w:r>
          </w:p>
        </w:tc>
        <w:tc>
          <w:tcPr>
            <w:tcW w:w="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40,867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200" w:type="dxa"/>
            <w:vAlign w:val="bottom"/>
            <w:gridSpan w:val="10"/>
          </w:tcPr>
          <w:p>
            <w:pPr>
              <w:jc w:val="center"/>
              <w:ind w:left="2950"/>
              <w:spacing w:after="0"/>
              <w:rPr>
                <w:sz w:val="20"/>
                <w:szCs w:val="20"/>
                <w:color w:val="auto"/>
              </w:rPr>
            </w:pPr>
            <w:r>
              <w:rPr>
                <w:rFonts w:ascii="Arial" w:cs="Arial" w:eastAsia="Arial" w:hAnsi="Arial"/>
                <w:sz w:val="18"/>
                <w:szCs w:val="18"/>
                <w:b w:val="1"/>
                <w:bCs w:val="1"/>
                <w:color w:val="auto"/>
                <w:w w:val="90"/>
              </w:rPr>
              <w:t>Financial Position, Liquidity and Capital Resources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Selected Statements of Financial Position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368"/>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jc w:val="center"/>
              <w:ind w:right="368"/>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5"/>
                <w:szCs w:val="15"/>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53"/>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ind w:left="880"/>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w w:val="74"/>
              </w:rPr>
              <w:t>thousands)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(including restricted cash)</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19,415</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center"/>
              <w:ind w:right="21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(21,501 )</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ind w:right="172"/>
              <w:spacing w:after="0"/>
              <w:rPr>
                <w:sz w:val="20"/>
                <w:szCs w:val="20"/>
                <w:color w:val="auto"/>
              </w:rPr>
            </w:pPr>
            <w:r>
              <w:rPr>
                <w:rFonts w:ascii="Arial" w:cs="Arial" w:eastAsia="Arial" w:hAnsi="Arial"/>
                <w:sz w:val="18"/>
                <w:szCs w:val="18"/>
                <w:color w:val="auto"/>
                <w:w w:val="95"/>
              </w:rPr>
              <w:t>(53)%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Goodwill and other intangibles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529,139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547,489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(18,350 )</w:t>
            </w:r>
          </w:p>
        </w:tc>
        <w:tc>
          <w:tcPr>
            <w:tcW w:w="360" w:type="dxa"/>
            <w:vAlign w:val="bottom"/>
          </w:tcPr>
          <w:p>
            <w:pPr>
              <w:spacing w:after="0"/>
              <w:rPr>
                <w:sz w:val="18"/>
                <w:szCs w:val="18"/>
                <w:color w:val="auto"/>
              </w:rPr>
            </w:pPr>
          </w:p>
        </w:tc>
        <w:tc>
          <w:tcPr>
            <w:tcW w:w="1000" w:type="dxa"/>
            <w:vAlign w:val="bottom"/>
          </w:tcPr>
          <w:p>
            <w:pPr>
              <w:jc w:val="center"/>
              <w:ind w:right="152"/>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648,287</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676,217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(27,930 )</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ind w:right="152"/>
              <w:spacing w:after="0"/>
              <w:rPr>
                <w:sz w:val="20"/>
                <w:szCs w:val="20"/>
                <w:color w:val="auto"/>
              </w:rPr>
            </w:pPr>
            <w:r>
              <w:rPr>
                <w:rFonts w:ascii="Arial" w:cs="Arial" w:eastAsia="Arial" w:hAnsi="Arial"/>
                <w:sz w:val="18"/>
                <w:szCs w:val="18"/>
                <w:color w:val="auto"/>
                <w:w w:val="94"/>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Debt obligations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170,774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212,496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(41,722 )</w:t>
            </w:r>
          </w:p>
        </w:tc>
        <w:tc>
          <w:tcPr>
            <w:tcW w:w="360" w:type="dxa"/>
            <w:vAlign w:val="bottom"/>
          </w:tcPr>
          <w:p>
            <w:pPr>
              <w:spacing w:after="0"/>
              <w:rPr>
                <w:sz w:val="18"/>
                <w:szCs w:val="18"/>
                <w:color w:val="auto"/>
              </w:rPr>
            </w:pPr>
          </w:p>
        </w:tc>
        <w:tc>
          <w:tcPr>
            <w:tcW w:w="1000" w:type="dxa"/>
            <w:vAlign w:val="bottom"/>
          </w:tcPr>
          <w:p>
            <w:pPr>
              <w:jc w:val="center"/>
              <w:ind w:right="172"/>
              <w:spacing w:after="0"/>
              <w:rPr>
                <w:sz w:val="20"/>
                <w:szCs w:val="20"/>
                <w:color w:val="auto"/>
              </w:rPr>
            </w:pPr>
            <w:r>
              <w:rPr>
                <w:rFonts w:ascii="Arial" w:cs="Arial" w:eastAsia="Arial" w:hAnsi="Arial"/>
                <w:sz w:val="18"/>
                <w:szCs w:val="18"/>
                <w:color w:val="auto"/>
                <w:w w:val="95"/>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407,212</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center"/>
              <w:ind w:right="21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395,164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12,048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ind w:right="152"/>
              <w:spacing w:after="0"/>
              <w:rPr>
                <w:sz w:val="20"/>
                <w:szCs w:val="20"/>
                <w:color w:val="auto"/>
              </w:rPr>
            </w:pPr>
            <w:r>
              <w:rPr>
                <w:rFonts w:ascii="Arial" w:cs="Arial" w:eastAsia="Arial" w:hAnsi="Arial"/>
                <w:sz w:val="18"/>
                <w:szCs w:val="18"/>
                <w:color w:val="auto"/>
                <w:w w:val="92"/>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-2879725</wp:posOffset>
            </wp:positionV>
            <wp:extent cx="77470" cy="291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-2879725</wp:posOffset>
            </wp:positionV>
            <wp:extent cx="68580" cy="291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-2879725</wp:posOffset>
            </wp:positionV>
            <wp:extent cx="68580" cy="291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291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-2065020</wp:posOffset>
            </wp:positionV>
            <wp:extent cx="7747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-2065020</wp:posOffset>
            </wp:positionV>
            <wp:extent cx="6858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-2065020</wp:posOffset>
            </wp:positionV>
            <wp:extent cx="6858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There was a decrease in cash from $40.9 million as of December 31, 2021 to $20.1 million as of September 30, 2022 due to the paydown of $41 million on the revolving credit facility principal balance through September 30, 2022 and a $3.5 million dividend payment in June and September 2022 offset by excess operating cash flows. There was a decrease in goodwill and intangible assets of $18.4 million due to amortization of intangibles during the nine months ended September 30, 2022. Remaining total assets increased in the same period by $11.3 million. This was primarily driven by amounts due to related parties increased by $17.6 million due to the Advisory Agreement between ECG and Enhanced PC that is discussed in Note 13 of our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Historical Liquidity and Capital Resources</w:t>
      </w:r>
    </w:p>
    <w:p>
      <w:pPr>
        <w:spacing w:after="0" w:line="22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9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 which we exercised in September 2022.</w:t>
      </w:r>
    </w:p>
    <w:p>
      <w:pPr>
        <w:spacing w:after="0" w:line="18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Both facilities are Term SOFR Loans. The Company can elect one or three months for the Revolver Facility and three or six months for the Term Loan. The Company elected a six month SOFR rate at the time of draw for the term loan and a one month SOFR rate for the Revolver Facility at the time of draw. Principal is contractually repaid at a rate of 1.25% on the term loan quarterly effective March 31, 2023. The Revolving Credit Facility has no contractual principal repayments until maturity, which is December 22, 2025 for both facilities.</w:t>
      </w:r>
    </w:p>
    <w:p>
      <w:pPr>
        <w:spacing w:after="0" w:line="18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As of September 30, 2022, the Term Loan is incurring interest at a SOFR rate of 2.61%. As of September 30, 2022, the Revolver Facility is split into three tranches. The first tranche has a principal balance of $20.0 million and incurs interest at a SOFR rate of 2.91% for a three month period through November 2022. The second tranche has a principal balance of $20.0 million and incurs interest at a SOFR rate of 3.64% for a three month period through December 2022. The third tranche has a principal balance of $9.9 million and incurs interest at a SOFR rate of 3.13% for a one month period through October 2022.</w:t>
      </w:r>
    </w:p>
    <w:p>
      <w:pPr>
        <w:spacing w:after="0" w:line="19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The Credit Agreement contains affirmative and negative covenants typical of such financing transactions, and specific financial covenants which require P10 to maintain a minimum leverage ratio of less than or equal to 3.50. As of September 30, 2022, P10 was in compliance with its financial covenants required under the facility. As of September 30, 2022, the balance drawn on the revolving credit facility is $49.9 million and on the term loan, the balance is $125.0 million. For the three and nine months ended September 30, 2022, $2.1 million and $4.6 interest expense was incurred, respectively. For the three and nine months ended September 30, 2021, and $0 and $0 interest expense was incurred, respectively.</w:t>
      </w:r>
    </w:p>
    <w:p>
      <w:pPr>
        <w:spacing w:after="0" w:line="17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In September 2022, the Company exercised its option to the accordion feature of the Credit Agreement. There were no draws made until the fourth quarter of 2022. However, the Company incurred $1.4 million of up front fees during the third quarter of 2022 which are reflected as debt obligations on the Consolidated Balance Sheets. In October 2022, in accordance with the acquisition discussed in the subsequent event footnote, the Company drew on the accordion feature of the Credit Agreement. The $125 million accordion was exercised in $87.5 million of term loan and $6.0 million of revolver.</w:t>
      </w: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the Nine Months Ended September 30,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our cash flows for the nine months ended September 30, 2022 and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For the Nine Months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15"/>
                <w:szCs w:val="15"/>
                <w:color w:val="auto"/>
              </w:rPr>
            </w:pP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w w:val="74"/>
              </w:rPr>
              <w:t>thousands)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43,946</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200" w:type="dxa"/>
            <w:vAlign w:val="bottom"/>
            <w:gridSpan w:val="2"/>
          </w:tcPr>
          <w:p>
            <w:pPr>
              <w:jc w:val="right"/>
              <w:ind w:right="113"/>
              <w:spacing w:after="0"/>
              <w:rPr>
                <w:sz w:val="20"/>
                <w:szCs w:val="20"/>
                <w:color w:val="auto"/>
              </w:rPr>
            </w:pPr>
            <w:r>
              <w:rPr>
                <w:rFonts w:ascii="Arial" w:cs="Arial" w:eastAsia="Arial" w:hAnsi="Arial"/>
                <w:sz w:val="18"/>
                <w:szCs w:val="18"/>
                <w:color w:val="auto"/>
              </w:rPr>
              <w:t>(1,554 )</w:t>
            </w:r>
          </w:p>
        </w:tc>
        <w:tc>
          <w:tcPr>
            <w:tcW w:w="4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(46,861 )</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45,307</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(97)%</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13"/>
              <w:spacing w:after="0"/>
              <w:rPr>
                <w:sz w:val="20"/>
                <w:szCs w:val="20"/>
                <w:color w:val="auto"/>
              </w:rPr>
            </w:pPr>
            <w:r>
              <w:rPr>
                <w:rFonts w:ascii="Arial" w:cs="Arial" w:eastAsia="Arial" w:hAnsi="Arial"/>
                <w:sz w:val="18"/>
                <w:szCs w:val="18"/>
                <w:color w:val="auto"/>
              </w:rPr>
              <w:t>(65,112 )</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(86,563 )</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(404)%</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44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 and</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tcPr>
          <w:p>
            <w:pPr>
              <w:jc w:val="right"/>
              <w:ind w:right="113"/>
              <w:spacing w:after="0"/>
              <w:rPr>
                <w:sz w:val="20"/>
                <w:szCs w:val="20"/>
                <w:color w:val="auto"/>
              </w:rPr>
            </w:pPr>
            <w:r>
              <w:rPr>
                <w:rFonts w:ascii="Arial" w:cs="Arial" w:eastAsia="Arial" w:hAnsi="Arial"/>
                <w:sz w:val="18"/>
                <w:szCs w:val="18"/>
                <w:color w:val="auto"/>
              </w:rPr>
              <w:t>(22,720 )</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15,294</w:t>
            </w:r>
          </w:p>
        </w:tc>
        <w:tc>
          <w:tcPr>
            <w:tcW w:w="240" w:type="dxa"/>
            <w:vAlign w:val="bottom"/>
          </w:tcPr>
          <w:p>
            <w:pPr>
              <w:spacing w:after="0"/>
              <w:rPr>
                <w:sz w:val="24"/>
                <w:szCs w:val="24"/>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(38,014 )</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0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(249)%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-401955</wp:posOffset>
            </wp:positionV>
            <wp:extent cx="76835" cy="402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402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-401955</wp:posOffset>
            </wp:positionV>
            <wp:extent cx="68580" cy="402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4025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-401955</wp:posOffset>
            </wp:positionV>
            <wp:extent cx="68580" cy="402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4025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Cash from operating activities increased $3.2 million or 8%, to $43.9 million for the nine months ended September 30, 2022 compared to the nine months ended September 30, 2021. The components of this net increase primarily consisted of a $15.8 million increase in net income and the following changes in operating assets and liabilities:</w:t>
      </w:r>
    </w:p>
    <w:p>
      <w:pPr>
        <w:spacing w:after="0" w:line="87" w:lineRule="exact"/>
        <w:rPr>
          <w:sz w:val="20"/>
          <w:szCs w:val="20"/>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$17.4 million in due from related parties driven primarily by the receivable from the Advisory Agreement between ECG and ECP as further discussed in Note 13 of our Consolidated Financial Statements;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$7.4 million in other liabilities primarily driven by timing of cash held for investment projects at Enhanced;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accounts receivable of $2.3 million as a function of timing of collections primarily at Enhanced.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cash used in investing activities decreased by $45.3 million, or 97% to $1.6 million, for the nine months ended September 30, 2022 as compared to the nine months ended September 30, 2021. This decrease in the cash used was due almost entirely to the acquisitions of Hark and Bonaccord in September 2021.</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used a net $65.1 million of cash for the nine months ended September 30, 2022 for financing activities, as compared to cash provided by financing activities of $21.5 million for the nine months ended September 30, 2021 due primarily to the pay down of $41.0 million on the Revolving Facility during 2022. We also settled 1.1 million stock options from a grantee with a fair market value option price of $11.83, less a negotiated discount of 2.5%, totaling $12.5 million and paid a dividend to all stockholders totaling $3.5 million in June and September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04"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0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 the ordinary course of business, we enter contractual arrangements that require future cash payments. The following table sets forth information regarding our anticipated future cash payments under our contractual obligations as of September 30,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40" w:type="dxa"/>
            <w:vAlign w:val="bottom"/>
            <w:vMerge w:val="restart"/>
          </w:tcPr>
          <w:p>
            <w:pPr>
              <w:ind w:left="2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4"/>
                <w:szCs w:val="24"/>
                <w:color w:val="auto"/>
                <w:vertAlign w:val="superscript"/>
              </w:rPr>
              <w:t>(1)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5"/>
              </w:rPr>
              <w:t>(in 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220" w:type="dxa"/>
            <w:vAlign w:val="bottom"/>
          </w:tcPr>
          <w:p>
            <w:pPr>
              <w:jc w:val="right"/>
              <w:ind w:right="30"/>
              <w:spacing w:after="0" w:line="16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66" w:lineRule="exact"/>
              <w:rPr>
                <w:sz w:val="20"/>
                <w:szCs w:val="20"/>
                <w:color w:val="auto"/>
              </w:rPr>
            </w:pPr>
            <w:r>
              <w:rPr>
                <w:rFonts w:ascii="Arial" w:cs="Arial" w:eastAsia="Arial" w:hAnsi="Arial"/>
                <w:sz w:val="18"/>
                <w:szCs w:val="18"/>
                <w:color w:val="auto"/>
              </w:rPr>
              <w:t>19,506</w:t>
            </w:r>
          </w:p>
        </w:tc>
        <w:tc>
          <w:tcPr>
            <w:tcW w:w="600" w:type="dxa"/>
            <w:vAlign w:val="bottom"/>
            <w:gridSpan w:val="2"/>
          </w:tcPr>
          <w:p>
            <w:pPr>
              <w:jc w:val="right"/>
              <w:ind w:right="30"/>
              <w:spacing w:after="0" w:line="16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66" w:lineRule="exact"/>
              <w:rPr>
                <w:sz w:val="20"/>
                <w:szCs w:val="20"/>
                <w:color w:val="auto"/>
              </w:rPr>
            </w:pPr>
            <w:r>
              <w:rPr>
                <w:rFonts w:ascii="Arial" w:cs="Arial" w:eastAsia="Arial" w:hAnsi="Arial"/>
                <w:sz w:val="18"/>
                <w:szCs w:val="18"/>
                <w:color w:val="auto"/>
              </w:rPr>
              <w:t>538</w:t>
            </w:r>
          </w:p>
        </w:tc>
        <w:tc>
          <w:tcPr>
            <w:tcW w:w="460" w:type="dxa"/>
            <w:vAlign w:val="bottom"/>
            <w:gridSpan w:val="2"/>
          </w:tcPr>
          <w:p>
            <w:pPr>
              <w:jc w:val="right"/>
              <w:ind w:right="30"/>
              <w:spacing w:after="0" w:line="16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8"/>
                <w:szCs w:val="18"/>
                <w:color w:val="auto"/>
              </w:rPr>
              <w:t>2,976</w:t>
            </w:r>
          </w:p>
        </w:tc>
        <w:tc>
          <w:tcPr>
            <w:tcW w:w="440" w:type="dxa"/>
            <w:vAlign w:val="bottom"/>
            <w:gridSpan w:val="2"/>
          </w:tcPr>
          <w:p>
            <w:pPr>
              <w:ind w:left="240"/>
              <w:spacing w:after="0" w:line="16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8"/>
                <w:szCs w:val="18"/>
                <w:color w:val="auto"/>
              </w:rPr>
              <w:t>3,222</w:t>
            </w:r>
          </w:p>
        </w:tc>
        <w:tc>
          <w:tcPr>
            <w:tcW w:w="440" w:type="dxa"/>
            <w:vAlign w:val="bottom"/>
            <w:gridSpan w:val="2"/>
          </w:tcPr>
          <w:p>
            <w:pPr>
              <w:jc w:val="right"/>
              <w:ind w:right="30"/>
              <w:spacing w:after="0" w:line="16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8"/>
                <w:szCs w:val="18"/>
                <w:color w:val="auto"/>
              </w:rPr>
              <w:t>2,066</w:t>
            </w:r>
          </w:p>
        </w:tc>
        <w:tc>
          <w:tcPr>
            <w:tcW w:w="440" w:type="dxa"/>
            <w:vAlign w:val="bottom"/>
            <w:gridSpan w:val="2"/>
          </w:tcPr>
          <w:p>
            <w:pPr>
              <w:jc w:val="right"/>
              <w:ind w:right="30"/>
              <w:spacing w:after="0" w:line="16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8"/>
                <w:szCs w:val="18"/>
                <w:color w:val="auto"/>
              </w:rPr>
              <w:t>1,727</w:t>
            </w:r>
          </w:p>
        </w:tc>
        <w:tc>
          <w:tcPr>
            <w:tcW w:w="360" w:type="dxa"/>
            <w:vAlign w:val="bottom"/>
            <w:gridSpan w:val="2"/>
          </w:tcPr>
          <w:p>
            <w:pPr>
              <w:jc w:val="right"/>
              <w:spacing w:after="0" w:line="16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66" w:lineRule="exact"/>
              <w:rPr>
                <w:sz w:val="20"/>
                <w:szCs w:val="20"/>
                <w:color w:val="auto"/>
              </w:rPr>
            </w:pPr>
            <w:r>
              <w:rPr>
                <w:rFonts w:ascii="Arial" w:cs="Arial" w:eastAsia="Arial" w:hAnsi="Arial"/>
                <w:sz w:val="18"/>
                <w:szCs w:val="18"/>
                <w:color w:val="auto"/>
              </w:rPr>
              <w:t>8,977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20"/>
              <w:spacing w:after="0" w:line="266" w:lineRule="exact"/>
              <w:rPr>
                <w:sz w:val="20"/>
                <w:szCs w:val="20"/>
                <w:color w:val="auto"/>
              </w:rPr>
            </w:pPr>
            <w:r>
              <w:rPr>
                <w:rFonts w:ascii="Arial" w:cs="Arial" w:eastAsia="Arial" w:hAnsi="Arial"/>
                <w:sz w:val="18"/>
                <w:szCs w:val="18"/>
                <w:color w:val="auto"/>
              </w:rPr>
              <w:t xml:space="preserve">Debt obligations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174,900</w:t>
            </w:r>
          </w:p>
        </w:tc>
        <w:tc>
          <w:tcPr>
            <w:tcW w:w="3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162,400</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194,406</w:t>
            </w:r>
          </w:p>
        </w:tc>
        <w:tc>
          <w:tcPr>
            <w:tcW w:w="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164,466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-25400</wp:posOffset>
            </wp:positionV>
            <wp:extent cx="768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-25400</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520" w:right="20" w:hanging="512"/>
        <w:spacing w:after="0" w:line="250"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lease office space under agreements that expire periodically through 2032. The table only includes guaranteed minimum lease payments under these agreements and does not project other related payments.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Debt obligations presented in the table reflect scheduled principal payments related to the various debt instruments of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judgements. See Note 2, “Significant Accounting Policies” for a summary of our significant accounting policies.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a qualitative analysis that considers the design of the VIE, the nature of our involvement and the variable interests held by other parties. See Note 7 for further information.</w:t>
      </w:r>
    </w:p>
    <w:p>
      <w:pPr>
        <w:spacing w:after="0" w:line="15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Holdco, RCP 2, RCP 3, TrueBridge, Hark and Bonaccord. The assets and liabilities of the consolidated VIEs are presented gross in the Consolidated Balance Sheets. The liabilities of our consolidated VIE’s are obligations of those entities and their creditors do not generally have recourse to the assets of P10. See Note 7 for more information on both consolidated and unconsolidated VIEs.</w:t>
      </w:r>
    </w:p>
    <w:p>
      <w:pPr>
        <w:spacing w:after="0" w:line="185"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Intermediate, P10 Holdings, and ECG are concluded to be consolidated subsidiaries of P10 under the voting interest model.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of Management Fees and Management Fees Received in Advance</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On January 1, 2019, the Company adopted ASC 606, Revenue from Contracts with Customers (“ASC 606”) using the modified retrospective method. The adoption did not change the historical pattern of recognizing revenue for management fees. Accordingly, the Company did not record a cumulative adjustment upon adoption.</w:t>
      </w:r>
    </w:p>
    <w:p>
      <w:pPr>
        <w:spacing w:after="0" w:line="1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8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Advisory Fees</w:t>
      </w:r>
    </w:p>
    <w:p>
      <w:pPr>
        <w:spacing w:after="0" w:line="1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Current income tax expense represents our estimated taxes to be paid or refunded for the current period. In accordance with Accounting Standards Codification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68"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 alone tax rules as applicable.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21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6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5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Fair value of the financial assets and liabilities of our specialized investment vehicles may fluctuate in response to changes in the value of underlying assets, and interest rates.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As of September 30, 2022, we had $174.9 million in outstanding principal under our Term Loan and Revolving Credit Facility. The annual interest rate on the Term Loan is based on SOFR, plus 0.10%, plus 2.00%. On September 30, 2022, the interest rate on these borrowings was 2.10% + SOFR. We estimate that a 100-basis point increase in the interest rate would result in an approximately $1.8 million increase in interest expense related to the loan over the next 12 months.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1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judgement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7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jc w:val="both"/>
        <w:spacing w:after="0" w:line="290" w:lineRule="auto"/>
        <w:rPr>
          <w:sz w:val="20"/>
          <w:szCs w:val="20"/>
          <w:color w:val="auto"/>
        </w:rPr>
      </w:pPr>
      <w:r>
        <w:rPr>
          <w:rFonts w:ascii="Arial" w:cs="Arial" w:eastAsia="Arial" w:hAnsi="Arial"/>
          <w:sz w:val="16"/>
          <w:szCs w:val="16"/>
          <w:color w:val="auto"/>
        </w:rPr>
        <w:t>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Co-Chief Executive Officers and Chief Financial Officer, as appropriate, to allow timely decisions regarding required disclosures.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1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our most recent quarter ended September 30, 2022 that have materially affected, or are reasonably likely to materially affect, our internal control over financial reporting.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auto"/>
        </w:rPr>
        <w:t>PART II—OTHER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24"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 information required with respect to this item can be found under “Contingencies” in Note 14, Commitments and Contingencies, to our consolidated financial statements included elsewhere in this quarterly report, and such information is incorporated by reference into this Item 1.</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1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“Risk Factors” included in our annual report on Form 10-K for the year ended December 31,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 Shares</w:t>
            </w:r>
          </w:p>
        </w:tc>
        <w:tc>
          <w:tcPr>
            <w:tcW w:w="100" w:type="dxa"/>
            <w:vAlign w:val="bottom"/>
          </w:tcPr>
          <w:p>
            <w:pPr>
              <w:spacing w:after="0"/>
              <w:rPr>
                <w:sz w:val="17"/>
                <w:szCs w:val="17"/>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Maximum Approximate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auto"/>
              </w:rPr>
              <w:t>Dollar Value of Shares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Purchased as Part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w w:val="99"/>
              </w:rPr>
              <w:t>that May Yet Be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8"/>
              </w:rPr>
              <w:t>Price Paid</w:t>
            </w:r>
          </w:p>
        </w:tc>
        <w:tc>
          <w:tcPr>
            <w:tcW w:w="120" w:type="dxa"/>
            <w:vAlign w:val="bottom"/>
          </w:tcPr>
          <w:p>
            <w:pPr>
              <w:spacing w:after="0"/>
              <w:rPr>
                <w:sz w:val="16"/>
                <w:szCs w:val="16"/>
                <w:color w:val="auto"/>
              </w:rPr>
            </w:pPr>
          </w:p>
        </w:tc>
        <w:tc>
          <w:tcPr>
            <w:tcW w:w="21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Publicly Announced</w:t>
            </w:r>
          </w:p>
        </w:tc>
        <w:tc>
          <w:tcPr>
            <w:tcW w:w="100" w:type="dxa"/>
            <w:vAlign w:val="bottom"/>
          </w:tcPr>
          <w:p>
            <w:pPr>
              <w:spacing w:after="0"/>
              <w:rPr>
                <w:sz w:val="16"/>
                <w:szCs w:val="16"/>
                <w:color w:val="auto"/>
              </w:rPr>
            </w:pPr>
          </w:p>
        </w:tc>
        <w:tc>
          <w:tcPr>
            <w:tcW w:w="20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rPr>
              <w:t>Purchased Under the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660" w:type="dxa"/>
            <w:vAlign w:val="bottom"/>
            <w:tcBorders>
              <w:bottom w:val="single" w:sz="8" w:color="auto"/>
            </w:tcBorders>
            <w:vMerge w:val="continue"/>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 Purchased</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 or Program (1)</w:t>
            </w:r>
          </w:p>
        </w:tc>
        <w:tc>
          <w:tcPr>
            <w:tcW w:w="100" w:type="dxa"/>
            <w:vAlign w:val="bottom"/>
          </w:tcPr>
          <w:p>
            <w:pPr>
              <w:spacing w:after="0"/>
              <w:rPr>
                <w:sz w:val="22"/>
                <w:szCs w:val="22"/>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Plans or Programs (1)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1 - 31, 2022</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August 1 -31, 2022</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1 - 30, 2022</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141,292</w:t>
            </w:r>
          </w:p>
        </w:tc>
        <w:tc>
          <w:tcPr>
            <w:tcW w:w="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141,292</w:t>
            </w:r>
          </w:p>
        </w:tc>
        <w:tc>
          <w:tcPr>
            <w:tcW w:w="3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18,518,141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141,292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10.49</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141,292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-170815</wp:posOffset>
            </wp:positionV>
            <wp:extent cx="7747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ind w:right="80" w:firstLine="8"/>
        <w:spacing w:after="0" w:line="263"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May 12, 2022 , we announced that our Board of Directors authorized a program to repurchase outstanding shares of our Class A and Class B common stock as of the date of authorization, not to exceed $20 million (the "Stock Repurchase Program"). The authorization provides us the flexibility to repurchase shares in the open market, in blcok trades, in accordance with Rule 10b5-1 trading plans, and/or through other legally permissible means, in privately negotiated transactions, from time to time, based on market conditions and other factors. The buyback program does not obligate P10 to acquire any particular amount of common stock and it may be terminated or amended by the Board of Directors at any time.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1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On November 11, 2022, P10 Intermediate Holdings, LLC entered into an employment agreement with Amanda Coussens for Ms. Coussens to continue her services as Chief Financial Officer of the Company, and for Ms. Coussens to report to the Chief Executive Officer. The agreement provides that Ms. Coussens shall receive a base salary of $400,000 per year, and she shall be eligible to receive a bonus to be determined by the Board based on the Company’s performance and her achievement of certain performance benchmarks to be determined annually. Ms. Coussens is entitled to participate in all benefit plans maintained by the Company and to reimbursement for all reasonable and necessary out-of-pocket business, entertainment and travel expenses incurred in connection with the performance of her duties.</w:t>
      </w:r>
    </w:p>
    <w:p>
      <w:pPr>
        <w:spacing w:after="0" w:line="17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term of the agreement is for one year, provided that on the anniversary of the agreement and each annual anniversary thereafter, the agreement shall be automatically extended for successive one-year periods unless either party provides written notice of its intention not to extend the term at least ninety (90) days prior to the applicable renewal date. The term of the agreement may be terminated (i) by P10 Intermediate for Cause (as defined in the agreement) or by Ms. Coussens without Good Reason (as defined in the agreement), (ii) upon either party’s failure to renew the agreement in accordance with its terms,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1" w:name="page52"/>
    <w:bookmarkEnd w:id="51"/>
    <w:p>
      <w:pPr>
        <w:ind w:firstLine="8"/>
        <w:spacing w:after="0" w:line="250" w:lineRule="auto"/>
        <w:tabs>
          <w:tab w:leader="none" w:pos="3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P10 Intermediate without Cause or by Ms. Coussens for Good Reason, (iv) upon Ms. Coussens death or (v) by P10 Intermediate on account of Ms. Coussens’ disability (as defined in the agreement).</w:t>
      </w:r>
    </w:p>
    <w:p>
      <w:pPr>
        <w:spacing w:after="0"/>
        <w:rPr>
          <w:rFonts w:ascii="Arial" w:cs="Arial" w:eastAsia="Arial" w:hAnsi="Arial"/>
          <w:sz w:val="18"/>
          <w:szCs w:val="18"/>
          <w:color w:val="auto"/>
        </w:rPr>
      </w:pPr>
      <w:r>
        <w:rPr>
          <w:rFonts w:ascii="Arial" w:cs="Arial" w:eastAsia="Arial" w:hAnsi="Arial"/>
          <w:sz w:val="20"/>
          <w:szCs w:val="20"/>
          <w:b w:val="1"/>
          <w:bCs w:val="1"/>
          <w:color w:val="auto"/>
        </w:rPr>
        <w:t>Item 6. Exhibits.</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Furnish the exhibits required by Item 601 of Regulation S-K (§ 229.601 of this chapter).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ind w:left="160"/>
              <w:spacing w:after="0"/>
              <w:rPr>
                <w:sz w:val="20"/>
                <w:szCs w:val="20"/>
                <w:color w:val="auto"/>
              </w:rPr>
            </w:pPr>
            <w:r>
              <w:rPr>
                <w:rFonts w:ascii="Arial" w:cs="Arial" w:eastAsia="Arial" w:hAnsi="Arial"/>
                <w:sz w:val="16"/>
                <w:szCs w:val="16"/>
                <w:b w:val="1"/>
                <w:bCs w:val="1"/>
                <w:color w:val="auto"/>
              </w:rPr>
              <w:t>Exhibit</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60" w:type="dxa"/>
            <w:vAlign w:val="bottom"/>
            <w:gridSpan w:val="18"/>
          </w:tcPr>
          <w:p>
            <w:pPr>
              <w:jc w:val="center"/>
              <w:ind w:right="3140"/>
              <w:spacing w:after="0"/>
              <w:rPr>
                <w:sz w:val="20"/>
                <w:szCs w:val="20"/>
                <w:color w:val="auto"/>
              </w:rPr>
            </w:pPr>
            <w:r>
              <w:rPr>
                <w:rFonts w:ascii="Arial" w:cs="Arial" w:eastAsia="Arial" w:hAnsi="Arial"/>
                <w:sz w:val="16"/>
                <w:szCs w:val="16"/>
                <w:b w:val="1"/>
                <w:bCs w:val="1"/>
                <w:color w:val="auto"/>
                <w:w w:val="90"/>
              </w:rPr>
              <w:t>Description</w:t>
            </w:r>
          </w:p>
        </w:tc>
        <w:tc>
          <w:tcPr>
            <w:tcW w:w="0" w:type="dxa"/>
            <w:vAlign w:val="bottom"/>
          </w:tcPr>
          <w:p>
            <w:pPr>
              <w:spacing w:after="0"/>
              <w:rPr>
                <w:sz w:val="1"/>
                <w:szCs w:val="1"/>
                <w:color w:val="auto"/>
              </w:rPr>
            </w:pPr>
          </w:p>
        </w:tc>
      </w:tr>
      <w:tr>
        <w:trPr>
          <w:trHeight w:val="213"/>
        </w:trPr>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800" w:type="dxa"/>
            <w:vAlign w:val="bottom"/>
          </w:tcPr>
          <w:p>
            <w:pPr>
              <w:ind w:left="2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24"/>
                <w:szCs w:val="24"/>
                <w:color w:val="auto"/>
              </w:rPr>
            </w:pPr>
          </w:p>
        </w:tc>
        <w:tc>
          <w:tcPr>
            <w:tcW w:w="10180" w:type="dxa"/>
            <w:vAlign w:val="bottom"/>
            <w:gridSpan w:val="23"/>
          </w:tcPr>
          <w:p>
            <w:pPr>
              <w:spacing w:after="0"/>
              <w:rPr>
                <w:rFonts w:ascii="Arial" w:cs="Arial" w:eastAsia="Arial" w:hAnsi="Arial"/>
                <w:sz w:val="16"/>
                <w:szCs w:val="16"/>
                <w:color w:val="0000FF"/>
                <w:w w:val="95"/>
              </w:rPr>
            </w:pPr>
            <w:hyperlink r:id="rId304">
              <w:r>
                <w:rPr>
                  <w:rFonts w:ascii="Arial" w:cs="Arial" w:eastAsia="Arial" w:hAnsi="Arial"/>
                  <w:sz w:val="16"/>
                  <w:szCs w:val="16"/>
                  <w:color w:val="0000FF"/>
                  <w:w w:val="95"/>
                </w:rPr>
                <w:t>Amended and Restated Certificate of Incorporation of P10, Inc. (incorporated by reference to Exhibit 3.1 to the Company’s Current Report on Form 8-K</w:t>
              </w:r>
            </w:hyperlink>
          </w:p>
        </w:tc>
        <w:tc>
          <w:tcPr>
            <w:tcW w:w="0" w:type="dxa"/>
            <w:vAlign w:val="bottom"/>
          </w:tcPr>
          <w:p>
            <w:pPr>
              <w:spacing w:after="0"/>
              <w:rPr>
                <w:sz w:val="1"/>
                <w:szCs w:val="1"/>
                <w:color w:val="auto"/>
              </w:rPr>
            </w:pPr>
          </w:p>
        </w:tc>
      </w:tr>
      <w:tr>
        <w:trPr>
          <w:trHeight w:val="156"/>
        </w:trPr>
        <w:tc>
          <w:tcPr>
            <w:tcW w:w="800" w:type="dxa"/>
            <w:vAlign w:val="bottom"/>
            <w:vMerge w:val="restart"/>
          </w:tcPr>
          <w:p>
            <w:pPr>
              <w:ind w:left="2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w w:val="91"/>
              </w:rPr>
            </w:pPr>
            <w:hyperlink r:id="rId304">
              <w:r>
                <w:rPr>
                  <w:rFonts w:ascii="Arial" w:cs="Arial" w:eastAsia="Arial" w:hAnsi="Arial"/>
                  <w:sz w:val="16"/>
                  <w:szCs w:val="16"/>
                  <w:color w:val="0000FF"/>
                  <w:w w:val="91"/>
                </w:rPr>
                <w:t>filed on October 26,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814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180" w:type="dxa"/>
            <w:vAlign w:val="bottom"/>
            <w:gridSpan w:val="23"/>
          </w:tcPr>
          <w:p>
            <w:pPr>
              <w:spacing w:after="0" w:line="155" w:lineRule="exact"/>
              <w:rPr>
                <w:rFonts w:ascii="Arial" w:cs="Arial" w:eastAsia="Arial" w:hAnsi="Arial"/>
                <w:sz w:val="16"/>
                <w:szCs w:val="16"/>
                <w:color w:val="0000FF"/>
                <w:w w:val="94"/>
              </w:rPr>
            </w:pPr>
            <w:hyperlink r:id="rId305">
              <w:r>
                <w:rPr>
                  <w:rFonts w:ascii="Arial" w:cs="Arial" w:eastAsia="Arial" w:hAnsi="Arial"/>
                  <w:sz w:val="16"/>
                  <w:szCs w:val="16"/>
                  <w:color w:val="0000FF"/>
                  <w:w w:val="94"/>
                </w:rPr>
                <w:t>Amended and Restated Bylaws of P10, Inc. (incorporated by reference to Exhibit 3.2 to the Company’s Current Report on Form 8-K filed on October 26,</w:t>
              </w:r>
            </w:hyperlink>
          </w:p>
        </w:tc>
        <w:tc>
          <w:tcPr>
            <w:tcW w:w="0" w:type="dxa"/>
            <w:vAlign w:val="bottom"/>
          </w:tcPr>
          <w:p>
            <w:pPr>
              <w:spacing w:after="0"/>
              <w:rPr>
                <w:sz w:val="1"/>
                <w:szCs w:val="1"/>
                <w:color w:val="auto"/>
              </w:rPr>
            </w:pPr>
          </w:p>
        </w:tc>
      </w:tr>
      <w:tr>
        <w:trPr>
          <w:trHeight w:val="155"/>
        </w:trPr>
        <w:tc>
          <w:tcPr>
            <w:tcW w:w="800" w:type="dxa"/>
            <w:vAlign w:val="bottom"/>
            <w:vMerge w:val="restart"/>
          </w:tcPr>
          <w:p>
            <w:pPr>
              <w:ind w:left="2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83"/>
              </w:rPr>
            </w:pPr>
            <w:hyperlink r:id="rId305">
              <w:r>
                <w:rPr>
                  <w:rFonts w:ascii="Arial" w:cs="Arial" w:eastAsia="Arial" w:hAnsi="Arial"/>
                  <w:sz w:val="16"/>
                  <w:szCs w:val="16"/>
                  <w:color w:val="0000FF"/>
                  <w:w w:val="83"/>
                </w:rPr>
                <w:t>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252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spacing w:after="0" w:line="155" w:lineRule="exact"/>
              <w:rPr>
                <w:rFonts w:ascii="Arial" w:cs="Arial" w:eastAsia="Arial" w:hAnsi="Arial"/>
                <w:sz w:val="16"/>
                <w:szCs w:val="16"/>
                <w:color w:val="0000FF"/>
                <w:w w:val="88"/>
              </w:rPr>
            </w:pPr>
            <w:hyperlink r:id="rId306">
              <w:r>
                <w:rPr>
                  <w:rFonts w:ascii="Arial" w:cs="Arial" w:eastAsia="Arial" w:hAnsi="Arial"/>
                  <w:sz w:val="16"/>
                  <w:szCs w:val="16"/>
                  <w:color w:val="0000FF"/>
                  <w:w w:val="88"/>
                </w:rPr>
                <w:t>Rights</w:t>
              </w:r>
            </w:hyperlink>
          </w:p>
        </w:tc>
        <w:tc>
          <w:tcPr>
            <w:tcW w:w="9760" w:type="dxa"/>
            <w:vAlign w:val="bottom"/>
            <w:gridSpan w:val="21"/>
          </w:tcPr>
          <w:p>
            <w:pPr>
              <w:ind w:left="40"/>
              <w:spacing w:after="0" w:line="155" w:lineRule="exact"/>
              <w:rPr>
                <w:rFonts w:ascii="Arial" w:cs="Arial" w:eastAsia="Arial" w:hAnsi="Arial"/>
                <w:sz w:val="16"/>
                <w:szCs w:val="16"/>
                <w:color w:val="0000FF"/>
                <w:w w:val="97"/>
              </w:rPr>
            </w:pPr>
            <w:hyperlink r:id="rId306">
              <w:r>
                <w:rPr>
                  <w:rFonts w:ascii="Arial" w:cs="Arial" w:eastAsia="Arial" w:hAnsi="Arial"/>
                  <w:sz w:val="16"/>
                  <w:szCs w:val="16"/>
                  <w:color w:val="0000FF"/>
                  <w:w w:val="97"/>
                </w:rPr>
                <w:t>Agreement, dated as of October 20, 2021, by and among the Company and American Stock Transfer &amp; Trust Company, LLC, as rights agent</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20" w:type="dxa"/>
            <w:vAlign w:val="bottom"/>
            <w:tcBorders>
              <w:top w:val="single" w:sz="8" w:color="0000FF"/>
            </w:tcBorders>
            <w:gridSpan w:val="12"/>
          </w:tcPr>
          <w:p>
            <w:pPr>
              <w:spacing w:after="0" w:line="155" w:lineRule="exact"/>
              <w:rPr>
                <w:rFonts w:ascii="Arial" w:cs="Arial" w:eastAsia="Arial" w:hAnsi="Arial"/>
                <w:sz w:val="16"/>
                <w:szCs w:val="16"/>
                <w:color w:val="0000FF"/>
              </w:rPr>
            </w:pPr>
            <w:hyperlink r:id="rId306">
              <w:r>
                <w:rPr>
                  <w:rFonts w:ascii="Arial" w:cs="Arial" w:eastAsia="Arial" w:hAnsi="Arial"/>
                  <w:sz w:val="16"/>
                  <w:szCs w:val="16"/>
                  <w:color w:val="0000FF"/>
                </w:rPr>
                <w:t>(incorporate by reference to Exhibit 4.1 to the Company’s Current Report on Form 8-K filed on October 26, 2021).</w:t>
              </w:r>
            </w:hyperlink>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ind w:left="20"/>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24"/>
                <w:szCs w:val="24"/>
                <w:color w:val="auto"/>
              </w:rPr>
            </w:pPr>
          </w:p>
        </w:tc>
        <w:tc>
          <w:tcPr>
            <w:tcW w:w="10180" w:type="dxa"/>
            <w:vAlign w:val="bottom"/>
            <w:gridSpan w:val="23"/>
          </w:tcPr>
          <w:p>
            <w:pPr>
              <w:jc w:val="center"/>
              <w:ind w:right="20"/>
              <w:spacing w:after="0"/>
              <w:rPr>
                <w:rFonts w:ascii="Arial" w:cs="Arial" w:eastAsia="Arial" w:hAnsi="Arial"/>
                <w:sz w:val="16"/>
                <w:szCs w:val="16"/>
                <w:color w:val="0000FF"/>
                <w:w w:val="91"/>
              </w:rPr>
            </w:pPr>
            <w:hyperlink r:id="rId307">
              <w:r>
                <w:rPr>
                  <w:rFonts w:ascii="Arial" w:cs="Arial" w:eastAsia="Arial" w:hAnsi="Arial"/>
                  <w:sz w:val="16"/>
                  <w:szCs w:val="16"/>
                  <w:color w:val="0000FF"/>
                  <w:w w:val="91"/>
                </w:rPr>
                <w:t>Sale and Purchase Agreement, dated August 25, 2022, by and among Westech Investment Advisors LLC, P10, Inc., Westech Investment Management, Inc.,</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60" w:type="dxa"/>
            <w:vAlign w:val="bottom"/>
            <w:tcBorders>
              <w:top w:val="single" w:sz="8" w:color="0000FF"/>
            </w:tcBorders>
            <w:gridSpan w:val="22"/>
          </w:tcPr>
          <w:p>
            <w:pPr>
              <w:spacing w:after="0" w:line="155" w:lineRule="exact"/>
              <w:rPr>
                <w:rFonts w:ascii="Arial" w:cs="Arial" w:eastAsia="Arial" w:hAnsi="Arial"/>
                <w:sz w:val="16"/>
                <w:szCs w:val="16"/>
                <w:color w:val="0000FF"/>
                <w:w w:val="95"/>
              </w:rPr>
            </w:pPr>
            <w:hyperlink r:id="rId307">
              <w:r>
                <w:rPr>
                  <w:rFonts w:ascii="Arial" w:cs="Arial" w:eastAsia="Arial" w:hAnsi="Arial"/>
                  <w:sz w:val="16"/>
                  <w:szCs w:val="16"/>
                  <w:color w:val="0000FF"/>
                  <w:w w:val="95"/>
                </w:rPr>
                <w:t>Maurice C. Werdegar, David R. Wanek, the Bonnie Sue Swenson Survivors Trust and Jay L. Cohan, and David R. Wanek (in his capacity as the Seller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vMerge w:val="restart"/>
          </w:tcPr>
          <w:p>
            <w:pPr>
              <w:ind w:left="20"/>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3"/>
                <w:szCs w:val="13"/>
                <w:color w:val="auto"/>
              </w:rPr>
            </w:pPr>
          </w:p>
        </w:tc>
        <w:tc>
          <w:tcPr>
            <w:tcW w:w="8600" w:type="dxa"/>
            <w:vAlign w:val="bottom"/>
            <w:tcBorders>
              <w:top w:val="single" w:sz="8" w:color="0000FF"/>
              <w:bottom w:val="single" w:sz="8" w:color="0000FF"/>
            </w:tcBorders>
            <w:gridSpan w:val="10"/>
          </w:tcPr>
          <w:p>
            <w:pPr>
              <w:spacing w:after="0" w:line="155" w:lineRule="exact"/>
              <w:rPr>
                <w:rFonts w:ascii="Arial" w:cs="Arial" w:eastAsia="Arial" w:hAnsi="Arial"/>
                <w:sz w:val="16"/>
                <w:szCs w:val="16"/>
                <w:color w:val="0000FF"/>
                <w:w w:val="92"/>
              </w:rPr>
            </w:pPr>
            <w:hyperlink r:id="rId307">
              <w:r>
                <w:rPr>
                  <w:rFonts w:ascii="Arial" w:cs="Arial" w:eastAsia="Arial" w:hAnsi="Arial"/>
                  <w:sz w:val="16"/>
                  <w:szCs w:val="16"/>
                  <w:color w:val="0000FF"/>
                  <w:w w:val="92"/>
                </w:rPr>
                <w:t>Representative) (incorporated by reference to Exhibit 10.1 to the Company's Current Report on Form 8-K filed on August 26,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1160" w:type="dxa"/>
            <w:vAlign w:val="bottom"/>
            <w:tcBorders>
              <w:top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20" w:type="dxa"/>
            <w:vAlign w:val="bottom"/>
            <w:gridSpan w:val="11"/>
          </w:tcPr>
          <w:p>
            <w:pPr>
              <w:spacing w:after="0" w:line="155" w:lineRule="exact"/>
              <w:rPr>
                <w:rFonts w:ascii="Arial" w:cs="Arial" w:eastAsia="Arial" w:hAnsi="Arial"/>
                <w:sz w:val="16"/>
                <w:szCs w:val="16"/>
                <w:color w:val="0000FF"/>
                <w:w w:val="92"/>
              </w:rPr>
            </w:pPr>
            <w:hyperlink r:id="rId308">
              <w:r>
                <w:rPr>
                  <w:rFonts w:ascii="Arial" w:cs="Arial" w:eastAsia="Arial" w:hAnsi="Arial"/>
                  <w:sz w:val="16"/>
                  <w:szCs w:val="16"/>
                  <w:color w:val="0000FF"/>
                  <w:w w:val="92"/>
                </w:rPr>
                <w:t>Exchange Agreement, dated August 25, 2022 by and among P10, Inc., P10 Holdings Inc., P10 Intermediate Holdings LLC, and the</w:t>
              </w:r>
            </w:hyperlink>
          </w:p>
        </w:tc>
        <w:tc>
          <w:tcPr>
            <w:tcW w:w="1560" w:type="dxa"/>
            <w:vAlign w:val="bottom"/>
            <w:gridSpan w:val="12"/>
          </w:tcPr>
          <w:p>
            <w:pPr>
              <w:spacing w:after="0" w:line="155" w:lineRule="exact"/>
              <w:rPr>
                <w:rFonts w:ascii="Arial" w:cs="Arial" w:eastAsia="Arial" w:hAnsi="Arial"/>
                <w:sz w:val="16"/>
                <w:szCs w:val="16"/>
                <w:color w:val="0000FF"/>
                <w:w w:val="89"/>
              </w:rPr>
            </w:pPr>
            <w:hyperlink r:id="rId308">
              <w:r>
                <w:rPr>
                  <w:rFonts w:ascii="Arial" w:cs="Arial" w:eastAsia="Arial" w:hAnsi="Arial"/>
                  <w:sz w:val="16"/>
                  <w:szCs w:val="16"/>
                  <w:color w:val="0000FF"/>
                  <w:w w:val="89"/>
                </w:rPr>
                <w:t>other signatories thereto</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8"/>
          </w:tcPr>
          <w:p>
            <w:pPr>
              <w:spacing w:after="0" w:line="155" w:lineRule="exact"/>
              <w:rPr>
                <w:rFonts w:ascii="Arial" w:cs="Arial" w:eastAsia="Arial" w:hAnsi="Arial"/>
                <w:sz w:val="16"/>
                <w:szCs w:val="16"/>
                <w:color w:val="0000FF"/>
                <w:w w:val="92"/>
              </w:rPr>
            </w:pPr>
            <w:hyperlink r:id="rId308">
              <w:r>
                <w:rPr>
                  <w:rFonts w:ascii="Arial" w:cs="Arial" w:eastAsia="Arial" w:hAnsi="Arial"/>
                  <w:sz w:val="16"/>
                  <w:szCs w:val="16"/>
                  <w:color w:val="0000FF"/>
                  <w:w w:val="92"/>
                </w:rPr>
                <w:t>(incorporated by reference to Exhibit 10.2 to the Company's Current Report on Form 8-K filed on August 26,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258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800" w:type="dxa"/>
            <w:vAlign w:val="bottom"/>
          </w:tcPr>
          <w:p>
            <w:pPr>
              <w:ind w:left="20"/>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24"/>
                <w:szCs w:val="24"/>
                <w:color w:val="auto"/>
              </w:rPr>
            </w:pPr>
          </w:p>
        </w:tc>
        <w:tc>
          <w:tcPr>
            <w:tcW w:w="10180" w:type="dxa"/>
            <w:vAlign w:val="bottom"/>
            <w:gridSpan w:val="23"/>
          </w:tcPr>
          <w:p>
            <w:pPr>
              <w:spacing w:after="0"/>
              <w:rPr>
                <w:rFonts w:ascii="Arial" w:cs="Arial" w:eastAsia="Arial" w:hAnsi="Arial"/>
                <w:sz w:val="16"/>
                <w:szCs w:val="16"/>
                <w:color w:val="0000FF"/>
                <w:w w:val="93"/>
              </w:rPr>
            </w:pPr>
            <w:hyperlink r:id="rId309">
              <w:r>
                <w:rPr>
                  <w:rFonts w:ascii="Arial" w:cs="Arial" w:eastAsia="Arial" w:hAnsi="Arial"/>
                  <w:sz w:val="16"/>
                  <w:szCs w:val="16"/>
                  <w:color w:val="0000FF"/>
                  <w:w w:val="93"/>
                </w:rPr>
                <w:t>Increase Joinder and Credit Agreement First Amendment, dated August 25, 2022, by and among P10, Inc., the Guarantors party thereto from time to time,</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40" w:type="dxa"/>
            <w:vAlign w:val="bottom"/>
            <w:tcBorders>
              <w:top w:val="single" w:sz="8" w:color="0000FF"/>
            </w:tcBorders>
            <w:gridSpan w:val="19"/>
          </w:tcPr>
          <w:p>
            <w:pPr>
              <w:spacing w:after="0" w:line="155" w:lineRule="exact"/>
              <w:rPr>
                <w:rFonts w:ascii="Arial" w:cs="Arial" w:eastAsia="Arial" w:hAnsi="Arial"/>
                <w:sz w:val="16"/>
                <w:szCs w:val="16"/>
                <w:color w:val="0000FF"/>
                <w:w w:val="93"/>
              </w:rPr>
            </w:pPr>
            <w:hyperlink r:id="rId309">
              <w:r>
                <w:rPr>
                  <w:rFonts w:ascii="Arial" w:cs="Arial" w:eastAsia="Arial" w:hAnsi="Arial"/>
                  <w:sz w:val="16"/>
                  <w:szCs w:val="16"/>
                  <w:color w:val="0000FF"/>
                  <w:w w:val="93"/>
                </w:rPr>
                <w:t>the Lenders party thereto from time to time and JPMorgan Chase Bank, N.A., as administrative agent and collateral agent (incorporated by reference to</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309">
              <w:r>
                <w:rPr>
                  <w:rFonts w:ascii="Arial" w:cs="Arial" w:eastAsia="Arial" w:hAnsi="Arial"/>
                  <w:sz w:val="16"/>
                  <w:szCs w:val="16"/>
                  <w:color w:val="0000FF"/>
                </w:rPr>
                <w:t>Exhibit 10.3 to the Company's Currrent Report in Form 8-K filed on August 26, 2022).</w:t>
              </w:r>
            </w:hyperlink>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520" w:type="dxa"/>
            <w:vAlign w:val="bottom"/>
            <w:tcBorders>
              <w:right w:val="single" w:sz="8" w:color="0000EE"/>
            </w:tcBorders>
            <w:shd w:val="clear" w:color="auto" w:fill="0000FF"/>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0" w:type="dxa"/>
            <w:vAlign w:val="bottom"/>
          </w:tcPr>
          <w:p>
            <w:pPr>
              <w:ind w:left="20"/>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24"/>
                <w:szCs w:val="24"/>
                <w:color w:val="auto"/>
              </w:rPr>
            </w:pPr>
          </w:p>
        </w:tc>
        <w:tc>
          <w:tcPr>
            <w:tcW w:w="10180" w:type="dxa"/>
            <w:vAlign w:val="bottom"/>
            <w:gridSpan w:val="23"/>
          </w:tcPr>
          <w:p>
            <w:pPr>
              <w:spacing w:after="0"/>
              <w:rPr>
                <w:sz w:val="20"/>
                <w:szCs w:val="20"/>
                <w:color w:val="auto"/>
              </w:rPr>
            </w:pPr>
            <w:r>
              <w:rPr>
                <w:rFonts w:ascii="Arial" w:cs="Arial" w:eastAsia="Arial" w:hAnsi="Arial"/>
                <w:sz w:val="16"/>
                <w:szCs w:val="16"/>
                <w:color w:val="auto"/>
              </w:rPr>
              <w:t>Employment Agreement, dated as of November 11, 2022 by and between P10 Intermediate Holdings, LLC and Amanda Coussens.</w:t>
            </w:r>
          </w:p>
        </w:tc>
        <w:tc>
          <w:tcPr>
            <w:tcW w:w="0" w:type="dxa"/>
            <w:vAlign w:val="bottom"/>
          </w:tcPr>
          <w:p>
            <w:pPr>
              <w:spacing w:after="0"/>
              <w:rPr>
                <w:sz w:val="1"/>
                <w:szCs w:val="1"/>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6"/>
                <w:szCs w:val="16"/>
                <w:color w:val="auto"/>
              </w:rPr>
              <w:t>31.1*</w:t>
            </w:r>
          </w:p>
        </w:tc>
        <w:tc>
          <w:tcPr>
            <w:tcW w:w="260" w:type="dxa"/>
            <w:vAlign w:val="bottom"/>
          </w:tcPr>
          <w:p>
            <w:pPr>
              <w:spacing w:after="0"/>
              <w:rPr>
                <w:sz w:val="24"/>
                <w:szCs w:val="24"/>
                <w:color w:val="auto"/>
              </w:rPr>
            </w:pPr>
          </w:p>
        </w:tc>
        <w:tc>
          <w:tcPr>
            <w:tcW w:w="10180" w:type="dxa"/>
            <w:vAlign w:val="bottom"/>
            <w:gridSpan w:val="23"/>
          </w:tcPr>
          <w:p>
            <w:pPr>
              <w:spacing w:after="0"/>
              <w:rPr>
                <w:sz w:val="20"/>
                <w:szCs w:val="20"/>
                <w:color w:val="auto"/>
              </w:rPr>
            </w:pPr>
            <w:r>
              <w:rPr>
                <w:rFonts w:ascii="Arial" w:cs="Arial" w:eastAsia="Arial" w:hAnsi="Arial"/>
                <w:sz w:val="16"/>
                <w:szCs w:val="16"/>
                <w:color w:val="0000FF"/>
                <w:w w:val="93"/>
              </w:rPr>
              <w:t>Certification of Principal Executive Officer Pursuant to Rules 13a-14(a) and 15d-14(a) under the Securities Exchange Act of 1934, as Adopted Pursuant to</w:t>
            </w:r>
          </w:p>
        </w:tc>
        <w:tc>
          <w:tcPr>
            <w:tcW w:w="0" w:type="dxa"/>
            <w:vAlign w:val="bottom"/>
          </w:tcPr>
          <w:p>
            <w:pPr>
              <w:spacing w:after="0"/>
              <w:rPr>
                <w:sz w:val="1"/>
                <w:szCs w:val="1"/>
                <w:color w:val="auto"/>
              </w:rPr>
            </w:pPr>
          </w:p>
        </w:tc>
      </w:tr>
      <w:tr>
        <w:trPr>
          <w:trHeight w:val="155"/>
        </w:trPr>
        <w:tc>
          <w:tcPr>
            <w:tcW w:w="800" w:type="dxa"/>
            <w:vAlign w:val="bottom"/>
            <w:vMerge w:val="restart"/>
          </w:tcPr>
          <w:p>
            <w:pPr>
              <w:ind w:left="20"/>
              <w:spacing w:after="0"/>
              <w:rPr>
                <w:sz w:val="20"/>
                <w:szCs w:val="20"/>
                <w:color w:val="auto"/>
              </w:rPr>
            </w:pPr>
            <w:r>
              <w:rPr>
                <w:rFonts w:ascii="Arial" w:cs="Arial" w:eastAsia="Arial" w:hAnsi="Arial"/>
                <w:sz w:val="16"/>
                <w:szCs w:val="16"/>
                <w:color w:val="auto"/>
              </w:rPr>
              <w:t>31.2*</w:t>
            </w:r>
          </w:p>
        </w:tc>
        <w:tc>
          <w:tcPr>
            <w:tcW w:w="260" w:type="dxa"/>
            <w:vAlign w:val="bottom"/>
          </w:tcPr>
          <w:p>
            <w:pPr>
              <w:spacing w:after="0"/>
              <w:rPr>
                <w:sz w:val="13"/>
                <w:szCs w:val="13"/>
                <w:color w:val="auto"/>
              </w:rPr>
            </w:pPr>
          </w:p>
        </w:tc>
        <w:tc>
          <w:tcPr>
            <w:tcW w:w="10060" w:type="dxa"/>
            <w:vAlign w:val="bottom"/>
            <w:tcBorders>
              <w:top w:val="single" w:sz="8" w:color="0000FF"/>
            </w:tcBorders>
            <w:gridSpan w:val="20"/>
          </w:tcPr>
          <w:p>
            <w:pPr>
              <w:spacing w:after="0" w:line="155" w:lineRule="exact"/>
              <w:rPr>
                <w:sz w:val="20"/>
                <w:szCs w:val="20"/>
                <w:color w:val="auto"/>
              </w:rPr>
            </w:pPr>
            <w:r>
              <w:rPr>
                <w:rFonts w:ascii="Arial" w:cs="Arial" w:eastAsia="Arial" w:hAnsi="Arial"/>
                <w:sz w:val="16"/>
                <w:szCs w:val="16"/>
                <w:color w:val="0000FF"/>
              </w:rPr>
              <w:t>Section 302 of the Sarbanes-Oxley Act of 2002.</w:t>
            </w: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5"/>
            <w:shd w:val="clear" w:color="auto" w:fill="0000FF"/>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180" w:type="dxa"/>
            <w:vAlign w:val="bottom"/>
            <w:gridSpan w:val="23"/>
          </w:tcPr>
          <w:p>
            <w:pPr>
              <w:spacing w:after="0" w:line="155" w:lineRule="exact"/>
              <w:rPr>
                <w:sz w:val="20"/>
                <w:szCs w:val="20"/>
                <w:color w:val="auto"/>
              </w:rPr>
            </w:pPr>
            <w:r>
              <w:rPr>
                <w:rFonts w:ascii="Arial" w:cs="Arial" w:eastAsia="Arial" w:hAnsi="Arial"/>
                <w:sz w:val="16"/>
                <w:szCs w:val="16"/>
                <w:color w:val="0000FF"/>
                <w:w w:val="93"/>
              </w:rPr>
              <w:t>Certification of Principal Financial Officer Pursuant to Rules 13a-14(a) and 15d-14(a) under the Securities Exchange Act of 1934, as Adopted Pursuant to</w:t>
            </w:r>
          </w:p>
        </w:tc>
        <w:tc>
          <w:tcPr>
            <w:tcW w:w="0" w:type="dxa"/>
            <w:vAlign w:val="bottom"/>
          </w:tcPr>
          <w:p>
            <w:pPr>
              <w:spacing w:after="0"/>
              <w:rPr>
                <w:sz w:val="1"/>
                <w:szCs w:val="1"/>
                <w:color w:val="auto"/>
              </w:rPr>
            </w:pPr>
          </w:p>
        </w:tc>
      </w:tr>
      <w:tr>
        <w:trPr>
          <w:trHeight w:val="156"/>
        </w:trPr>
        <w:tc>
          <w:tcPr>
            <w:tcW w:w="800" w:type="dxa"/>
            <w:vAlign w:val="bottom"/>
            <w:vMerge w:val="restart"/>
          </w:tcPr>
          <w:p>
            <w:pPr>
              <w:ind w:left="20"/>
              <w:spacing w:after="0"/>
              <w:rPr>
                <w:sz w:val="20"/>
                <w:szCs w:val="20"/>
                <w:color w:val="auto"/>
              </w:rPr>
            </w:pPr>
            <w:r>
              <w:rPr>
                <w:rFonts w:ascii="Arial" w:cs="Arial" w:eastAsia="Arial" w:hAnsi="Arial"/>
                <w:sz w:val="16"/>
                <w:szCs w:val="16"/>
                <w:color w:val="auto"/>
              </w:rPr>
              <w:t>31.3*</w:t>
            </w:r>
          </w:p>
        </w:tc>
        <w:tc>
          <w:tcPr>
            <w:tcW w:w="260" w:type="dxa"/>
            <w:vAlign w:val="bottom"/>
          </w:tcPr>
          <w:p>
            <w:pPr>
              <w:spacing w:after="0"/>
              <w:rPr>
                <w:sz w:val="13"/>
                <w:szCs w:val="13"/>
                <w:color w:val="auto"/>
              </w:rPr>
            </w:pPr>
          </w:p>
        </w:tc>
        <w:tc>
          <w:tcPr>
            <w:tcW w:w="10020" w:type="dxa"/>
            <w:vAlign w:val="bottom"/>
            <w:tcBorders>
              <w:top w:val="single" w:sz="8" w:color="0000FF"/>
            </w:tcBorders>
            <w:gridSpan w:val="18"/>
          </w:tcPr>
          <w:p>
            <w:pPr>
              <w:spacing w:after="0" w:line="155" w:lineRule="exact"/>
              <w:rPr>
                <w:sz w:val="20"/>
                <w:szCs w:val="20"/>
                <w:color w:val="auto"/>
              </w:rPr>
            </w:pPr>
            <w:r>
              <w:rPr>
                <w:rFonts w:ascii="Arial" w:cs="Arial" w:eastAsia="Arial" w:hAnsi="Arial"/>
                <w:sz w:val="16"/>
                <w:szCs w:val="16"/>
                <w:color w:val="0000FF"/>
              </w:rPr>
              <w:t>Section 302 of the Sarbanes-Oxley Act of 2002.</w:t>
            </w: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5"/>
            <w:shd w:val="clear" w:color="auto" w:fill="0000FF"/>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180" w:type="dxa"/>
            <w:vAlign w:val="bottom"/>
            <w:gridSpan w:val="23"/>
          </w:tcPr>
          <w:p>
            <w:pPr>
              <w:spacing w:after="0" w:line="155" w:lineRule="exact"/>
              <w:rPr>
                <w:sz w:val="20"/>
                <w:szCs w:val="20"/>
                <w:color w:val="auto"/>
              </w:rPr>
            </w:pPr>
            <w:r>
              <w:rPr>
                <w:rFonts w:ascii="Arial" w:cs="Arial" w:eastAsia="Arial" w:hAnsi="Arial"/>
                <w:sz w:val="16"/>
                <w:szCs w:val="16"/>
                <w:color w:val="0000FF"/>
                <w:w w:val="93"/>
              </w:rPr>
              <w:t>Certification of Principal Financial Officer Pursuant to Rules 13a-14(a) and 15d-14(a) under the Securities Exchange Act of 1934, as Adopted Pursuant to</w:t>
            </w:r>
          </w:p>
        </w:tc>
        <w:tc>
          <w:tcPr>
            <w:tcW w:w="0" w:type="dxa"/>
            <w:vAlign w:val="bottom"/>
          </w:tcPr>
          <w:p>
            <w:pPr>
              <w:spacing w:after="0"/>
              <w:rPr>
                <w:sz w:val="1"/>
                <w:szCs w:val="1"/>
                <w:color w:val="auto"/>
              </w:rPr>
            </w:pPr>
          </w:p>
        </w:tc>
      </w:tr>
      <w:tr>
        <w:trPr>
          <w:trHeight w:val="156"/>
        </w:trPr>
        <w:tc>
          <w:tcPr>
            <w:tcW w:w="80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260" w:type="dxa"/>
            <w:vAlign w:val="bottom"/>
          </w:tcPr>
          <w:p>
            <w:pPr>
              <w:spacing w:after="0"/>
              <w:rPr>
                <w:sz w:val="13"/>
                <w:szCs w:val="13"/>
                <w:color w:val="auto"/>
              </w:rPr>
            </w:pPr>
          </w:p>
        </w:tc>
        <w:tc>
          <w:tcPr>
            <w:tcW w:w="10020" w:type="dxa"/>
            <w:vAlign w:val="bottom"/>
            <w:tcBorders>
              <w:top w:val="single" w:sz="8" w:color="0000FF"/>
            </w:tcBorders>
            <w:gridSpan w:val="18"/>
          </w:tcPr>
          <w:p>
            <w:pPr>
              <w:spacing w:after="0" w:line="155" w:lineRule="exact"/>
              <w:rPr>
                <w:sz w:val="20"/>
                <w:szCs w:val="20"/>
                <w:color w:val="auto"/>
              </w:rPr>
            </w:pPr>
            <w:r>
              <w:rPr>
                <w:rFonts w:ascii="Arial" w:cs="Arial" w:eastAsia="Arial" w:hAnsi="Arial"/>
                <w:sz w:val="16"/>
                <w:szCs w:val="16"/>
                <w:color w:val="0000FF"/>
              </w:rPr>
              <w:t>Section 302 of the Sarbanes-Oxley Act of 2002.</w:t>
            </w: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5"/>
            <w:shd w:val="clear" w:color="auto" w:fill="0000FF"/>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180" w:type="dxa"/>
            <w:vAlign w:val="bottom"/>
            <w:gridSpan w:val="23"/>
          </w:tcPr>
          <w:p>
            <w:pPr>
              <w:spacing w:after="0" w:line="155" w:lineRule="exact"/>
              <w:rPr>
                <w:sz w:val="20"/>
                <w:szCs w:val="20"/>
                <w:color w:val="auto"/>
              </w:rPr>
            </w:pPr>
            <w:r>
              <w:rPr>
                <w:rFonts w:ascii="Arial" w:cs="Arial" w:eastAsia="Arial" w:hAnsi="Arial"/>
                <w:sz w:val="16"/>
                <w:szCs w:val="16"/>
                <w:color w:val="0000FF"/>
                <w:w w:val="94"/>
              </w:rPr>
              <w:t>Certification of 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rPr>
                <w:sz w:val="20"/>
                <w:szCs w:val="20"/>
                <w:color w:val="auto"/>
              </w:rPr>
            </w:pPr>
            <w:r>
              <w:rPr>
                <w:rFonts w:ascii="Arial" w:cs="Arial" w:eastAsia="Arial" w:hAnsi="Arial"/>
                <w:sz w:val="16"/>
                <w:szCs w:val="16"/>
                <w:color w:val="auto"/>
              </w:rPr>
              <w:t>32.2*</w:t>
            </w:r>
          </w:p>
        </w:tc>
        <w:tc>
          <w:tcPr>
            <w:tcW w:w="260" w:type="dxa"/>
            <w:vAlign w:val="bottom"/>
            <w:tcBorders>
              <w:right w:val="single" w:sz="8" w:color="0000EE"/>
            </w:tcBorders>
          </w:tcPr>
          <w:p>
            <w:pPr>
              <w:spacing w:after="0" w:line="20" w:lineRule="exact"/>
              <w:rPr>
                <w:sz w:val="1"/>
                <w:szCs w:val="1"/>
                <w:color w:val="auto"/>
              </w:rPr>
            </w:pPr>
          </w:p>
        </w:tc>
        <w:tc>
          <w:tcPr>
            <w:tcW w:w="9860" w:type="dxa"/>
            <w:vAlign w:val="bottom"/>
            <w:gridSpan w:val="15"/>
            <w:shd w:val="clear" w:color="auto" w:fill="0000FF"/>
          </w:tcPr>
          <w:p>
            <w:pPr>
              <w:spacing w:after="0" w:line="20" w:lineRule="exact"/>
              <w:rPr>
                <w:sz w:val="1"/>
                <w:szCs w:val="1"/>
                <w:color w:val="auto"/>
              </w:rPr>
            </w:pPr>
          </w:p>
        </w:tc>
        <w:tc>
          <w:tcPr>
            <w:tcW w:w="320" w:type="dxa"/>
            <w:vAlign w:val="bottom"/>
            <w:tcBorders>
              <w:left w:val="single" w:sz="8" w:color="0000FF"/>
            </w:tcBorders>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180" w:type="dxa"/>
            <w:vAlign w:val="bottom"/>
            <w:gridSpan w:val="23"/>
          </w:tcPr>
          <w:p>
            <w:pPr>
              <w:spacing w:after="0" w:line="169" w:lineRule="exact"/>
              <w:rPr>
                <w:sz w:val="20"/>
                <w:szCs w:val="20"/>
                <w:color w:val="auto"/>
              </w:rPr>
            </w:pPr>
            <w:r>
              <w:rPr>
                <w:rFonts w:ascii="Arial" w:cs="Arial" w:eastAsia="Arial" w:hAnsi="Arial"/>
                <w:sz w:val="16"/>
                <w:szCs w:val="16"/>
                <w:color w:val="0000FF"/>
                <w:w w:val="95"/>
              </w:rPr>
              <w:t>Certification of Principal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rPr>
                <w:sz w:val="20"/>
                <w:szCs w:val="20"/>
                <w:color w:val="auto"/>
              </w:rPr>
            </w:pPr>
            <w:r>
              <w:rPr>
                <w:rFonts w:ascii="Arial" w:cs="Arial" w:eastAsia="Arial" w:hAnsi="Arial"/>
                <w:sz w:val="16"/>
                <w:szCs w:val="16"/>
                <w:color w:val="auto"/>
              </w:rPr>
              <w:t>32.3*</w:t>
            </w:r>
          </w:p>
        </w:tc>
        <w:tc>
          <w:tcPr>
            <w:tcW w:w="260" w:type="dxa"/>
            <w:vAlign w:val="bottom"/>
            <w:tcBorders>
              <w:right w:val="single" w:sz="8" w:color="0000EE"/>
            </w:tcBorders>
          </w:tcPr>
          <w:p>
            <w:pPr>
              <w:spacing w:after="0" w:line="20" w:lineRule="exact"/>
              <w:rPr>
                <w:sz w:val="1"/>
                <w:szCs w:val="1"/>
                <w:color w:val="auto"/>
              </w:rPr>
            </w:pPr>
          </w:p>
        </w:tc>
        <w:tc>
          <w:tcPr>
            <w:tcW w:w="9860" w:type="dxa"/>
            <w:vAlign w:val="bottom"/>
            <w:gridSpan w:val="15"/>
            <w:shd w:val="clear" w:color="auto" w:fill="0000FF"/>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180" w:type="dxa"/>
            <w:vAlign w:val="bottom"/>
            <w:gridSpan w:val="23"/>
          </w:tcPr>
          <w:p>
            <w:pPr>
              <w:spacing w:after="0" w:line="169" w:lineRule="exact"/>
              <w:rPr>
                <w:sz w:val="20"/>
                <w:szCs w:val="20"/>
                <w:color w:val="auto"/>
              </w:rPr>
            </w:pPr>
            <w:r>
              <w:rPr>
                <w:rFonts w:ascii="Arial" w:cs="Arial" w:eastAsia="Arial" w:hAnsi="Arial"/>
                <w:sz w:val="16"/>
                <w:szCs w:val="16"/>
                <w:color w:val="0000FF"/>
                <w:w w:val="95"/>
              </w:rPr>
              <w:t>Certification of Principal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rPr>
                <w:sz w:val="20"/>
                <w:szCs w:val="20"/>
                <w:color w:val="auto"/>
              </w:rPr>
            </w:pPr>
            <w:r>
              <w:rPr>
                <w:rFonts w:ascii="Arial" w:cs="Arial" w:eastAsia="Arial" w:hAnsi="Arial"/>
                <w:sz w:val="16"/>
                <w:szCs w:val="16"/>
                <w:color w:val="auto"/>
              </w:rPr>
              <w:t>101.INS</w:t>
            </w:r>
          </w:p>
        </w:tc>
        <w:tc>
          <w:tcPr>
            <w:tcW w:w="260" w:type="dxa"/>
            <w:vAlign w:val="bottom"/>
            <w:tcBorders>
              <w:right w:val="single" w:sz="8" w:color="0000EE"/>
            </w:tcBorders>
          </w:tcPr>
          <w:p>
            <w:pPr>
              <w:spacing w:after="0" w:line="20" w:lineRule="exact"/>
              <w:rPr>
                <w:sz w:val="1"/>
                <w:szCs w:val="1"/>
                <w:color w:val="auto"/>
              </w:rPr>
            </w:pPr>
          </w:p>
        </w:tc>
        <w:tc>
          <w:tcPr>
            <w:tcW w:w="9860" w:type="dxa"/>
            <w:vAlign w:val="bottom"/>
            <w:gridSpan w:val="15"/>
            <w:shd w:val="clear" w:color="auto" w:fill="0000FF"/>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180" w:type="dxa"/>
            <w:vAlign w:val="bottom"/>
            <w:gridSpan w:val="23"/>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189"/>
        </w:trPr>
        <w:tc>
          <w:tcPr>
            <w:tcW w:w="800" w:type="dxa"/>
            <w:vAlign w:val="bottom"/>
          </w:tcPr>
          <w:p>
            <w:pPr>
              <w:ind w:left="20"/>
              <w:spacing w:after="0"/>
              <w:rPr>
                <w:sz w:val="20"/>
                <w:szCs w:val="20"/>
                <w:color w:val="auto"/>
              </w:rPr>
            </w:pPr>
            <w:r>
              <w:rPr>
                <w:rFonts w:ascii="Arial" w:cs="Arial" w:eastAsia="Arial" w:hAnsi="Arial"/>
                <w:sz w:val="16"/>
                <w:szCs w:val="16"/>
                <w:color w:val="auto"/>
              </w:rPr>
              <w:t>101.SCH</w:t>
            </w:r>
          </w:p>
        </w:tc>
        <w:tc>
          <w:tcPr>
            <w:tcW w:w="260" w:type="dxa"/>
            <w:vAlign w:val="bottom"/>
          </w:tcPr>
          <w:p>
            <w:pPr>
              <w:spacing w:after="0"/>
              <w:rPr>
                <w:sz w:val="16"/>
                <w:szCs w:val="16"/>
                <w:color w:val="auto"/>
              </w:rPr>
            </w:pPr>
          </w:p>
        </w:tc>
        <w:tc>
          <w:tcPr>
            <w:tcW w:w="10180" w:type="dxa"/>
            <w:vAlign w:val="bottom"/>
            <w:gridSpan w:val="23"/>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800" w:type="dxa"/>
            <w:vAlign w:val="bottom"/>
          </w:tcPr>
          <w:p>
            <w:pPr>
              <w:ind w:left="20"/>
              <w:spacing w:after="0"/>
              <w:rPr>
                <w:sz w:val="20"/>
                <w:szCs w:val="20"/>
                <w:color w:val="auto"/>
              </w:rPr>
            </w:pPr>
            <w:r>
              <w:rPr>
                <w:rFonts w:ascii="Arial" w:cs="Arial" w:eastAsia="Arial" w:hAnsi="Arial"/>
                <w:sz w:val="16"/>
                <w:szCs w:val="16"/>
                <w:color w:val="auto"/>
              </w:rPr>
              <w:t>101.CAL</w:t>
            </w:r>
          </w:p>
        </w:tc>
        <w:tc>
          <w:tcPr>
            <w:tcW w:w="260" w:type="dxa"/>
            <w:vAlign w:val="bottom"/>
          </w:tcPr>
          <w:p>
            <w:pPr>
              <w:spacing w:after="0"/>
              <w:rPr>
                <w:sz w:val="16"/>
                <w:szCs w:val="16"/>
                <w:color w:val="auto"/>
              </w:rPr>
            </w:pPr>
          </w:p>
        </w:tc>
        <w:tc>
          <w:tcPr>
            <w:tcW w:w="10180" w:type="dxa"/>
            <w:vAlign w:val="bottom"/>
            <w:gridSpan w:val="23"/>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800" w:type="dxa"/>
            <w:vAlign w:val="bottom"/>
          </w:tcPr>
          <w:p>
            <w:pPr>
              <w:ind w:left="20"/>
              <w:spacing w:after="0"/>
              <w:rPr>
                <w:sz w:val="20"/>
                <w:szCs w:val="20"/>
                <w:color w:val="auto"/>
              </w:rPr>
            </w:pPr>
            <w:r>
              <w:rPr>
                <w:rFonts w:ascii="Arial" w:cs="Arial" w:eastAsia="Arial" w:hAnsi="Arial"/>
                <w:sz w:val="16"/>
                <w:szCs w:val="16"/>
                <w:color w:val="auto"/>
              </w:rPr>
              <w:t>101.DEF</w:t>
            </w:r>
          </w:p>
        </w:tc>
        <w:tc>
          <w:tcPr>
            <w:tcW w:w="260" w:type="dxa"/>
            <w:vAlign w:val="bottom"/>
          </w:tcPr>
          <w:p>
            <w:pPr>
              <w:spacing w:after="0"/>
              <w:rPr>
                <w:sz w:val="16"/>
                <w:szCs w:val="16"/>
                <w:color w:val="auto"/>
              </w:rPr>
            </w:pPr>
          </w:p>
        </w:tc>
        <w:tc>
          <w:tcPr>
            <w:tcW w:w="10180" w:type="dxa"/>
            <w:vAlign w:val="bottom"/>
            <w:gridSpan w:val="23"/>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189"/>
        </w:trPr>
        <w:tc>
          <w:tcPr>
            <w:tcW w:w="800" w:type="dxa"/>
            <w:vAlign w:val="bottom"/>
          </w:tcPr>
          <w:p>
            <w:pPr>
              <w:ind w:left="20"/>
              <w:spacing w:after="0"/>
              <w:rPr>
                <w:sz w:val="20"/>
                <w:szCs w:val="20"/>
                <w:color w:val="auto"/>
              </w:rPr>
            </w:pPr>
            <w:r>
              <w:rPr>
                <w:rFonts w:ascii="Arial" w:cs="Arial" w:eastAsia="Arial" w:hAnsi="Arial"/>
                <w:sz w:val="16"/>
                <w:szCs w:val="16"/>
                <w:color w:val="auto"/>
              </w:rPr>
              <w:t>101.LAB</w:t>
            </w:r>
          </w:p>
        </w:tc>
        <w:tc>
          <w:tcPr>
            <w:tcW w:w="260" w:type="dxa"/>
            <w:vAlign w:val="bottom"/>
          </w:tcPr>
          <w:p>
            <w:pPr>
              <w:spacing w:after="0"/>
              <w:rPr>
                <w:sz w:val="16"/>
                <w:szCs w:val="16"/>
                <w:color w:val="auto"/>
              </w:rPr>
            </w:pPr>
          </w:p>
        </w:tc>
        <w:tc>
          <w:tcPr>
            <w:tcW w:w="10180" w:type="dxa"/>
            <w:vAlign w:val="bottom"/>
            <w:gridSpan w:val="23"/>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06"/>
        </w:trPr>
        <w:tc>
          <w:tcPr>
            <w:tcW w:w="800" w:type="dxa"/>
            <w:vAlign w:val="bottom"/>
          </w:tcPr>
          <w:p>
            <w:pPr>
              <w:ind w:left="20"/>
              <w:spacing w:after="0"/>
              <w:rPr>
                <w:sz w:val="20"/>
                <w:szCs w:val="20"/>
                <w:color w:val="auto"/>
              </w:rPr>
            </w:pPr>
            <w:r>
              <w:rPr>
                <w:rFonts w:ascii="Arial" w:cs="Arial" w:eastAsia="Arial" w:hAnsi="Arial"/>
                <w:sz w:val="16"/>
                <w:szCs w:val="16"/>
                <w:color w:val="auto"/>
              </w:rPr>
              <w:t>101.PRE</w:t>
            </w:r>
          </w:p>
        </w:tc>
        <w:tc>
          <w:tcPr>
            <w:tcW w:w="260" w:type="dxa"/>
            <w:vAlign w:val="bottom"/>
          </w:tcPr>
          <w:p>
            <w:pPr>
              <w:spacing w:after="0"/>
              <w:rPr>
                <w:sz w:val="17"/>
                <w:szCs w:val="17"/>
                <w:color w:val="auto"/>
              </w:rPr>
            </w:pPr>
          </w:p>
        </w:tc>
        <w:tc>
          <w:tcPr>
            <w:tcW w:w="10180" w:type="dxa"/>
            <w:vAlign w:val="bottom"/>
            <w:gridSpan w:val="23"/>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3280" w:type="dxa"/>
            <w:vAlign w:val="bottom"/>
            <w:gridSpan w:val="2"/>
          </w:tcPr>
          <w:p>
            <w:pPr>
              <w:ind w:left="1980"/>
              <w:spacing w:after="0"/>
              <w:rPr>
                <w:sz w:val="20"/>
                <w:szCs w:val="20"/>
                <w:color w:val="auto"/>
              </w:rPr>
            </w:pPr>
            <w:r>
              <w:rPr>
                <w:rFonts w:ascii="Arial" w:cs="Arial" w:eastAsia="Arial" w:hAnsi="Arial"/>
                <w:sz w:val="18"/>
                <w:szCs w:val="18"/>
                <w:color w:val="auto"/>
              </w:rPr>
              <w:t>P10, Inc.</w:t>
            </w:r>
          </w:p>
        </w:tc>
        <w:tc>
          <w:tcPr>
            <w:tcW w:w="4240" w:type="dxa"/>
            <w:vAlign w:val="bottom"/>
          </w:tcPr>
          <w:p>
            <w:pPr>
              <w:spacing w:after="0"/>
              <w:rPr>
                <w:sz w:val="20"/>
                <w:szCs w:val="20"/>
                <w:color w:val="auto"/>
              </w:rPr>
            </w:pPr>
          </w:p>
        </w:tc>
      </w:tr>
      <w:tr>
        <w:trPr>
          <w:trHeight w:val="405"/>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14, 2022</w:t>
            </w:r>
          </w:p>
        </w:tc>
        <w:tc>
          <w:tcPr>
            <w:tcW w:w="3280" w:type="dxa"/>
            <w:vAlign w:val="bottom"/>
            <w:gridSpan w:val="2"/>
          </w:tcPr>
          <w:p>
            <w:pPr>
              <w:ind w:left="1980"/>
              <w:spacing w:after="0"/>
              <w:rPr>
                <w:sz w:val="20"/>
                <w:szCs w:val="20"/>
                <w:color w:val="auto"/>
              </w:rPr>
            </w:pPr>
            <w:r>
              <w:rPr>
                <w:rFonts w:ascii="Arial" w:cs="Arial" w:eastAsia="Arial" w:hAnsi="Arial"/>
                <w:sz w:val="18"/>
                <w:szCs w:val="18"/>
                <w:color w:val="auto"/>
              </w:rPr>
              <w:t>By:</w:t>
            </w:r>
          </w:p>
        </w:tc>
        <w:tc>
          <w:tcPr>
            <w:tcW w:w="4240" w:type="dxa"/>
            <w:vAlign w:val="bottom"/>
          </w:tcPr>
          <w:p>
            <w:pPr>
              <w:jc w:val="center"/>
              <w:ind w:right="770"/>
              <w:spacing w:after="0"/>
              <w:rPr>
                <w:sz w:val="20"/>
                <w:szCs w:val="20"/>
                <w:color w:val="auto"/>
              </w:rPr>
            </w:pPr>
            <w:r>
              <w:rPr>
                <w:rFonts w:ascii="Arial" w:cs="Arial" w:eastAsia="Arial" w:hAnsi="Arial"/>
                <w:sz w:val="18"/>
                <w:szCs w:val="18"/>
                <w:color w:val="auto"/>
                <w:w w:val="93"/>
              </w:rPr>
              <w:t>/s/ Robert Alpert</w:t>
            </w:r>
          </w:p>
        </w:tc>
      </w:tr>
      <w:tr>
        <w:trPr>
          <w:trHeight w:val="164"/>
        </w:trPr>
        <w:tc>
          <w:tcPr>
            <w:tcW w:w="3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240" w:type="dxa"/>
            <w:vAlign w:val="bottom"/>
            <w:tcBorders>
              <w:top w:val="single" w:sz="8" w:color="auto"/>
            </w:tcBorders>
          </w:tcPr>
          <w:p>
            <w:pPr>
              <w:jc w:val="center"/>
              <w:ind w:right="770"/>
              <w:spacing w:after="0" w:line="164" w:lineRule="exact"/>
              <w:rPr>
                <w:sz w:val="20"/>
                <w:szCs w:val="20"/>
                <w:color w:val="auto"/>
              </w:rPr>
            </w:pPr>
            <w:r>
              <w:rPr>
                <w:rFonts w:ascii="Arial" w:cs="Arial" w:eastAsia="Arial" w:hAnsi="Arial"/>
                <w:sz w:val="18"/>
                <w:szCs w:val="18"/>
                <w:b w:val="1"/>
                <w:bCs w:val="1"/>
                <w:color w:val="auto"/>
                <w:w w:val="95"/>
              </w:rPr>
              <w:t>Robert Alpert</w:t>
            </w:r>
          </w:p>
        </w:tc>
      </w:tr>
      <w:tr>
        <w:trPr>
          <w:trHeight w:val="234"/>
        </w:trPr>
        <w:tc>
          <w:tcPr>
            <w:tcW w:w="3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40" w:type="dxa"/>
            <w:vAlign w:val="bottom"/>
          </w:tcPr>
          <w:p>
            <w:pPr>
              <w:jc w:val="center"/>
              <w:ind w:right="770"/>
              <w:spacing w:after="0"/>
              <w:rPr>
                <w:sz w:val="20"/>
                <w:szCs w:val="20"/>
                <w:color w:val="auto"/>
              </w:rPr>
            </w:pPr>
            <w:r>
              <w:rPr>
                <w:rFonts w:ascii="Arial" w:cs="Arial" w:eastAsia="Arial" w:hAnsi="Arial"/>
                <w:sz w:val="18"/>
                <w:szCs w:val="18"/>
                <w:b w:val="1"/>
                <w:bCs w:val="1"/>
                <w:color w:val="auto"/>
                <w:w w:val="92"/>
              </w:rPr>
              <w:t>Co-Chief Executive Officer</w:t>
            </w:r>
          </w:p>
        </w:tc>
      </w:tr>
      <w:tr>
        <w:trPr>
          <w:trHeight w:val="405"/>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14, 2022</w:t>
            </w:r>
          </w:p>
        </w:tc>
        <w:tc>
          <w:tcPr>
            <w:tcW w:w="3280" w:type="dxa"/>
            <w:vAlign w:val="bottom"/>
            <w:gridSpan w:val="2"/>
          </w:tcPr>
          <w:p>
            <w:pPr>
              <w:ind w:left="1980"/>
              <w:spacing w:after="0"/>
              <w:rPr>
                <w:sz w:val="20"/>
                <w:szCs w:val="20"/>
                <w:color w:val="auto"/>
              </w:rPr>
            </w:pPr>
            <w:r>
              <w:rPr>
                <w:rFonts w:ascii="Arial" w:cs="Arial" w:eastAsia="Arial" w:hAnsi="Arial"/>
                <w:sz w:val="18"/>
                <w:szCs w:val="18"/>
                <w:color w:val="auto"/>
              </w:rPr>
              <w:t>By:</w:t>
            </w:r>
          </w:p>
        </w:tc>
        <w:tc>
          <w:tcPr>
            <w:tcW w:w="4240" w:type="dxa"/>
            <w:vAlign w:val="bottom"/>
          </w:tcPr>
          <w:p>
            <w:pPr>
              <w:jc w:val="center"/>
              <w:ind w:right="770"/>
              <w:spacing w:after="0"/>
              <w:rPr>
                <w:sz w:val="20"/>
                <w:szCs w:val="20"/>
                <w:color w:val="auto"/>
              </w:rPr>
            </w:pPr>
            <w:r>
              <w:rPr>
                <w:rFonts w:ascii="Arial" w:cs="Arial" w:eastAsia="Arial" w:hAnsi="Arial"/>
                <w:sz w:val="18"/>
                <w:szCs w:val="18"/>
                <w:color w:val="auto"/>
                <w:w w:val="92"/>
              </w:rPr>
              <w:t>/s/ C. Clark Webb</w:t>
            </w:r>
          </w:p>
        </w:tc>
      </w:tr>
      <w:tr>
        <w:trPr>
          <w:trHeight w:val="164"/>
        </w:trPr>
        <w:tc>
          <w:tcPr>
            <w:tcW w:w="3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240" w:type="dxa"/>
            <w:vAlign w:val="bottom"/>
            <w:tcBorders>
              <w:top w:val="single" w:sz="8" w:color="auto"/>
            </w:tcBorders>
          </w:tcPr>
          <w:p>
            <w:pPr>
              <w:jc w:val="center"/>
              <w:ind w:right="770"/>
              <w:spacing w:after="0" w:line="164" w:lineRule="exact"/>
              <w:rPr>
                <w:sz w:val="20"/>
                <w:szCs w:val="20"/>
                <w:color w:val="auto"/>
              </w:rPr>
            </w:pPr>
            <w:r>
              <w:rPr>
                <w:rFonts w:ascii="Arial" w:cs="Arial" w:eastAsia="Arial" w:hAnsi="Arial"/>
                <w:sz w:val="18"/>
                <w:szCs w:val="18"/>
                <w:b w:val="1"/>
                <w:bCs w:val="1"/>
                <w:color w:val="auto"/>
                <w:w w:val="96"/>
              </w:rPr>
              <w:t>C. Clark Webb</w:t>
            </w:r>
          </w:p>
        </w:tc>
      </w:tr>
      <w:tr>
        <w:trPr>
          <w:trHeight w:val="234"/>
        </w:trPr>
        <w:tc>
          <w:tcPr>
            <w:tcW w:w="3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40" w:type="dxa"/>
            <w:vAlign w:val="bottom"/>
          </w:tcPr>
          <w:p>
            <w:pPr>
              <w:jc w:val="center"/>
              <w:ind w:right="770"/>
              <w:spacing w:after="0"/>
              <w:rPr>
                <w:sz w:val="20"/>
                <w:szCs w:val="20"/>
                <w:color w:val="auto"/>
              </w:rPr>
            </w:pPr>
            <w:r>
              <w:rPr>
                <w:rFonts w:ascii="Arial" w:cs="Arial" w:eastAsia="Arial" w:hAnsi="Arial"/>
                <w:sz w:val="18"/>
                <w:szCs w:val="18"/>
                <w:b w:val="1"/>
                <w:bCs w:val="1"/>
                <w:color w:val="auto"/>
                <w:w w:val="92"/>
              </w:rPr>
              <w:t>Co-Chief Executive Officer</w:t>
            </w:r>
          </w:p>
        </w:tc>
      </w:tr>
      <w:tr>
        <w:trPr>
          <w:trHeight w:val="405"/>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14, 2022</w:t>
            </w:r>
          </w:p>
        </w:tc>
        <w:tc>
          <w:tcPr>
            <w:tcW w:w="3280" w:type="dxa"/>
            <w:vAlign w:val="bottom"/>
            <w:gridSpan w:val="2"/>
          </w:tcPr>
          <w:p>
            <w:pPr>
              <w:ind w:left="1980"/>
              <w:spacing w:after="0"/>
              <w:rPr>
                <w:sz w:val="20"/>
                <w:szCs w:val="20"/>
                <w:color w:val="auto"/>
              </w:rPr>
            </w:pPr>
            <w:r>
              <w:rPr>
                <w:rFonts w:ascii="Arial" w:cs="Arial" w:eastAsia="Arial" w:hAnsi="Arial"/>
                <w:sz w:val="18"/>
                <w:szCs w:val="18"/>
                <w:color w:val="auto"/>
              </w:rPr>
              <w:t>By:</w:t>
            </w:r>
          </w:p>
        </w:tc>
        <w:tc>
          <w:tcPr>
            <w:tcW w:w="4240" w:type="dxa"/>
            <w:vAlign w:val="bottom"/>
          </w:tcPr>
          <w:p>
            <w:pPr>
              <w:jc w:val="center"/>
              <w:ind w:right="770"/>
              <w:spacing w:after="0"/>
              <w:rPr>
                <w:sz w:val="20"/>
                <w:szCs w:val="20"/>
                <w:color w:val="auto"/>
              </w:rPr>
            </w:pPr>
            <w:r>
              <w:rPr>
                <w:rFonts w:ascii="Arial" w:cs="Arial" w:eastAsia="Arial" w:hAnsi="Arial"/>
                <w:sz w:val="18"/>
                <w:szCs w:val="18"/>
                <w:color w:val="auto"/>
                <w:w w:val="87"/>
              </w:rPr>
              <w:t>/s/ Amanda Coussens</w:t>
            </w:r>
          </w:p>
        </w:tc>
      </w:tr>
      <w:tr>
        <w:trPr>
          <w:trHeight w:val="164"/>
        </w:trPr>
        <w:tc>
          <w:tcPr>
            <w:tcW w:w="3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240" w:type="dxa"/>
            <w:vAlign w:val="bottom"/>
            <w:tcBorders>
              <w:top w:val="single" w:sz="8" w:color="auto"/>
            </w:tcBorders>
          </w:tcPr>
          <w:p>
            <w:pPr>
              <w:jc w:val="center"/>
              <w:ind w:right="770"/>
              <w:spacing w:after="0" w:line="164" w:lineRule="exact"/>
              <w:rPr>
                <w:sz w:val="20"/>
                <w:szCs w:val="20"/>
                <w:color w:val="auto"/>
              </w:rPr>
            </w:pPr>
            <w:r>
              <w:rPr>
                <w:rFonts w:ascii="Arial" w:cs="Arial" w:eastAsia="Arial" w:hAnsi="Arial"/>
                <w:sz w:val="18"/>
                <w:szCs w:val="18"/>
                <w:b w:val="1"/>
                <w:bCs w:val="1"/>
                <w:color w:val="auto"/>
                <w:w w:val="87"/>
              </w:rPr>
              <w:t>Amanda Coussens</w:t>
            </w:r>
          </w:p>
        </w:tc>
      </w:tr>
      <w:tr>
        <w:trPr>
          <w:trHeight w:val="234"/>
        </w:trPr>
        <w:tc>
          <w:tcPr>
            <w:tcW w:w="3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40" w:type="dxa"/>
            <w:vAlign w:val="bottom"/>
          </w:tcPr>
          <w:p>
            <w:pPr>
              <w:jc w:val="center"/>
              <w:ind w:right="770"/>
              <w:spacing w:after="0"/>
              <w:rPr>
                <w:sz w:val="20"/>
                <w:szCs w:val="20"/>
                <w:color w:val="auto"/>
              </w:rPr>
            </w:pPr>
            <w:r>
              <w:rPr>
                <w:rFonts w:ascii="Arial" w:cs="Arial" w:eastAsia="Arial" w:hAnsi="Arial"/>
                <w:sz w:val="18"/>
                <w:szCs w:val="18"/>
                <w:b w:val="1"/>
                <w:bCs w:val="1"/>
                <w:color w:val="auto"/>
                <w:w w:val="93"/>
              </w:rPr>
              <w:t>Chief Financial Officer</w:t>
            </w:r>
          </w:p>
        </w:tc>
      </w:tr>
      <w:tr>
        <w:trPr>
          <w:trHeight w:val="366"/>
        </w:trPr>
        <w:tc>
          <w:tcPr>
            <w:tcW w:w="3720" w:type="dxa"/>
            <w:vAlign w:val="bottom"/>
          </w:tcPr>
          <w:p>
            <w:pPr>
              <w:spacing w:after="0"/>
              <w:rPr>
                <w:sz w:val="24"/>
                <w:szCs w:val="24"/>
                <w:color w:val="auto"/>
              </w:rPr>
            </w:pPr>
          </w:p>
        </w:tc>
        <w:tc>
          <w:tcPr>
            <w:tcW w:w="2420" w:type="dxa"/>
            <w:vAlign w:val="bottom"/>
          </w:tcPr>
          <w:p>
            <w:pPr>
              <w:ind w:left="1840"/>
              <w:spacing w:after="0"/>
              <w:rPr>
                <w:sz w:val="20"/>
                <w:szCs w:val="20"/>
                <w:color w:val="auto"/>
              </w:rPr>
            </w:pPr>
            <w:r>
              <w:rPr>
                <w:rFonts w:ascii="Arial" w:cs="Arial" w:eastAsia="Arial" w:hAnsi="Arial"/>
                <w:sz w:val="14"/>
                <w:szCs w:val="14"/>
                <w:color w:val="auto"/>
              </w:rPr>
              <w:t>50</w:t>
            </w:r>
          </w:p>
        </w:tc>
        <w:tc>
          <w:tcPr>
            <w:tcW w:w="8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29"/>
        </w:trPr>
        <w:tc>
          <w:tcPr>
            <w:tcW w:w="37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20"/>
        <w:spacing w:after="0" w:line="234" w:lineRule="auto"/>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Robert Alpert, certify that:</w:t>
      </w:r>
    </w:p>
    <w:p>
      <w:pPr>
        <w:spacing w:after="0" w:line="101"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03" w:lineRule="exact"/>
        <w:rPr>
          <w:rFonts w:ascii="Arial" w:cs="Arial" w:eastAsia="Arial" w:hAnsi="Arial"/>
          <w:sz w:val="18"/>
          <w:szCs w:val="18"/>
          <w:color w:val="auto"/>
        </w:rPr>
      </w:pPr>
    </w:p>
    <w:p>
      <w:pPr>
        <w:jc w:val="both"/>
        <w:ind w:left="1020" w:right="20" w:hanging="503"/>
        <w:spacing w:after="0" w:line="25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w:t>
      </w:r>
    </w:p>
    <w:p>
      <w:pPr>
        <w:spacing w:after="0" w:line="35" w:lineRule="exact"/>
        <w:rPr>
          <w:sz w:val="20"/>
          <w:szCs w:val="20"/>
          <w:color w:val="auto"/>
        </w:rPr>
      </w:pPr>
    </w:p>
    <w:p>
      <w:pPr>
        <w:ind w:left="1020" w:right="20"/>
        <w:spacing w:after="0" w:line="235"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2040" w:right="220" w:firstLine="5"/>
        <w:spacing w:after="0" w:line="270" w:lineRule="auto"/>
        <w:tabs>
          <w:tab w:leader="none" w:pos="251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2040" w:right="320" w:firstLine="5"/>
        <w:spacing w:after="0" w:line="270" w:lineRule="auto"/>
        <w:tabs>
          <w:tab w:leader="none" w:pos="25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2040" w:right="60" w:firstLine="5"/>
        <w:spacing w:after="0"/>
        <w:tabs>
          <w:tab w:leader="none" w:pos="25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2040" w:right="240" w:firstLine="5"/>
        <w:spacing w:after="0" w:line="292" w:lineRule="auto"/>
        <w:tabs>
          <w:tab w:leader="none" w:pos="25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6"/>
          <w:szCs w:val="16"/>
          <w:color w:val="auto"/>
        </w:rPr>
      </w:pPr>
    </w:p>
    <w:p>
      <w:pPr>
        <w:ind w:left="1020" w:right="46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2040" w:right="560" w:firstLine="5"/>
        <w:spacing w:after="0"/>
        <w:tabs>
          <w:tab w:leader="none" w:pos="25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040" w:right="360" w:firstLine="5"/>
        <w:spacing w:after="0" w:line="243" w:lineRule="auto"/>
        <w:tabs>
          <w:tab w:leader="none" w:pos="25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Robert Alpert</w:t>
      </w: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20"/>
        <w:spacing w:after="0" w:line="234" w:lineRule="auto"/>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C. Clark Webb, certify that:</w:t>
      </w:r>
    </w:p>
    <w:p>
      <w:pPr>
        <w:spacing w:after="0" w:line="101"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03" w:lineRule="exact"/>
        <w:rPr>
          <w:rFonts w:ascii="Arial" w:cs="Arial" w:eastAsia="Arial" w:hAnsi="Arial"/>
          <w:sz w:val="18"/>
          <w:szCs w:val="18"/>
          <w:color w:val="auto"/>
        </w:rPr>
      </w:pPr>
    </w:p>
    <w:p>
      <w:pPr>
        <w:jc w:val="both"/>
        <w:ind w:left="1020" w:right="20" w:hanging="503"/>
        <w:spacing w:after="0" w:line="25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w:t>
      </w:r>
    </w:p>
    <w:p>
      <w:pPr>
        <w:spacing w:after="0" w:line="35" w:lineRule="exact"/>
        <w:rPr>
          <w:sz w:val="20"/>
          <w:szCs w:val="20"/>
          <w:color w:val="auto"/>
        </w:rPr>
      </w:pPr>
    </w:p>
    <w:p>
      <w:pPr>
        <w:ind w:left="1020" w:right="20"/>
        <w:spacing w:after="0" w:line="235"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2040" w:right="220" w:firstLine="5"/>
        <w:spacing w:after="0" w:line="270" w:lineRule="auto"/>
        <w:tabs>
          <w:tab w:leader="none" w:pos="251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2040" w:right="320" w:firstLine="5"/>
        <w:spacing w:after="0" w:line="270" w:lineRule="auto"/>
        <w:tabs>
          <w:tab w:leader="none" w:pos="25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2040" w:right="60" w:firstLine="5"/>
        <w:spacing w:after="0"/>
        <w:tabs>
          <w:tab w:leader="none" w:pos="251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2040" w:right="240" w:firstLine="5"/>
        <w:spacing w:after="0" w:line="292" w:lineRule="auto"/>
        <w:tabs>
          <w:tab w:leader="none" w:pos="25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6"/>
          <w:szCs w:val="16"/>
          <w:color w:val="auto"/>
        </w:rPr>
      </w:pPr>
    </w:p>
    <w:p>
      <w:pPr>
        <w:ind w:left="1020" w:right="46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2040" w:right="560" w:firstLine="5"/>
        <w:spacing w:after="0"/>
        <w:tabs>
          <w:tab w:leader="none" w:pos="251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040" w:right="360" w:firstLine="5"/>
        <w:spacing w:after="0" w:line="243" w:lineRule="auto"/>
        <w:tabs>
          <w:tab w:leader="none" w:pos="2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 Clark Webb</w:t>
      </w: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31.3</w:t>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20"/>
        <w:spacing w:after="0" w:line="234" w:lineRule="auto"/>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Amanda Coussens, certify that:</w:t>
      </w:r>
    </w:p>
    <w:p>
      <w:pPr>
        <w:spacing w:after="0" w:line="101"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03" w:lineRule="exact"/>
        <w:rPr>
          <w:rFonts w:ascii="Arial" w:cs="Arial" w:eastAsia="Arial" w:hAnsi="Arial"/>
          <w:sz w:val="18"/>
          <w:szCs w:val="18"/>
          <w:color w:val="auto"/>
        </w:rPr>
      </w:pPr>
    </w:p>
    <w:p>
      <w:pPr>
        <w:jc w:val="both"/>
        <w:ind w:left="1020" w:right="20" w:hanging="503"/>
        <w:spacing w:after="0" w:line="25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w:t>
      </w:r>
    </w:p>
    <w:p>
      <w:pPr>
        <w:spacing w:after="0" w:line="35" w:lineRule="exact"/>
        <w:rPr>
          <w:sz w:val="20"/>
          <w:szCs w:val="20"/>
          <w:color w:val="auto"/>
        </w:rPr>
      </w:pPr>
    </w:p>
    <w:p>
      <w:pPr>
        <w:ind w:left="1020" w:right="20"/>
        <w:spacing w:after="0" w:line="235"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2040" w:right="220" w:firstLine="5"/>
        <w:spacing w:after="0" w:line="270" w:lineRule="auto"/>
        <w:tabs>
          <w:tab w:leader="none" w:pos="25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2040" w:right="320" w:firstLine="5"/>
        <w:spacing w:after="0" w:line="270" w:lineRule="auto"/>
        <w:tabs>
          <w:tab w:leader="none" w:pos="25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2040" w:right="60" w:firstLine="5"/>
        <w:spacing w:after="0"/>
        <w:tabs>
          <w:tab w:leader="none" w:pos="25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2040" w:right="240" w:firstLine="5"/>
        <w:spacing w:after="0" w:line="292" w:lineRule="auto"/>
        <w:tabs>
          <w:tab w:leader="none" w:pos="25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6"/>
          <w:szCs w:val="16"/>
          <w:color w:val="auto"/>
        </w:rPr>
      </w:pPr>
    </w:p>
    <w:p>
      <w:pPr>
        <w:ind w:left="1020" w:right="46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2040" w:right="560" w:firstLine="5"/>
        <w:spacing w:after="0"/>
        <w:tabs>
          <w:tab w:leader="none" w:pos="25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040" w:right="360" w:firstLine="5"/>
        <w:spacing w:after="0" w:line="243" w:lineRule="auto"/>
        <w:tabs>
          <w:tab w:leader="none" w:pos="2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Amanda Coussens</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jc w:val="center"/>
        <w:spacing w:after="0" w:line="234" w:lineRule="auto"/>
        <w:rPr>
          <w:sz w:val="20"/>
          <w:szCs w:val="20"/>
          <w:color w:val="auto"/>
        </w:rPr>
      </w:pPr>
      <w:r>
        <w:rPr>
          <w:rFonts w:ascii="Arial" w:cs="Arial" w:eastAsia="Arial" w:hAnsi="Arial"/>
          <w:sz w:val="18"/>
          <w:szCs w:val="18"/>
          <w:b w:val="1"/>
          <w:bCs w:val="1"/>
          <w:color w:val="auto"/>
        </w:rPr>
        <w:t>SECTION 906 OF THE SARBANES-OXLEY ACT OF 2002</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connection with the Quarterly Report of P10, Inc. (the “Company”) on Form 10-Q for the period ending September 30, 2022 as filed with the Securities and Exchange Commission on the date hereof (the “Report”), I certify, pursuant to 18 U.S.C. § 1350, as adopted pursuant to § 906 of the Sarbanes-Oxley Act of 2002, that:</w:t>
      </w: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 w:lineRule="exact"/>
        <w:rPr>
          <w:rFonts w:ascii="Arial" w:cs="Arial" w:eastAsia="Arial" w:hAnsi="Arial"/>
          <w:sz w:val="18"/>
          <w:szCs w:val="18"/>
          <w:color w:val="auto"/>
        </w:rPr>
      </w:pPr>
    </w:p>
    <w:p>
      <w:pPr>
        <w:ind w:left="480" w:hanging="472"/>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Date: November 14, 2022</w:t>
            </w:r>
          </w:p>
        </w:tc>
        <w:tc>
          <w:tcPr>
            <w:tcW w:w="2220" w:type="dxa"/>
            <w:vAlign w:val="bottom"/>
          </w:tcPr>
          <w:p>
            <w:pPr>
              <w:ind w:left="19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Alpert</w:t>
            </w:r>
          </w:p>
        </w:tc>
      </w:tr>
      <w:tr>
        <w:trPr>
          <w:trHeight w:val="164"/>
        </w:trPr>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22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3"/>
              </w:rPr>
              <w:t>Robert Alpert</w:t>
            </w:r>
          </w:p>
        </w:tc>
      </w:tr>
      <w:tr>
        <w:trPr>
          <w:trHeight w:val="234"/>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Co-Chief Executive Officer</w:t>
            </w:r>
          </w:p>
        </w:tc>
      </w:tr>
      <w:tr>
        <w:trPr>
          <w:trHeight w:val="331"/>
        </w:trPr>
        <w:tc>
          <w:tcPr>
            <w:tcW w:w="38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jc w:val="center"/>
        <w:spacing w:after="0" w:line="234" w:lineRule="auto"/>
        <w:rPr>
          <w:sz w:val="20"/>
          <w:szCs w:val="20"/>
          <w:color w:val="auto"/>
        </w:rPr>
      </w:pPr>
      <w:r>
        <w:rPr>
          <w:rFonts w:ascii="Arial" w:cs="Arial" w:eastAsia="Arial" w:hAnsi="Arial"/>
          <w:sz w:val="18"/>
          <w:szCs w:val="18"/>
          <w:b w:val="1"/>
          <w:bCs w:val="1"/>
          <w:color w:val="auto"/>
        </w:rPr>
        <w:t>SECTION 906 OF THE SARBANES-OXLEY ACT OF 2002</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connection with the Quarterly Report of P10, Inc. (the “Company”) on Form 10-Q for the period ending September 30, 2022 as filed with the Securities and Exchange Commission on the date hereof (the “Report”), I certify, pursuant to 18 U.S.C. § 1350, as adopted pursuant to § 906 of the Sarbanes-Oxley Act of 2002, that:</w:t>
      </w:r>
    </w:p>
    <w:p>
      <w:pPr>
        <w:ind w:left="480" w:hanging="47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 w:lineRule="exact"/>
        <w:rPr>
          <w:rFonts w:ascii="Arial" w:cs="Arial" w:eastAsia="Arial" w:hAnsi="Arial"/>
          <w:sz w:val="18"/>
          <w:szCs w:val="18"/>
          <w:color w:val="auto"/>
        </w:rPr>
      </w:pPr>
    </w:p>
    <w:p>
      <w:pPr>
        <w:ind w:left="480" w:hanging="472"/>
        <w:spacing w:after="0"/>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Date: November 14, 2022</w:t>
            </w:r>
          </w:p>
        </w:tc>
        <w:tc>
          <w:tcPr>
            <w:tcW w:w="2220" w:type="dxa"/>
            <w:vAlign w:val="bottom"/>
          </w:tcPr>
          <w:p>
            <w:pPr>
              <w:ind w:left="19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 Clark Webb</w:t>
            </w:r>
          </w:p>
        </w:tc>
      </w:tr>
      <w:tr>
        <w:trPr>
          <w:trHeight w:val="164"/>
        </w:trPr>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22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5"/>
              </w:rPr>
              <w:t>C. Clark Webb</w:t>
            </w:r>
          </w:p>
        </w:tc>
      </w:tr>
      <w:tr>
        <w:trPr>
          <w:trHeight w:val="234"/>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Co-Chief Executive Officer</w:t>
            </w:r>
          </w:p>
        </w:tc>
      </w:tr>
      <w:tr>
        <w:trPr>
          <w:trHeight w:val="331"/>
        </w:trPr>
        <w:tc>
          <w:tcPr>
            <w:tcW w:w="38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32.3</w:t>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jc w:val="center"/>
        <w:spacing w:after="0" w:line="234" w:lineRule="auto"/>
        <w:rPr>
          <w:sz w:val="20"/>
          <w:szCs w:val="20"/>
          <w:color w:val="auto"/>
        </w:rPr>
      </w:pPr>
      <w:r>
        <w:rPr>
          <w:rFonts w:ascii="Arial" w:cs="Arial" w:eastAsia="Arial" w:hAnsi="Arial"/>
          <w:sz w:val="18"/>
          <w:szCs w:val="18"/>
          <w:b w:val="1"/>
          <w:bCs w:val="1"/>
          <w:color w:val="auto"/>
        </w:rPr>
        <w:t>SECTION 906 OF THE SARBANES-OXLEY ACT OF 2002</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connection with the Quarterly Report of P10, Inc. (the “Company”) on Form 10-Q for the period ending September 30, 2022 as filed with the Securities and Exchange Commission on the date hereof (the “Report”), I certify, pursuant to 18 U.S.C. § 1350, as adopted pursuant to § 906 of the Sarbanes-Oxley Act of 2002, that:</w:t>
      </w:r>
    </w:p>
    <w:p>
      <w:pPr>
        <w:ind w:left="480" w:hanging="47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 w:lineRule="exact"/>
        <w:rPr>
          <w:rFonts w:ascii="Arial" w:cs="Arial" w:eastAsia="Arial" w:hAnsi="Arial"/>
          <w:sz w:val="18"/>
          <w:szCs w:val="18"/>
          <w:color w:val="auto"/>
        </w:rPr>
      </w:pPr>
    </w:p>
    <w:p>
      <w:pPr>
        <w:ind w:left="480" w:hanging="472"/>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Date: November 14, 2022</w:t>
            </w:r>
          </w:p>
        </w:tc>
        <w:tc>
          <w:tcPr>
            <w:tcW w:w="2220" w:type="dxa"/>
            <w:vAlign w:val="bottom"/>
          </w:tcPr>
          <w:p>
            <w:pPr>
              <w:ind w:left="19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Amanda Coussens</w:t>
            </w:r>
          </w:p>
        </w:tc>
      </w:tr>
      <w:tr>
        <w:trPr>
          <w:trHeight w:val="164"/>
        </w:trPr>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22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87"/>
              </w:rPr>
              <w:t>Amanda Coussens</w:t>
            </w:r>
          </w:p>
        </w:tc>
      </w:tr>
      <w:tr>
        <w:trPr>
          <w:trHeight w:val="234"/>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331"/>
        </w:trPr>
        <w:tc>
          <w:tcPr>
            <w:tcW w:w="38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lvl w:ilvl="1">
      <w:lvlJc w:val="left"/>
      <w:lvlText w:val="%2)"/>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lowerRoman"/>
      <w:start w:val="3"/>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lvl w:ilvl="1">
      <w:lvlJc w:val="left"/>
      <w:lvlText w:val="(%2)"/>
      <w:numFmt w:val="lowerLetter"/>
      <w:start w:val="1"/>
    </w:lvl>
  </w:abstractNum>
  <w:abstractNum w:abstractNumId="23">
    <w:nsid w:val="836C40E"/>
    <w:multiLevelType w:val="hybridMultilevel"/>
    <w:lvl w:ilvl="0">
      <w:lvlJc w:val="left"/>
      <w:lvlText w:val="%1."/>
      <w:numFmt w:val="decimal"/>
      <w:start w:val="5"/>
    </w:lvl>
    <w:lvl w:ilvl="1">
      <w:lvlJc w:val="left"/>
      <w:lvlText w:val="(%2)"/>
      <w:numFmt w:val="lowerLetter"/>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lvl w:ilvl="1">
      <w:lvlJc w:val="left"/>
      <w:lvlText w:val="(%2)"/>
      <w:numFmt w:val="lowerLetter"/>
      <w:start w:val="1"/>
    </w:lvl>
  </w:abstractNum>
  <w:abstractNum w:abstractNumId="26">
    <w:nsid w:val="8138641"/>
    <w:multiLevelType w:val="hybridMultilevel"/>
    <w:lvl w:ilvl="0">
      <w:lvlJc w:val="left"/>
      <w:lvlText w:val="%1."/>
      <w:numFmt w:val="decimal"/>
      <w:start w:val="5"/>
    </w:lvl>
    <w:lvl w:ilvl="1">
      <w:lvlJc w:val="left"/>
      <w:lvlText w:val="(%2)"/>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5"/>
    </w:lvl>
    <w:lvl w:ilvl="1">
      <w:lvlJc w:val="left"/>
      <w:lvlText w:val="(%2)"/>
      <w:numFmt w:val="lowerLetter"/>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04" Type="http://schemas.openxmlformats.org/officeDocument/2006/relationships/hyperlink" Target="https://www.sec.gov/Archives/edgar/data/1841968/000119312521308150/d247132dex31.htm" TargetMode="External"/><Relationship Id="rId305" Type="http://schemas.openxmlformats.org/officeDocument/2006/relationships/hyperlink" Target="https://www.sec.gov/Archives/edgar/data/1841968/000119312521308150/d247132dex32.htm" TargetMode="External"/><Relationship Id="rId306" Type="http://schemas.openxmlformats.org/officeDocument/2006/relationships/hyperlink" Target="https://www.sec.gov/Archives/edgar/data/1841968/000119312521308150/d247132dex41.htm" TargetMode="External"/><Relationship Id="rId307" Type="http://schemas.openxmlformats.org/officeDocument/2006/relationships/hyperlink" Target="https://www.sec.gov/Archives/edgar/data/1841968/000119312522230601/d273626dex101.htm" TargetMode="External"/><Relationship Id="rId308" Type="http://schemas.openxmlformats.org/officeDocument/2006/relationships/hyperlink" Target="https://www.sec.gov/Archives/edgar/data/1841968/000119312522230601/d273626dex102.htm" TargetMode="External"/><Relationship Id="rId309" Type="http://schemas.openxmlformats.org/officeDocument/2006/relationships/hyperlink" Target="https://www.sec.gov/Archives/edgar/data/1841968/000119312522230601/d27362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2022-11-14T22:13:09Z</dcterms:created>
  <dcterms:modified xsi:type="dcterms:W3CDTF">2022-11-14T22:13:09Z</dcterms:modified>
</cp:coreProperties>
</file>