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May 13,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140" w:right="3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described under Item 5.07 of this Current Report, at the Annual Meeting of Stockholders of Active Power, Inc. (“Active Power” or the “Company”) held on May 13, 2010 (the “Annual Meeting”), the stockholders of Active Power voted on and approved the Active Power 2010 Equity Incentive Plan (the “2010 Plan”).</w:t>
      </w:r>
    </w:p>
    <w:p>
      <w:pPr>
        <w:spacing w:after="0" w:line="8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purposes of the 2010 Plan are to attract and retain the best available personnel for positions of substantial responsibility, to provide incentives to individuals who perform services to the Company, and to promote the success of the Company’s business. These incentives are provided through the grant of stock options, stock appreciation rights, restricted stock awards, restricted stock units, performance shares and performance units.</w:t>
      </w:r>
    </w:p>
    <w:p>
      <w:pPr>
        <w:spacing w:after="0" w:line="10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2010 Plan will be administered by the Board of Directors or a committee of individuals satisfying applicable laws appointed by the Board of Directors (the “Administrator”). Subject to the terms of the 2010 Plan, the Administrator has the sole discretion to select the employees, consultants, and directors who will receive awards, to determine the terms and conditions of awards, to modify or amend each award (subject to the restrictions of the 2010 Plan), including to accelerate vesting or waive forfeiture restrictions, and to interpret the provisions of the 2010 Plan and outstanding awards.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2010 Plan share reserve includes (i) 2,100,000 shares, (ii) any Shares which have been reserved but not issued pursuant to any awards granted under the 2000 Stock Incentive Plan (the “2000 Plan”) as of the date of stockholder approval of the 2010 Plan, plus (iii) the number of shares subject to outstanding awards under the 2000 Plan that expire or otherwise terminate without having been exercised in full, or are forfeited to or repurchased by the Company (up to a maximum of 5,639,442 shares pursuant to this subsection (iii)). If any award granted under the 2010 Plan expires, lapses or becomes unexercisable without having been exercised in full, or if shares subject to forfeiture or repurchase are forfeited or repurchased by the Company due to failure to vest, any such shares that are reacquired or subject to such a terminated award will again become available for issuance under the 2010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2010 Plan contains annual grant limits intended to satisfy Section 162(m).</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Each option granted under the 2010 Plan will be evidenced by a written agreement between the Company and a participant specifying the number of shares subject to the option and the other terms and conditions of the option, consistent with the requirements of the 2010 Plan. Awards of restricted stock, restricted stock units, performance shares, performance units and other incentives under the 2010 Plan may be made subject to the attainment of performance goals relating to one or more business criteria within the meaning of Code Section 162(m) and may provide for a targeted level or levels of achievement.</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2010 Plan provides that, in the event of a merger or our “change in control” (as defined in the 2010 Plan), the Administrator will have authority to determine the treatment of outstanding awards. If the successor corporation does not assume or substitute outstanding awards, the options and stock appreciation rights will become fully vested and exercisable, all restrictions on restricted stock, restricted stock units, performance shares and performance units will lapse, and, with respect to awards with performance-based vesting, all performance goals or other vesting criteria will be deemed achieved at 100% of target levels and all other terms and conditions met.</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2010 Plan will automatically terminate 10 years from the date of its adoption by the Administrator, unless terminated at an earlier time by the Administrator. The Administrator may terminate or amend the 2010 Plan at any time, provided that no amendment may be made without stockholder approval to the extent approval is necessary or desirable to comply with any applicable laws.</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terms and conditions of the 2010 Plan are more fully described in Active Power’s Proxy Statement on Schedule 14A dated April 13, 2010 and filed with the Securities and Exchange Commission on April 6, 2010. The description of the 2010 Plan contained in this Current Report is qualified in its entirety by reference to the full text of the 2010 Plan, which is filed as Exhibit 10.1 hereto and is incorporated by reference herein.</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information contained in Item 5.02 above is hereby incorporated by reference. At the Annual Meeting, the stockholders of Active Power re-elected the following individuals as Class I Directors to serve on the Board of Directors: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Votes</w:t>
            </w: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w w:val="99"/>
              </w:rPr>
              <w:t>Broker Non</w:t>
            </w: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Nominee</w:t>
            </w:r>
          </w:p>
        </w:tc>
        <w:tc>
          <w:tcPr>
            <w:tcW w:w="5960" w:type="dxa"/>
            <w:vAlign w:val="bottom"/>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Votes For</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Withheld</w:t>
            </w:r>
          </w:p>
        </w:tc>
        <w:tc>
          <w:tcPr>
            <w:tcW w:w="280" w:type="dxa"/>
            <w:vAlign w:val="bottom"/>
          </w:tcPr>
          <w:p>
            <w:pPr>
              <w:spacing w:after="0"/>
              <w:rPr>
                <w:sz w:val="14"/>
                <w:szCs w:val="14"/>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Votes</w:t>
            </w: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S. Bond</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29,532,556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5,020,982</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16,276,473</w:t>
            </w: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Benjamin L. Scott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29,660,387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4,893,151</w:t>
            </w:r>
          </w:p>
        </w:tc>
        <w:tc>
          <w:tcPr>
            <w:tcW w:w="880" w:type="dxa"/>
            <w:vAlign w:val="bottom"/>
          </w:tcPr>
          <w:p>
            <w:pPr>
              <w:ind w:left="100"/>
              <w:spacing w:after="0"/>
              <w:rPr>
                <w:sz w:val="20"/>
                <w:szCs w:val="20"/>
                <w:color w:val="auto"/>
              </w:rPr>
            </w:pPr>
            <w:r>
              <w:rPr>
                <w:rFonts w:ascii="Arial" w:cs="Arial" w:eastAsia="Arial" w:hAnsi="Arial"/>
                <w:sz w:val="18"/>
                <w:szCs w:val="18"/>
                <w:color w:val="auto"/>
                <w:w w:val="84"/>
              </w:rPr>
              <w:t>16,276,473</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Each Class I Director will serve until the Company’s 2013 annual meeting, or until his successor is duly elected and qualified.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proposals were voted on and approved at our Annual Meeting: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Broker Non</w:t>
            </w:r>
          </w:p>
        </w:tc>
      </w:tr>
      <w:tr>
        <w:trPr>
          <w:trHeight w:val="161"/>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Votes For</w:t>
            </w:r>
          </w:p>
        </w:tc>
        <w:tc>
          <w:tcPr>
            <w:tcW w:w="300" w:type="dxa"/>
            <w:vAlign w:val="bottom"/>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3"/>
              </w:rPr>
              <w:t>Votes Against</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Abstentions</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Votes</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Proposal to approve the 2010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29,608,104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4,908,217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16,276,473</w:t>
            </w:r>
          </w:p>
        </w:tc>
        <w:tc>
          <w:tcPr>
            <w:tcW w:w="20" w:type="dxa"/>
            <w:vAlign w:val="bottom"/>
          </w:tcPr>
          <w:p>
            <w:pPr>
              <w:spacing w:after="0"/>
              <w:rPr>
                <w:sz w:val="18"/>
                <w:szCs w:val="18"/>
                <w:color w:val="auto"/>
              </w:rPr>
            </w:pPr>
          </w:p>
        </w:tc>
      </w:tr>
      <w:tr>
        <w:trPr>
          <w:trHeight w:val="316"/>
        </w:trPr>
        <w:tc>
          <w:tcPr>
            <w:tcW w:w="6740" w:type="dxa"/>
            <w:vAlign w:val="bottom"/>
            <w:gridSpan w:val="4"/>
          </w:tcPr>
          <w:p>
            <w:pPr>
              <w:ind w:left="460"/>
              <w:spacing w:after="0"/>
              <w:rPr>
                <w:sz w:val="20"/>
                <w:szCs w:val="20"/>
                <w:color w:val="auto"/>
              </w:rPr>
            </w:pPr>
            <w:r>
              <w:rPr>
                <w:rFonts w:ascii="Arial" w:cs="Arial" w:eastAsia="Arial" w:hAnsi="Arial"/>
                <w:sz w:val="18"/>
                <w:szCs w:val="18"/>
                <w:color w:val="auto"/>
              </w:rPr>
              <w:t>Proposal to ratify the appointment of Ernst &amp; Young LLP as the Company’s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50,607,643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192,931</w:t>
            </w:r>
          </w:p>
        </w:tc>
        <w:tc>
          <w:tcPr>
            <w:tcW w:w="720" w:type="dxa"/>
            <w:vAlign w:val="bottom"/>
          </w:tcPr>
          <w:p>
            <w:pPr>
              <w:jc w:val="right"/>
              <w:spacing w:after="0"/>
              <w:rPr>
                <w:sz w:val="20"/>
                <w:szCs w:val="20"/>
                <w:color w:val="auto"/>
              </w:rPr>
            </w:pPr>
            <w:r>
              <w:rPr>
                <w:rFonts w:ascii="Arial" w:cs="Arial" w:eastAsia="Arial" w:hAnsi="Arial"/>
                <w:sz w:val="18"/>
                <w:szCs w:val="18"/>
                <w:color w:val="auto"/>
              </w:rPr>
              <w:t>29,437</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6740" w:type="dxa"/>
            <w:vAlign w:val="bottom"/>
            <w:gridSpan w:val="4"/>
          </w:tcPr>
          <w:p>
            <w:pPr>
              <w:ind w:left="460"/>
              <w:spacing w:after="0"/>
              <w:rPr>
                <w:sz w:val="20"/>
                <w:szCs w:val="20"/>
                <w:color w:val="auto"/>
              </w:rPr>
            </w:pPr>
            <w:r>
              <w:rPr>
                <w:rFonts w:ascii="Arial" w:cs="Arial" w:eastAsia="Arial" w:hAnsi="Arial"/>
                <w:sz w:val="18"/>
                <w:szCs w:val="18"/>
                <w:color w:val="auto"/>
              </w:rPr>
              <w:t>independent auditor for the fiscal year ending December 31, 2010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7"/>
              </w:rPr>
              <w:t>(d) Exhibits.</w:t>
            </w: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Active Power, Inc. 2010 Equity Incentive Plan</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Form of standard Stock Option Agreement under the Active Power, Inc. 2010 Equity Incentive Plan</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w w:val="98"/>
              </w:rPr>
              <w:t>Form of standard Restricted Stock Agreement under the Active Power, Inc. 2010 Equity Incentive Plan</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w w:val="93"/>
              </w:rPr>
              <w:t>Form of standard Restricted Stock Unit Agreement under the Active Power, Inc. 2010 Equity Incentive Plan.</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274" w:right="259" w:bottom="807"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 w:leader="none" w:pos="7720" w:val="left"/>
          <w:tab w:leader="none" w:pos="8080" w:val="left"/>
        </w:tabs>
        <w:rPr>
          <w:sz w:val="20"/>
          <w:szCs w:val="20"/>
          <w:color w:val="auto"/>
        </w:rPr>
      </w:pPr>
      <w:r>
        <w:rPr>
          <w:rFonts w:ascii="Arial" w:cs="Arial" w:eastAsia="Arial" w:hAnsi="Arial"/>
          <w:sz w:val="18"/>
          <w:szCs w:val="18"/>
          <w:color w:val="auto"/>
        </w:rPr>
        <w:t>Date: May 18,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John Penver</w:t>
      </w:r>
    </w:p>
    <w:p>
      <w:pPr>
        <w:jc w:val="center"/>
        <w:ind w:left="59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940" w:type="dxa"/>
            <w:vAlign w:val="bottom"/>
          </w:tcPr>
          <w:p>
            <w:pPr>
              <w:ind w:left="33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694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Active Power, Inc. 2010 Equity Incentive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6"/>
              </w:rPr>
              <w:t>Form of standard Stock Option Agreement under the Active Power, Inc. 2010 Equity Incentive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3"/>
              </w:rPr>
              <w:t>Form of standard Restricted Stock Agreement under the Active Power, Inc. 2010 Equity Incentive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88"/>
              </w:rPr>
              <w:t>Form of standard Restricted Stock Unit Agreement under the Active Power, Inc. 2010 Equity Incentive Plan.</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2010 EQUITY INCENTIVE PLAN</w:t>
      </w:r>
    </w:p>
    <w:p>
      <w:pPr>
        <w:spacing w:after="0" w:line="177"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provide incentives to individuals who perform services to the Company,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Restricted Stock Units, Performance Units and Performance Shares.</w:t>
      </w:r>
    </w:p>
    <w:p>
      <w:pPr>
        <w:spacing w:after="0" w:line="132"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194" w:lineRule="exact"/>
        <w:rPr>
          <w:rFonts w:ascii="Arial" w:cs="Arial" w:eastAsia="Arial" w:hAnsi="Arial"/>
          <w:sz w:val="16"/>
          <w:szCs w:val="16"/>
          <w:color w:val="auto"/>
        </w:rPr>
      </w:pPr>
    </w:p>
    <w:p>
      <w:pPr>
        <w:ind w:right="100" w:firstLine="921"/>
        <w:spacing w:after="0" w:line="268" w:lineRule="auto"/>
        <w:tabs>
          <w:tab w:leader="none" w:pos="1162"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or any other entity (including, but not limited to, partnerships and joint ventures) controlling, controlled by, or under common control with the Company.</w:t>
      </w:r>
    </w:p>
    <w:p>
      <w:pPr>
        <w:spacing w:after="0" w:line="131" w:lineRule="exact"/>
        <w:rPr>
          <w:rFonts w:ascii="Arial" w:cs="Arial" w:eastAsia="Arial" w:hAnsi="Arial"/>
          <w:sz w:val="18"/>
          <w:szCs w:val="18"/>
          <w:color w:val="auto"/>
        </w:rPr>
      </w:pPr>
    </w:p>
    <w:p>
      <w:pPr>
        <w:ind w:right="280" w:firstLine="921"/>
        <w:spacing w:after="0" w:line="259" w:lineRule="auto"/>
        <w:tabs>
          <w:tab w:leader="none" w:pos="1152"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40" w:lineRule="exact"/>
        <w:rPr>
          <w:rFonts w:ascii="Arial" w:cs="Arial" w:eastAsia="Arial" w:hAnsi="Arial"/>
          <w:sz w:val="18"/>
          <w:szCs w:val="18"/>
          <w:color w:val="auto"/>
        </w:rPr>
      </w:pPr>
    </w:p>
    <w:p>
      <w:pPr>
        <w:ind w:right="300" w:firstLine="921"/>
        <w:spacing w:after="0" w:line="268" w:lineRule="auto"/>
        <w:tabs>
          <w:tab w:leader="none" w:pos="1162"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31" w:lineRule="exact"/>
        <w:rPr>
          <w:rFonts w:ascii="Arial" w:cs="Arial" w:eastAsia="Arial" w:hAnsi="Arial"/>
          <w:sz w:val="18"/>
          <w:szCs w:val="18"/>
          <w:color w:val="auto"/>
        </w:rPr>
      </w:pPr>
    </w:p>
    <w:p>
      <w:pPr>
        <w:ind w:right="80" w:firstLine="921"/>
        <w:spacing w:after="0" w:line="268" w:lineRule="auto"/>
        <w:tabs>
          <w:tab w:leader="none" w:pos="1152"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420"/>
          </w:cols>
          <w:pgMar w:left="240" w:top="125" w:right="239" w:bottom="1440" w:gutter="0" w:footer="0" w:header="0"/>
        </w:sectPr>
      </w:pPr>
    </w:p>
    <w:bookmarkStart w:id="5" w:name="page6"/>
    <w:bookmarkEnd w:id="5"/>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71" w:lineRule="exact"/>
        <w:rPr>
          <w:rFonts w:ascii="Arial" w:cs="Arial" w:eastAsia="Arial" w:hAnsi="Arial"/>
          <w:sz w:val="18"/>
          <w:szCs w:val="18"/>
          <w:color w:val="auto"/>
        </w:rPr>
      </w:pPr>
    </w:p>
    <w:p>
      <w:pPr>
        <w:ind w:firstLine="1492"/>
        <w:spacing w:after="0" w:line="255" w:lineRule="auto"/>
        <w:tabs>
          <w:tab w:leader="none" w:pos="1693"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or</w:t>
      </w:r>
    </w:p>
    <w:p>
      <w:pPr>
        <w:spacing w:after="0" w:line="142" w:lineRule="exact"/>
        <w:rPr>
          <w:rFonts w:ascii="Arial" w:cs="Arial" w:eastAsia="Arial" w:hAnsi="Arial"/>
          <w:sz w:val="18"/>
          <w:szCs w:val="18"/>
          <w:color w:val="auto"/>
        </w:rPr>
      </w:pPr>
    </w:p>
    <w:p>
      <w:pPr>
        <w:jc w:val="both"/>
        <w:ind w:right="20" w:firstLine="1492"/>
        <w:spacing w:after="0" w:line="255" w:lineRule="auto"/>
        <w:tabs>
          <w:tab w:leader="none" w:pos="1742"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 of the Company</w:t>
      </w:r>
      <w:r>
        <w:rPr>
          <w:rFonts w:ascii="Arial" w:cs="Arial" w:eastAsia="Arial" w:hAnsi="Arial"/>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42" w:lineRule="exact"/>
        <w:rPr>
          <w:rFonts w:ascii="Arial" w:cs="Arial" w:eastAsia="Arial" w:hAnsi="Arial"/>
          <w:sz w:val="18"/>
          <w:szCs w:val="18"/>
          <w:color w:val="auto"/>
        </w:rPr>
      </w:pPr>
    </w:p>
    <w:p>
      <w:pPr>
        <w:ind w:right="120" w:firstLine="1492"/>
        <w:spacing w:after="0" w:line="286" w:lineRule="auto"/>
        <w:tabs>
          <w:tab w:leader="none" w:pos="1791"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2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132"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Notwithstanding the foregoing, a transaction shall not be deemed a Change in Control unless the transaction qualifies as a change in control event within the meaning of Section 409A of the Code, as it has been and may be amended from time to time, and any proposed or final Treasury Regulations and Internal Revenue Service guidance that has been promulgated or may be promulgated thereunder from time to time.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and for the avoidance of doubt, a transaction shall not constitute a Change in Control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140" w:lineRule="exact"/>
        <w:rPr>
          <w:sz w:val="20"/>
          <w:szCs w:val="20"/>
          <w:color w:val="auto"/>
        </w:rPr>
      </w:pPr>
    </w:p>
    <w:p>
      <w:pPr>
        <w:ind w:right="140" w:firstLine="921"/>
        <w:spacing w:after="0" w:line="306" w:lineRule="auto"/>
        <w:tabs>
          <w:tab w:leader="none" w:pos="1162"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Reference to a specific section of the Code or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06" w:lineRule="exact"/>
        <w:rPr>
          <w:rFonts w:ascii="Arial" w:cs="Arial" w:eastAsia="Arial" w:hAnsi="Arial"/>
          <w:sz w:val="16"/>
          <w:szCs w:val="16"/>
          <w:color w:val="auto"/>
        </w:rPr>
      </w:pPr>
    </w:p>
    <w:p>
      <w:pPr>
        <w:ind w:right="420" w:firstLine="921"/>
        <w:spacing w:after="0" w:line="268" w:lineRule="auto"/>
        <w:tabs>
          <w:tab w:leader="none" w:pos="11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Active Power, Inc., a Delaware corporation, or any successor thereto.</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its Affiliates to render services to such entity other than as 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4" w:lineRule="exact"/>
        <w:rPr>
          <w:rFonts w:ascii="Arial" w:cs="Arial" w:eastAsia="Arial" w:hAnsi="Arial"/>
          <w:sz w:val="16"/>
          <w:szCs w:val="16"/>
          <w:color w:val="auto"/>
        </w:rPr>
      </w:pPr>
    </w:p>
    <w:p>
      <w:pPr>
        <w:ind w:right="940" w:firstLine="921"/>
        <w:spacing w:after="0" w:line="268" w:lineRule="auto"/>
        <w:tabs>
          <w:tab w:leader="none" w:pos="1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latest possible date that will not jeopardize the qualification of an Award granted under the Plan as “performance-based compensation” under Section 162(m) of the Code.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color w:val="auto"/>
        </w:rPr>
      </w:pPr>
    </w:p>
    <w:p>
      <w:pPr>
        <w:ind w:right="200" w:firstLine="921"/>
        <w:spacing w:after="0" w:line="259"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40"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its Affiliates. Neither service as a Director nor payment of a director’s fee by the Company will be sufficient to constitute “employment” by the Company.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ind w:left="1140" w:hanging="219"/>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71" w:lineRule="exact"/>
        <w:rPr>
          <w:rFonts w:ascii="Arial" w:cs="Arial" w:eastAsia="Arial" w:hAnsi="Arial"/>
          <w:sz w:val="18"/>
          <w:szCs w:val="18"/>
          <w:color w:val="auto"/>
        </w:rPr>
      </w:pPr>
    </w:p>
    <w:p>
      <w:pPr>
        <w:ind w:right="60" w:firstLine="1492"/>
        <w:spacing w:after="0" w:line="298" w:lineRule="auto"/>
        <w:tabs>
          <w:tab w:leader="none" w:pos="1693"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Market, the Nasdaq Global Select Market or the Nasdaq Capital Market, its Fair Market Value shall be the closing sales price for such stock (or, if no closing sales price was reported on that date, as applicable, on the last trading date such closing sales price is reported)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12" w:lineRule="exact"/>
        <w:rPr>
          <w:rFonts w:ascii="Arial" w:cs="Arial" w:eastAsia="Arial" w:hAnsi="Arial"/>
          <w:sz w:val="16"/>
          <w:szCs w:val="16"/>
          <w:color w:val="auto"/>
        </w:rPr>
      </w:pPr>
    </w:p>
    <w:p>
      <w:pPr>
        <w:jc w:val="both"/>
        <w:ind w:right="20" w:firstLine="1492"/>
        <w:spacing w:after="0" w:line="259" w:lineRule="auto"/>
        <w:tabs>
          <w:tab w:leader="none" w:pos="1742"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its Fair Market Value shall be the mean between the high bid and low asked prices for the Common Stock on the day of determination (or, if no bids and asks were reported on that date, as applicable, on the last trading date such bids and asks are reported); or</w:t>
      </w:r>
    </w:p>
    <w:p>
      <w:pPr>
        <w:spacing w:after="0" w:line="140" w:lineRule="exact"/>
        <w:rPr>
          <w:rFonts w:ascii="Arial" w:cs="Arial" w:eastAsia="Arial" w:hAnsi="Arial"/>
          <w:sz w:val="18"/>
          <w:szCs w:val="18"/>
          <w:color w:val="auto"/>
        </w:rPr>
      </w:pPr>
    </w:p>
    <w:p>
      <w:pPr>
        <w:ind w:left="1800" w:hanging="308"/>
        <w:spacing w:after="0"/>
        <w:tabs>
          <w:tab w:leader="none" w:pos="180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71" w:lineRule="exact"/>
        <w:rPr>
          <w:rFonts w:ascii="Arial" w:cs="Arial" w:eastAsia="Arial" w:hAnsi="Arial"/>
          <w:sz w:val="18"/>
          <w:szCs w:val="18"/>
          <w:color w:val="auto"/>
        </w:rPr>
      </w:pPr>
    </w:p>
    <w:p>
      <w:pPr>
        <w:ind w:right="80" w:firstLine="921"/>
        <w:spacing w:after="0" w:line="268" w:lineRule="auto"/>
        <w:tabs>
          <w:tab w:leader="none" w:pos="11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131" w:lineRule="exact"/>
        <w:rPr>
          <w:rFonts w:ascii="Arial" w:cs="Arial" w:eastAsia="Arial" w:hAnsi="Arial"/>
          <w:sz w:val="18"/>
          <w:szCs w:val="18"/>
          <w:color w:val="auto"/>
        </w:rPr>
      </w:pPr>
    </w:p>
    <w:p>
      <w:pPr>
        <w:ind w:firstLine="921"/>
        <w:spacing w:after="0" w:line="298" w:lineRule="auto"/>
        <w:tabs>
          <w:tab w:leader="none" w:pos="1162"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Misconduct</w:t>
      </w:r>
      <w:r>
        <w:rPr>
          <w:rFonts w:ascii="Arial" w:cs="Arial" w:eastAsia="Arial" w:hAnsi="Arial"/>
          <w:sz w:val="16"/>
          <w:szCs w:val="16"/>
          <w:color w:val="auto"/>
        </w:rPr>
        <w:t>” means the commission of any act of fraud, embezzlement or dishonesty by the Participant, any unauthorized use or disclosure by such person of confidential information or trade secrets of the Company (or any Parent or Subsidiary), or any intentional wrongdoing by such person, whether by omission or commission, which adversely affects the business or affairs of the Company (or any Parent or Subsidiary) in a material manner. This shall not limit the grounds for the dismissal or discharge of any person in the service of the Company (or any Parent or Subsidiary).</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 Option.</w:t>
      </w:r>
    </w:p>
    <w:p>
      <w:pPr>
        <w:spacing w:after="0" w:line="194" w:lineRule="exact"/>
        <w:rPr>
          <w:rFonts w:ascii="Arial" w:cs="Arial" w:eastAsia="Arial" w:hAnsi="Arial"/>
          <w:sz w:val="16"/>
          <w:szCs w:val="16"/>
          <w:color w:val="auto"/>
        </w:rPr>
      </w:pPr>
    </w:p>
    <w:p>
      <w:pPr>
        <w:ind w:right="20" w:firstLine="921"/>
        <w:spacing w:after="0" w:line="268"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171" w:lineRule="exact"/>
        <w:rPr>
          <w:sz w:val="20"/>
          <w:szCs w:val="20"/>
          <w:color w:val="auto"/>
        </w:rPr>
      </w:pPr>
    </w:p>
    <w:p>
      <w:pPr>
        <w:ind w:left="5620" w:right="4560" w:hanging="4699"/>
        <w:spacing w:after="0" w:line="440"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Goals</w:t>
      </w:r>
      <w:r>
        <w:rPr>
          <w:rFonts w:ascii="Arial" w:cs="Arial" w:eastAsia="Arial" w:hAnsi="Arial"/>
          <w:sz w:val="18"/>
          <w:szCs w:val="18"/>
          <w:color w:val="auto"/>
        </w:rPr>
        <w:t>” will have the meaning set forth in Section 11 of the Plan. -4-</w:t>
      </w:r>
    </w:p>
    <w:p>
      <w:pPr>
        <w:sectPr>
          <w:pgSz w:w="11900" w:h="16838" w:orient="portrait"/>
          <w:cols w:equalWidth="0" w:num="1">
            <w:col w:w="11340"/>
          </w:cols>
          <w:pgMar w:left="240" w:top="280" w:right="319" w:bottom="1440" w:gutter="0" w:footer="0" w:header="0"/>
        </w:sectPr>
      </w:pPr>
    </w:p>
    <w:bookmarkStart w:id="8" w:name="page9"/>
    <w:bookmarkEnd w:id="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(bb)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any Fiscal Year of the Company or such longer or shorter period as determined by the Administrator in its sole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165" w:lineRule="exact"/>
        <w:rPr>
          <w:sz w:val="20"/>
          <w:szCs w:val="20"/>
          <w:color w:val="auto"/>
        </w:rPr>
      </w:pPr>
    </w:p>
    <w:p>
      <w:pPr>
        <w:ind w:firstLine="921"/>
        <w:spacing w:after="0" w:line="268" w:lineRule="auto"/>
        <w:tabs>
          <w:tab w:leader="none" w:pos="123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31" w:lineRule="exact"/>
        <w:rPr>
          <w:rFonts w:ascii="Arial" w:cs="Arial" w:eastAsia="Arial" w:hAnsi="Arial"/>
          <w:sz w:val="18"/>
          <w:szCs w:val="18"/>
          <w:color w:val="auto"/>
        </w:rPr>
      </w:pPr>
    </w:p>
    <w:p>
      <w:pPr>
        <w:ind w:right="40" w:firstLine="921"/>
        <w:spacing w:after="0" w:line="332" w:lineRule="auto"/>
        <w:tabs>
          <w:tab w:leader="none" w:pos="1249"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Unit</w:t>
      </w:r>
      <w:r>
        <w:rPr>
          <w:rFonts w:ascii="Arial" w:cs="Arial" w:eastAsia="Arial" w:hAnsi="Arial"/>
          <w:sz w:val="16"/>
          <w:szCs w:val="16"/>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85" w:lineRule="exact"/>
        <w:rPr>
          <w:rFonts w:ascii="Arial" w:cs="Arial" w:eastAsia="Arial" w:hAnsi="Arial"/>
          <w:sz w:val="16"/>
          <w:szCs w:val="16"/>
          <w:color w:val="auto"/>
        </w:rPr>
      </w:pPr>
    </w:p>
    <w:p>
      <w:pPr>
        <w:ind w:firstLine="921"/>
        <w:spacing w:after="0" w:line="306" w:lineRule="auto"/>
        <w:tabs>
          <w:tab w:leader="none" w:pos="123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06" w:lineRule="exact"/>
        <w:rPr>
          <w:rFonts w:ascii="Arial" w:cs="Arial" w:eastAsia="Arial" w:hAnsi="Arial"/>
          <w:sz w:val="16"/>
          <w:szCs w:val="16"/>
          <w:color w:val="auto"/>
        </w:rPr>
      </w:pPr>
    </w:p>
    <w:p>
      <w:pPr>
        <w:ind w:left="1200" w:hanging="279"/>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2010 Equity Incentive Plan.</w:t>
      </w:r>
    </w:p>
    <w:p>
      <w:pPr>
        <w:spacing w:after="0" w:line="171" w:lineRule="exact"/>
        <w:rPr>
          <w:rFonts w:ascii="Arial" w:cs="Arial" w:eastAsia="Arial" w:hAnsi="Arial"/>
          <w:sz w:val="18"/>
          <w:szCs w:val="18"/>
          <w:color w:val="auto"/>
        </w:rPr>
      </w:pPr>
    </w:p>
    <w:p>
      <w:pPr>
        <w:ind w:right="560" w:firstLine="921"/>
        <w:spacing w:after="0" w:line="268" w:lineRule="auto"/>
        <w:tabs>
          <w:tab w:leader="none" w:pos="1249"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8 of the Plan, or issued pursuant to the early exercise of an Option.</w:t>
      </w:r>
    </w:p>
    <w:p>
      <w:pPr>
        <w:spacing w:after="0" w:line="131" w:lineRule="exact"/>
        <w:rPr>
          <w:rFonts w:ascii="Arial" w:cs="Arial" w:eastAsia="Arial" w:hAnsi="Arial"/>
          <w:sz w:val="18"/>
          <w:szCs w:val="18"/>
          <w:color w:val="auto"/>
        </w:rPr>
      </w:pPr>
    </w:p>
    <w:p>
      <w:pPr>
        <w:ind w:right="240" w:firstLine="921"/>
        <w:spacing w:after="0" w:line="268" w:lineRule="auto"/>
        <w:tabs>
          <w:tab w:leader="none" w:pos="1249"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1"/>
          <w:numId w:val="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16b-3</w:t>
      </w:r>
      <w:r>
        <w:rPr>
          <w:rFonts w:ascii="Arial" w:cs="Arial" w:eastAsia="Arial" w:hAnsi="Arial"/>
          <w:sz w:val="15"/>
          <w:szCs w:val="15"/>
          <w:color w:val="auto"/>
        </w:rPr>
        <w:t>” means Rule 16b-3 of the Exchange Act or any successor to Rule 16b-3, as in effect when discretion is being exercised with respect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to the Plan.</w:t>
      </w:r>
    </w:p>
    <w:p>
      <w:pPr>
        <w:spacing w:after="0" w:line="164" w:lineRule="exact"/>
        <w:rPr>
          <w:rFonts w:ascii="Arial" w:cs="Arial" w:eastAsia="Arial" w:hAnsi="Arial"/>
          <w:sz w:val="15"/>
          <w:szCs w:val="15"/>
          <w:color w:val="auto"/>
        </w:rPr>
      </w:pPr>
    </w:p>
    <w:p>
      <w:pPr>
        <w:ind w:left="1180" w:hanging="259"/>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15 of the Plan.</w:t>
      </w:r>
    </w:p>
    <w:p>
      <w:pPr>
        <w:spacing w:after="0" w:line="171" w:lineRule="exact"/>
        <w:rPr>
          <w:rFonts w:ascii="Arial" w:cs="Arial" w:eastAsia="Arial" w:hAnsi="Arial"/>
          <w:sz w:val="18"/>
          <w:szCs w:val="18"/>
          <w:color w:val="auto"/>
        </w:rPr>
      </w:pPr>
    </w:p>
    <w:p>
      <w:pPr>
        <w:ind w:right="400" w:firstLine="921"/>
        <w:spacing w:after="0" w:line="268" w:lineRule="auto"/>
        <w:tabs>
          <w:tab w:leader="none" w:pos="1347"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Subject to the provisions of Section 15 of the Plan, the maximum aggregate number of Shares that may be issued under the Plan is equal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sum of (i)</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2,100,000 Shares, (ii) any Shares which have been reserved but not issued pursuant to any awards granted under the Company’s 2000 Stock Incentive Plan (the “</w:t>
      </w:r>
      <w:r>
        <w:rPr>
          <w:rFonts w:ascii="Arial" w:cs="Arial" w:eastAsia="Arial" w:hAnsi="Arial"/>
          <w:sz w:val="18"/>
          <w:szCs w:val="18"/>
          <w:u w:val="single" w:color="auto"/>
          <w:color w:val="auto"/>
        </w:rPr>
        <w:t>2000 Plan</w:t>
      </w:r>
      <w:r>
        <w:rPr>
          <w:rFonts w:ascii="Arial" w:cs="Arial" w:eastAsia="Arial" w:hAnsi="Arial"/>
          <w:sz w:val="18"/>
          <w:szCs w:val="18"/>
          <w:color w:val="auto"/>
        </w:rPr>
        <w:t>”) as of the date of stockholder approval of this Plan, plus (iii) any Shares subject to stock options or similar awards granted under 2000 Plan that expire or otherwise terminate without having been exercised in full and Shares issued pursuant to awards granted under the 2000 Plan that are forfeited to or repurchased by the Company (up to a maximum of 5,639,442) Shares pursuant to this subsection (iii)). The Shares may be authorized, but unissued, or reacquired Common Stock.</w:t>
      </w:r>
    </w:p>
    <w:p>
      <w:pPr>
        <w:spacing w:after="0" w:line="143" w:lineRule="exact"/>
        <w:rPr>
          <w:sz w:val="20"/>
          <w:szCs w:val="20"/>
          <w:color w:val="auto"/>
        </w:rPr>
      </w:pPr>
    </w:p>
    <w:p>
      <w:pPr>
        <w:ind w:right="60" w:firstLine="921"/>
        <w:spacing w:after="0" w:line="298" w:lineRule="auto"/>
        <w:tabs>
          <w:tab w:leader="none" w:pos="1161"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Full Value Awards</w:t>
      </w:r>
      <w:r>
        <w:rPr>
          <w:rFonts w:ascii="Arial" w:cs="Arial" w:eastAsia="Arial" w:hAnsi="Arial"/>
          <w:sz w:val="16"/>
          <w:szCs w:val="16"/>
          <w:color w:val="auto"/>
        </w:rPr>
        <w:t>. Any Shares subject to Awards of Restricted Stock, Restricted Stock Units, Performance Units, and Performance Shares will be counted against the numerical limits of this Section 3 as 1.25 Shares for every one Share subject thereto. Further, if Shares acquired pursuant to any such Award are forfeited or repurchased by the Company and would otherwise return to the Plan pursuant to Section 3(c), 1.25 times the number of Shares so forfeited or repurchased will return to the Plan and will again become available for issuance.</w:t>
      </w:r>
    </w:p>
    <w:p>
      <w:pPr>
        <w:spacing w:after="0" w:line="112" w:lineRule="exact"/>
        <w:rPr>
          <w:rFonts w:ascii="Arial" w:cs="Arial" w:eastAsia="Arial" w:hAnsi="Arial"/>
          <w:sz w:val="16"/>
          <w:szCs w:val="16"/>
          <w:color w:val="auto"/>
        </w:rPr>
      </w:pPr>
    </w:p>
    <w:p>
      <w:pPr>
        <w:ind w:right="40" w:firstLine="921"/>
        <w:spacing w:after="0" w:line="286" w:lineRule="auto"/>
        <w:tabs>
          <w:tab w:leader="none" w:pos="1152"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or, with respect to an Award of Restricted Stock Units, Performance Units or Performance Shares, is terminated due to failure to vest, the unpurchased Shares (or for Awards other than Options or Stock Appreciation Rights, the unissued Shares) which were subject thereto will become available for future grant or sale under the Plan (unless the Plan has terminated). Upon the exercise of a Stock Appreciation Right settled in Shares, the gross number of Shares covered by the portion of the Award so exercised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or purchase price of an Award and/or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under this Section 3(c).</w:t>
      </w:r>
    </w:p>
    <w:p>
      <w:pPr>
        <w:spacing w:after="0" w:line="120" w:lineRule="exact"/>
        <w:rPr>
          <w:rFonts w:ascii="Arial" w:cs="Arial" w:eastAsia="Arial" w:hAnsi="Arial"/>
          <w:sz w:val="16"/>
          <w:szCs w:val="16"/>
          <w:color w:val="auto"/>
        </w:rPr>
      </w:pPr>
    </w:p>
    <w:p>
      <w:pPr>
        <w:ind w:firstLine="921"/>
        <w:spacing w:after="0" w:line="268" w:lineRule="auto"/>
        <w:tabs>
          <w:tab w:leader="none" w:pos="1161"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left="-60" w:right="60" w:firstLine="1492"/>
        <w:spacing w:after="0" w:line="259" w:lineRule="auto"/>
        <w:tabs>
          <w:tab w:leader="none" w:pos="168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40" w:lineRule="exact"/>
        <w:rPr>
          <w:rFonts w:ascii="Arial" w:cs="Arial" w:eastAsia="Arial" w:hAnsi="Arial"/>
          <w:sz w:val="18"/>
          <w:szCs w:val="18"/>
          <w:color w:val="auto"/>
        </w:rPr>
      </w:pPr>
    </w:p>
    <w:p>
      <w:pPr>
        <w:ind w:left="-60" w:right="560" w:firstLine="1492"/>
        <w:spacing w:after="0" w:line="268" w:lineRule="auto"/>
        <w:tabs>
          <w:tab w:leader="none" w:pos="1731"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31" w:lineRule="exact"/>
        <w:rPr>
          <w:rFonts w:ascii="Arial" w:cs="Arial" w:eastAsia="Arial" w:hAnsi="Arial"/>
          <w:sz w:val="18"/>
          <w:szCs w:val="18"/>
          <w:color w:val="auto"/>
        </w:rPr>
      </w:pPr>
    </w:p>
    <w:p>
      <w:pPr>
        <w:ind w:left="-60" w:right="620" w:firstLine="1492"/>
        <w:spacing w:after="0" w:line="268" w:lineRule="auto"/>
        <w:tabs>
          <w:tab w:leader="none" w:pos="1721"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31" w:lineRule="exact"/>
        <w:rPr>
          <w:rFonts w:ascii="Arial" w:cs="Arial" w:eastAsia="Arial" w:hAnsi="Arial"/>
          <w:sz w:val="18"/>
          <w:szCs w:val="18"/>
          <w:color w:val="auto"/>
        </w:rPr>
      </w:pPr>
    </w:p>
    <w:p>
      <w:pPr>
        <w:ind w:left="-60" w:right="40" w:firstLine="921"/>
        <w:spacing w:after="0" w:line="268" w:lineRule="auto"/>
        <w:tabs>
          <w:tab w:leader="none" w:pos="110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31" w:lineRule="exact"/>
        <w:rPr>
          <w:rFonts w:ascii="Arial" w:cs="Arial" w:eastAsia="Arial" w:hAnsi="Arial"/>
          <w:sz w:val="18"/>
          <w:szCs w:val="18"/>
          <w:color w:val="auto"/>
        </w:rPr>
      </w:pPr>
    </w:p>
    <w:p>
      <w:pPr>
        <w:ind w:left="1640" w:hanging="208"/>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71" w:lineRule="exact"/>
        <w:rPr>
          <w:rFonts w:ascii="Arial" w:cs="Arial" w:eastAsia="Arial" w:hAnsi="Arial"/>
          <w:sz w:val="18"/>
          <w:szCs w:val="18"/>
          <w:color w:val="auto"/>
        </w:rPr>
      </w:pPr>
    </w:p>
    <w:p>
      <w:pPr>
        <w:ind w:left="1700" w:hanging="268"/>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71" w:lineRule="exact"/>
        <w:rPr>
          <w:rFonts w:ascii="Arial" w:cs="Arial" w:eastAsia="Arial" w:hAnsi="Arial"/>
          <w:sz w:val="18"/>
          <w:szCs w:val="18"/>
          <w:color w:val="auto"/>
        </w:rPr>
      </w:pPr>
    </w:p>
    <w:p>
      <w:pPr>
        <w:ind w:left="1740" w:hanging="308"/>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71" w:lineRule="exact"/>
        <w:rPr>
          <w:rFonts w:ascii="Arial" w:cs="Arial" w:eastAsia="Arial" w:hAnsi="Arial"/>
          <w:sz w:val="18"/>
          <w:szCs w:val="18"/>
          <w:color w:val="auto"/>
        </w:rPr>
      </w:pPr>
    </w:p>
    <w:p>
      <w:pPr>
        <w:ind w:left="1720" w:hanging="288"/>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71" w:lineRule="exact"/>
        <w:rPr>
          <w:rFonts w:ascii="Arial" w:cs="Arial" w:eastAsia="Arial" w:hAnsi="Arial"/>
          <w:sz w:val="18"/>
          <w:szCs w:val="18"/>
          <w:color w:val="auto"/>
        </w:rPr>
      </w:pPr>
    </w:p>
    <w:p>
      <w:pPr>
        <w:ind w:left="-60" w:right="40" w:firstLine="1492"/>
        <w:spacing w:after="0" w:line="256" w:lineRule="auto"/>
        <w:tabs>
          <w:tab w:leader="none" w:pos="16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43" w:lineRule="exact"/>
        <w:rPr>
          <w:rFonts w:ascii="Arial" w:cs="Arial" w:eastAsia="Arial" w:hAnsi="Arial"/>
          <w:sz w:val="18"/>
          <w:szCs w:val="18"/>
          <w:color w:val="auto"/>
        </w:rPr>
      </w:pPr>
    </w:p>
    <w:p>
      <w:pPr>
        <w:ind w:left="1720" w:hanging="288"/>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71" w:lineRule="exact"/>
        <w:rPr>
          <w:rFonts w:ascii="Arial" w:cs="Arial" w:eastAsia="Arial" w:hAnsi="Arial"/>
          <w:sz w:val="18"/>
          <w:szCs w:val="18"/>
          <w:color w:val="auto"/>
        </w:rPr>
      </w:pPr>
    </w:p>
    <w:p>
      <w:pPr>
        <w:ind w:left="-60" w:right="700" w:firstLine="1492"/>
        <w:spacing w:after="0" w:line="332" w:lineRule="auto"/>
        <w:tabs>
          <w:tab w:leader="none" w:pos="17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85" w:lineRule="exact"/>
        <w:rPr>
          <w:rFonts w:ascii="Arial" w:cs="Arial" w:eastAsia="Arial" w:hAnsi="Arial"/>
          <w:sz w:val="16"/>
          <w:szCs w:val="16"/>
          <w:color w:val="auto"/>
        </w:rPr>
      </w:pPr>
    </w:p>
    <w:p>
      <w:pPr>
        <w:ind w:left="-60" w:firstLine="1492"/>
        <w:spacing w:after="0" w:line="256" w:lineRule="auto"/>
        <w:tabs>
          <w:tab w:leader="none" w:pos="18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modify or amend each Award (subject to Section 20(c) of the Plan), including but not limited to the discretionary authority to extend the post-termination exercisability period of Awards and to extend the maximum term of an Option (subject to Section 6(e) regarding Incentive Stock Options). Notwithstanding the previous sentence, the Administrator may not modify or amend an Option or Stock Appreciation Right to reduce the exercise price of such Option or Stock Appreciation Right after it has been granted (except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80" w:right="279" w:bottom="1440" w:gutter="0" w:footer="0" w:header="0"/>
        </w:sectPr>
      </w:pPr>
    </w:p>
    <w:bookmarkStart w:id="11" w:name="page12"/>
    <w:bookmarkEnd w:id="11"/>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made pursuant to Section 15), and neither may the Administrator cancel any outstanding Option or Stock Appreciation Right and immediately replace it with a new Option or Stock Appreciation Right with a lower exercise price, unless such action is approved by stockholders prior to such action being taken. Further, the Administrator may not offer to buy out for a payment in cash an Option or Stock Appreciation Right after it has been granted (except with respect to any payments made pursuant to Section 15), unless approved by the Company’s stockholders prior to making any such offer;</w:t>
      </w:r>
    </w:p>
    <w:p>
      <w:pPr>
        <w:spacing w:after="0" w:line="113" w:lineRule="exact"/>
        <w:rPr>
          <w:sz w:val="20"/>
          <w:szCs w:val="20"/>
          <w:color w:val="auto"/>
        </w:rPr>
      </w:pPr>
    </w:p>
    <w:p>
      <w:pPr>
        <w:ind w:left="1780" w:hanging="288"/>
        <w:spacing w:after="0"/>
        <w:tabs>
          <w:tab w:leader="none" w:pos="17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such manner as prescribed in Section 16;</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Award previously granted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Administrator;</w:t>
      </w:r>
    </w:p>
    <w:p>
      <w:pPr>
        <w:spacing w:after="0" w:line="164" w:lineRule="exact"/>
        <w:rPr>
          <w:rFonts w:ascii="Arial" w:cs="Arial" w:eastAsia="Arial" w:hAnsi="Arial"/>
          <w:sz w:val="16"/>
          <w:szCs w:val="16"/>
          <w:color w:val="auto"/>
        </w:rPr>
      </w:pPr>
    </w:p>
    <w:p>
      <w:pPr>
        <w:ind w:right="760" w:firstLine="1492"/>
        <w:spacing w:after="0" w:line="268" w:lineRule="auto"/>
        <w:tabs>
          <w:tab w:leader="none" w:pos="1781"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pursuant to such procedures as the Administrator may determine; and</w:t>
      </w:r>
    </w:p>
    <w:p>
      <w:pPr>
        <w:spacing w:after="0" w:line="131" w:lineRule="exact"/>
        <w:rPr>
          <w:rFonts w:ascii="Arial" w:cs="Arial" w:eastAsia="Arial" w:hAnsi="Arial"/>
          <w:sz w:val="18"/>
          <w:szCs w:val="18"/>
          <w:color w:val="auto"/>
        </w:rPr>
      </w:pPr>
    </w:p>
    <w:p>
      <w:pPr>
        <w:ind w:left="1840" w:hanging="348"/>
        <w:spacing w:after="0"/>
        <w:tabs>
          <w:tab w:leader="none" w:pos="18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71" w:lineRule="exact"/>
        <w:rPr>
          <w:rFonts w:ascii="Arial" w:cs="Arial" w:eastAsia="Arial" w:hAnsi="Arial"/>
          <w:sz w:val="18"/>
          <w:szCs w:val="18"/>
          <w:color w:val="auto"/>
        </w:rPr>
      </w:pPr>
    </w:p>
    <w:p>
      <w:pPr>
        <w:ind w:right="20" w:firstLine="921"/>
        <w:spacing w:after="0" w:line="268" w:lineRule="auto"/>
        <w:tabs>
          <w:tab w:leader="none" w:pos="115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31" w:lineRule="exact"/>
        <w:rPr>
          <w:rFonts w:ascii="Arial" w:cs="Arial" w:eastAsia="Arial" w:hAnsi="Arial"/>
          <w:sz w:val="18"/>
          <w:szCs w:val="18"/>
          <w:color w:val="auto"/>
        </w:rPr>
      </w:pPr>
    </w:p>
    <w:p>
      <w:pPr>
        <w:ind w:right="40" w:firstLine="921"/>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Under no circumstances shall the Company, its Affiliates, the Administrator, or the Board incur liability for any indirect, incidental, consequential or special damages (including lost profits) of any form incurred by any person, whether or not foreseeable and regardless of the form of the act in which such a claim may be brought, with respect to the Plan or the Company’s, its Affiliates’, the Administrator’s or the Board’s roles in connection with the Plan.</w:t>
      </w:r>
    </w:p>
    <w:p>
      <w:pPr>
        <w:spacing w:after="0" w:line="143" w:lineRule="exact"/>
        <w:rPr>
          <w:rFonts w:ascii="Arial" w:cs="Arial" w:eastAsia="Arial" w:hAnsi="Arial"/>
          <w:sz w:val="18"/>
          <w:szCs w:val="18"/>
          <w:color w:val="auto"/>
        </w:rPr>
      </w:pPr>
    </w:p>
    <w:p>
      <w:pPr>
        <w:jc w:val="both"/>
        <w:ind w:right="440"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Restricted Stock, Restricted Stock Units, Stock Appreciation Rights, Performance Units, and Performance Shares may be granted to Service Providers. Incentive Stock Options may be granted only to employees of the Company or any Parent or Subsidiary of the Company.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90" w:lineRule="auto"/>
        <w:tabs>
          <w:tab w:leader="none" w:pos="115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Grant of Stock Options</w:t>
      </w:r>
      <w:r>
        <w:rPr>
          <w:rFonts w:ascii="Arial" w:cs="Arial" w:eastAsia="Arial" w:hAnsi="Arial"/>
          <w:sz w:val="16"/>
          <w:szCs w:val="16"/>
          <w:color w:val="auto"/>
        </w:rPr>
        <w:t>. Subject to the terms and conditions of the Plan, an Option may be granted to Service Providers at any time and from time to time as will be determined by the Administrator, in its sole discretion.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U.S.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ind w:left="-60" w:right="120" w:firstLine="921"/>
        <w:spacing w:after="0" w:line="323" w:lineRule="auto"/>
        <w:tabs>
          <w:tab w:leader="none" w:pos="1101"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w:t>
      </w:r>
      <w:r>
        <w:rPr>
          <w:rFonts w:ascii="Arial" w:cs="Arial" w:eastAsia="Arial" w:hAnsi="Arial"/>
          <w:sz w:val="15"/>
          <w:szCs w:val="15"/>
          <w:color w:val="auto"/>
        </w:rPr>
        <w:t>. The Administrator will have complete discretion to determine the number of Shares subject to an Option granted to any Participant, provided that during any Fiscal Year, no Participant will be granted Options covering more than 1,500,000 Shares. Notwithstanding the limitation in the previous sentence, in connection with his or her initial service as an Employee, an Employee may be granted Options covering up to an additional 2,500,000 Shares. The foregoing limitations will be adjusted proportionately in connection with any change in the Company’s capitalization as described in Section 15.</w:t>
      </w:r>
    </w:p>
    <w:p>
      <w:pPr>
        <w:spacing w:after="0" w:line="97" w:lineRule="exact"/>
        <w:rPr>
          <w:rFonts w:ascii="Arial" w:cs="Arial" w:eastAsia="Arial" w:hAnsi="Arial"/>
          <w:sz w:val="15"/>
          <w:szCs w:val="15"/>
          <w:color w:val="auto"/>
        </w:rPr>
      </w:pPr>
    </w:p>
    <w:p>
      <w:pPr>
        <w:ind w:left="-60" w:right="40" w:firstLine="921"/>
        <w:spacing w:after="0" w:line="289" w:lineRule="auto"/>
        <w:tabs>
          <w:tab w:leader="none" w:pos="109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Exercise Price and Other Terms</w:t>
      </w:r>
      <w:r>
        <w:rPr>
          <w:rFonts w:ascii="Arial" w:cs="Arial" w:eastAsia="Arial" w:hAnsi="Arial"/>
          <w:sz w:val="16"/>
          <w:szCs w:val="16"/>
          <w:color w:val="auto"/>
        </w:rPr>
        <w:t>. The Administrator, subject to the provisions of the Plan, will have complete discretion to determine the terms and conditions of Options granted under the Plan, provided, however, that the exercise price will not be less than one hundred percent (100%) of the Fair Market Value of a Share on the date of grant. In addition, in the case of an Incentive Stock Option granted to an employee of the Company or any Parent or Subsidiary of the Company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6(c), Options may be granted with a per Share exercise price of less than one hundred percent (100%) of the Fair Market Value per Share on the date of grant pursuant to a transaction described in, and in a manner consistent with, Section 424(a) of the Code and the Treasury Regulations thereunder.</w:t>
      </w:r>
    </w:p>
    <w:p>
      <w:pPr>
        <w:spacing w:after="0" w:line="118" w:lineRule="exact"/>
        <w:rPr>
          <w:rFonts w:ascii="Arial" w:cs="Arial" w:eastAsia="Arial" w:hAnsi="Arial"/>
          <w:sz w:val="16"/>
          <w:szCs w:val="16"/>
          <w:color w:val="auto"/>
        </w:rPr>
      </w:pPr>
    </w:p>
    <w:p>
      <w:pPr>
        <w:ind w:left="1100" w:hanging="239"/>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0" w:firstLine="1492"/>
        <w:spacing w:after="0" w:line="259" w:lineRule="auto"/>
        <w:tabs>
          <w:tab w:leader="none" w:pos="1633"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Each Option grant will be evidenced by an Award Agreement that will specify the exercise price, the term of the Option, the acceptable forms of consideration for exercise (which may include any form of consideration permitted by Section 6(d)(ii), the conditions of exercise, and such other terms and conditions as the Administrator, in its sole discretion, will determine.</w:t>
      </w:r>
    </w:p>
    <w:p>
      <w:pPr>
        <w:spacing w:after="0" w:line="140" w:lineRule="exact"/>
        <w:rPr>
          <w:rFonts w:ascii="Arial" w:cs="Arial" w:eastAsia="Arial" w:hAnsi="Arial"/>
          <w:sz w:val="18"/>
          <w:szCs w:val="18"/>
          <w:color w:val="auto"/>
        </w:rPr>
      </w:pPr>
    </w:p>
    <w:p>
      <w:pPr>
        <w:ind w:left="-60" w:right="20" w:firstLine="1492"/>
        <w:spacing w:after="0" w:line="306" w:lineRule="auto"/>
        <w:tabs>
          <w:tab w:leader="none" w:pos="1682"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form(s) of consideration for exercising an Option, including the method of payment, to the extent permitted by Applicable Laws. In the case of an Incentive Stock Option, the Administrator will determine the acceptable form of consideration at the time of grant. Such consideration to the extent permitted by Applicable Laws may include, but is not limited to:</w:t>
      </w:r>
    </w:p>
    <w:p>
      <w:pPr>
        <w:spacing w:after="0" w:line="106" w:lineRule="exact"/>
        <w:rPr>
          <w:rFonts w:ascii="Arial" w:cs="Arial" w:eastAsia="Arial" w:hAnsi="Arial"/>
          <w:sz w:val="16"/>
          <w:szCs w:val="16"/>
          <w:color w:val="auto"/>
        </w:rPr>
      </w:pPr>
    </w:p>
    <w:p>
      <w:pPr>
        <w:ind w:left="2140" w:hanging="252"/>
        <w:spacing w:after="0"/>
        <w:tabs>
          <w:tab w:leader="none" w:pos="21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2140" w:hanging="252"/>
        <w:spacing w:after="0"/>
        <w:tabs>
          <w:tab w:leader="none" w:pos="21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check;</w:t>
      </w:r>
    </w:p>
    <w:p>
      <w:pPr>
        <w:spacing w:after="0" w:line="171" w:lineRule="exact"/>
        <w:rPr>
          <w:rFonts w:ascii="Arial" w:cs="Arial" w:eastAsia="Arial" w:hAnsi="Arial"/>
          <w:sz w:val="18"/>
          <w:szCs w:val="18"/>
          <w:color w:val="auto"/>
        </w:rPr>
      </w:pPr>
    </w:p>
    <w:p>
      <w:pPr>
        <w:ind w:left="-60" w:right="40" w:firstLine="1948"/>
        <w:spacing w:after="0" w:line="259" w:lineRule="auto"/>
        <w:tabs>
          <w:tab w:leader="none" w:pos="2129" w:val="left"/>
        </w:tabs>
        <w:numPr>
          <w:ilvl w:val="2"/>
          <w:numId w:val="17"/>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said Option will be exercised and provided that accepting such Shares, in the sole discretion of the Administrator, will not result in any adverse accounting consequences to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280" w:right="279" w:bottom="1440" w:gutter="0" w:footer="0" w:header="0"/>
        </w:sectPr>
      </w:pPr>
    </w:p>
    <w:bookmarkStart w:id="13" w:name="page14"/>
    <w:bookmarkEnd w:id="13"/>
    <w:p>
      <w:pPr>
        <w:ind w:left="2200" w:hanging="252"/>
        <w:spacing w:after="0"/>
        <w:tabs>
          <w:tab w:leader="none" w:pos="2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net exercise;</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consideration received by the Company under a cashless exercise program implemented by the Company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right="540" w:firstLine="1948"/>
        <w:spacing w:after="0" w:line="268" w:lineRule="auto"/>
        <w:tabs>
          <w:tab w:leader="none" w:pos="2189"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Participant, including any liability attributable to the Participant’s participation in any Company-sponsored deferred compensation program or arrangement;</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2"/>
          <w:numId w:val="19"/>
        </w:numPr>
        <w:rPr>
          <w:rFonts w:ascii="Arial" w:cs="Arial" w:eastAsia="Arial" w:hAnsi="Arial"/>
          <w:sz w:val="16"/>
          <w:szCs w:val="16"/>
          <w:color w:val="auto"/>
        </w:rPr>
      </w:pPr>
      <w:r>
        <w:rPr>
          <w:rFonts w:ascii="Arial" w:cs="Arial" w:eastAsia="Arial" w:hAnsi="Arial"/>
          <w:sz w:val="16"/>
          <w:szCs w:val="16"/>
          <w:color w:val="auto"/>
        </w:rPr>
        <w:t>such other consideration and method of payment for the issuance of Shares to the extent permitted by Applicable Laws; or</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171" w:lineRule="exact"/>
        <w:rPr>
          <w:rFonts w:ascii="Arial" w:cs="Arial" w:eastAsia="Arial" w:hAnsi="Arial"/>
          <w:sz w:val="18"/>
          <w:szCs w:val="18"/>
          <w:color w:val="auto"/>
        </w:rPr>
      </w:pPr>
    </w:p>
    <w:p>
      <w:pPr>
        <w:ind w:right="40" w:firstLine="921"/>
        <w:spacing w:after="0" w:line="294" w:lineRule="auto"/>
        <w:tabs>
          <w:tab w:leader="none" w:pos="115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An Option granted under the Plan will expire upon the date determined by the Administrator, in its sole discretion, and set forth in the Award Agreement; provided, however, that the term will be no more than seven (7)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15" w:lineRule="exact"/>
        <w:rPr>
          <w:rFonts w:ascii="Arial" w:cs="Arial" w:eastAsia="Arial" w:hAnsi="Arial"/>
          <w:sz w:val="16"/>
          <w:szCs w:val="16"/>
          <w:color w:val="auto"/>
        </w:rPr>
      </w:pPr>
    </w:p>
    <w:p>
      <w:pPr>
        <w:ind w:left="1140" w:hanging="219"/>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40" w:firstLine="1492"/>
        <w:spacing w:after="0" w:line="259" w:lineRule="auto"/>
        <w:tabs>
          <w:tab w:leader="none" w:pos="1693"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40" w:lineRule="exact"/>
        <w:rPr>
          <w:sz w:val="20"/>
          <w:szCs w:val="20"/>
          <w:color w:val="auto"/>
        </w:rPr>
      </w:pPr>
    </w:p>
    <w:p>
      <w:pPr>
        <w:ind w:firstLine="1940"/>
        <w:spacing w:after="0" w:line="289" w:lineRule="auto"/>
        <w:rPr>
          <w:sz w:val="20"/>
          <w:szCs w:val="20"/>
          <w:color w:val="auto"/>
        </w:rPr>
      </w:pPr>
      <w:r>
        <w:rPr>
          <w:rFonts w:ascii="Arial" w:cs="Arial" w:eastAsia="Arial" w:hAnsi="Arial"/>
          <w:sz w:val="16"/>
          <w:szCs w:val="16"/>
          <w:color w:val="auto"/>
        </w:rPr>
        <w:t>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18" w:lineRule="exact"/>
        <w:rPr>
          <w:sz w:val="20"/>
          <w:szCs w:val="20"/>
          <w:color w:val="auto"/>
        </w:rPr>
      </w:pPr>
    </w:p>
    <w:p>
      <w:pPr>
        <w:ind w:right="60" w:firstLine="1484"/>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ind w:right="80" w:firstLine="1492"/>
        <w:spacing w:after="0" w:line="290" w:lineRule="auto"/>
        <w:tabs>
          <w:tab w:leader="none" w:pos="174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Disability or Misconduct,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18" w:lineRule="exact"/>
        <w:rPr>
          <w:rFonts w:ascii="Arial" w:cs="Arial" w:eastAsia="Arial" w:hAnsi="Arial"/>
          <w:sz w:val="16"/>
          <w:szCs w:val="16"/>
          <w:color w:val="auto"/>
        </w:rPr>
      </w:pPr>
    </w:p>
    <w:p>
      <w:pPr>
        <w:ind w:firstLine="1492"/>
        <w:spacing w:after="0" w:line="268" w:lineRule="auto"/>
        <w:tabs>
          <w:tab w:leader="none" w:pos="179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Misconduct of Participant</w:t>
      </w:r>
      <w:r>
        <w:rPr>
          <w:rFonts w:ascii="Arial" w:cs="Arial" w:eastAsia="Arial" w:hAnsi="Arial"/>
          <w:sz w:val="18"/>
          <w:szCs w:val="18"/>
          <w:color w:val="auto"/>
        </w:rPr>
        <w:t>. If a Participant’s termination occurs as a result of Misconduct or if a Participant engages in Misconduct while his or her Options are outstanding, then all such Options shall terminate immediately and cease to be outstanding.</w:t>
      </w:r>
    </w:p>
    <w:p>
      <w:pPr>
        <w:spacing w:after="0" w:line="131" w:lineRule="exact"/>
        <w:rPr>
          <w:rFonts w:ascii="Arial" w:cs="Arial" w:eastAsia="Arial" w:hAnsi="Arial"/>
          <w:sz w:val="18"/>
          <w:szCs w:val="18"/>
          <w:color w:val="auto"/>
        </w:rPr>
      </w:pPr>
    </w:p>
    <w:p>
      <w:pPr>
        <w:ind w:right="20" w:firstLine="1492"/>
        <w:spacing w:after="0" w:line="253" w:lineRule="auto"/>
        <w:tabs>
          <w:tab w:leader="none" w:pos="178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47" w:lineRule="exact"/>
        <w:rPr>
          <w:rFonts w:ascii="Arial" w:cs="Arial" w:eastAsia="Arial" w:hAnsi="Arial"/>
          <w:sz w:val="18"/>
          <w:szCs w:val="18"/>
          <w:color w:val="auto"/>
        </w:rPr>
      </w:pPr>
    </w:p>
    <w:p>
      <w:pPr>
        <w:ind w:right="80" w:firstLine="1492"/>
        <w:spacing w:after="0" w:line="288" w:lineRule="auto"/>
        <w:tabs>
          <w:tab w:leader="none" w:pos="173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19" w:lineRule="exact"/>
        <w:rPr>
          <w:rFonts w:ascii="Arial" w:cs="Arial" w:eastAsia="Arial" w:hAnsi="Arial"/>
          <w:sz w:val="16"/>
          <w:szCs w:val="16"/>
          <w:color w:val="auto"/>
        </w:rPr>
      </w:pPr>
    </w:p>
    <w:p>
      <w:pPr>
        <w:ind w:left="1780" w:hanging="288"/>
        <w:spacing w:after="0"/>
        <w:tabs>
          <w:tab w:leader="none" w:pos="17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A Participant’s Award Agreement also may provide that if the exercise of the Option following the termination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Participant’s status as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 w:name="page16"/>
    <w:bookmarkEnd w:id="1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Provider (other than upon the Participant’s death or Disability) would result in liability under Section 16(b), then the Option will terminate on the earlier of (A) the expiration of the term of the Option set forth in the Award Agreement, or (B) the tenth (10th) day after the last date on which such exercise would result in such liability under Section 16(b). Finally, a Participant’s Award Agreement may also provide that 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three (3) months after the termination of the Participant’s status as a Service Provider during which the exercise of the Option would not be in violation of such registration requirements.</w:t>
      </w:r>
    </w:p>
    <w:p>
      <w:pPr>
        <w:spacing w:after="0" w:line="118"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520" w:firstLine="921"/>
        <w:spacing w:after="0" w:line="268" w:lineRule="auto"/>
        <w:tabs>
          <w:tab w:leader="none" w:pos="115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31" w:lineRule="exact"/>
        <w:rPr>
          <w:rFonts w:ascii="Arial" w:cs="Arial" w:eastAsia="Arial" w:hAnsi="Arial"/>
          <w:sz w:val="18"/>
          <w:szCs w:val="18"/>
          <w:color w:val="auto"/>
        </w:rPr>
      </w:pPr>
    </w:p>
    <w:p>
      <w:pPr>
        <w:ind w:right="20" w:firstLine="921"/>
        <w:spacing w:after="0" w:line="255" w:lineRule="auto"/>
        <w:tabs>
          <w:tab w:leader="none" w:pos="116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Participant, provided that during any Fiscal Year, no Participant will be granted Stock Appreciation Rights covering more than 1,500,000 Shares. Notwithstanding the limitation in the previous sentence, in connection with his or her initial service as an Employee, an Employee may be granted Stock Appreciation Rights covering up to an additional 2,500,000 Shares. The foregoing limitations will be adjusted proportionately in connection with any change in the Company’s capitalization as described in Section 15.</w:t>
      </w:r>
    </w:p>
    <w:p>
      <w:pPr>
        <w:spacing w:after="0" w:line="142" w:lineRule="exact"/>
        <w:rPr>
          <w:rFonts w:ascii="Arial" w:cs="Arial" w:eastAsia="Arial" w:hAnsi="Arial"/>
          <w:sz w:val="18"/>
          <w:szCs w:val="18"/>
          <w:color w:val="auto"/>
        </w:rPr>
      </w:pPr>
    </w:p>
    <w:p>
      <w:pPr>
        <w:ind w:right="260" w:firstLine="921"/>
        <w:spacing w:after="0" w:line="305" w:lineRule="auto"/>
        <w:tabs>
          <w:tab w:leader="none" w:pos="1152" w:val="left"/>
        </w:tabs>
        <w:numPr>
          <w:ilvl w:val="1"/>
          <w:numId w:val="22"/>
        </w:numPr>
        <w:rPr>
          <w:rFonts w:ascii="Arial" w:cs="Arial" w:eastAsia="Arial" w:hAnsi="Arial"/>
          <w:sz w:val="15"/>
          <w:szCs w:val="15"/>
          <w:color w:val="auto"/>
        </w:rPr>
      </w:pPr>
      <w:r>
        <w:rPr>
          <w:rFonts w:ascii="Arial" w:cs="Arial" w:eastAsia="Arial" w:hAnsi="Arial"/>
          <w:sz w:val="15"/>
          <w:szCs w:val="15"/>
          <w:u w:val="single" w:color="auto"/>
          <w:color w:val="auto"/>
        </w:rPr>
        <w:t>Exercise Price and Other Terms</w:t>
      </w:r>
      <w:r>
        <w:rPr>
          <w:rFonts w:ascii="Arial" w:cs="Arial" w:eastAsia="Arial" w:hAnsi="Arial"/>
          <w:sz w:val="15"/>
          <w:szCs w:val="15"/>
          <w:color w:val="auto"/>
        </w:rPr>
        <w:t>. The Administrator, subject to the provisions of the Plan, will have complete discretion to determine the terms and conditions of Stock Appreciation Rights granted under the Plan, provided, however, that the exercise price will not be less than one hundred percent</w:t>
      </w:r>
    </w:p>
    <w:p>
      <w:pPr>
        <w:ind w:right="40"/>
        <w:spacing w:after="0" w:line="302" w:lineRule="auto"/>
        <w:rPr>
          <w:rFonts w:ascii="Arial" w:cs="Arial" w:eastAsia="Arial" w:hAnsi="Arial"/>
          <w:sz w:val="15"/>
          <w:szCs w:val="15"/>
          <w:color w:val="auto"/>
        </w:rPr>
      </w:pPr>
      <w:r>
        <w:rPr>
          <w:rFonts w:ascii="Arial" w:cs="Arial" w:eastAsia="Arial" w:hAnsi="Arial"/>
          <w:sz w:val="16"/>
          <w:szCs w:val="16"/>
          <w:color w:val="auto"/>
        </w:rPr>
        <w:t>(100%) of the Fair Market Value of a Share on the date of grant. Notwithstanding the foregoing provisions of this Section 7(c), Stock Appreciation Rights may be granted with a per Share exercise price of less than one hundred percent (100%) of the Fair Market Value per Share on the date of grant pursuant to a transaction described in, and in a manner consistent with, Section 424(a) of the Code and the Treasury Regulations thereunder.</w:t>
      </w:r>
    </w:p>
    <w:p>
      <w:pPr>
        <w:spacing w:after="0" w:line="109" w:lineRule="exact"/>
        <w:rPr>
          <w:rFonts w:ascii="Arial" w:cs="Arial" w:eastAsia="Arial" w:hAnsi="Arial"/>
          <w:sz w:val="15"/>
          <w:szCs w:val="15"/>
          <w:color w:val="auto"/>
        </w:rPr>
      </w:pPr>
    </w:p>
    <w:p>
      <w:pPr>
        <w:ind w:right="480" w:firstLine="921"/>
        <w:spacing w:after="0" w:line="259" w:lineRule="auto"/>
        <w:tabs>
          <w:tab w:leader="none" w:pos="116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40" w:lineRule="exact"/>
        <w:rPr>
          <w:rFonts w:ascii="Arial" w:cs="Arial" w:eastAsia="Arial" w:hAnsi="Arial"/>
          <w:sz w:val="18"/>
          <w:szCs w:val="18"/>
          <w:color w:val="auto"/>
        </w:rPr>
      </w:pPr>
    </w:p>
    <w:p>
      <w:pPr>
        <w:ind w:right="60" w:firstLine="921"/>
        <w:spacing w:after="0" w:line="306" w:lineRule="auto"/>
        <w:tabs>
          <w:tab w:leader="none" w:pos="115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Expiration of Stock Appreciation Rights</w:t>
      </w:r>
      <w:r>
        <w:rPr>
          <w:rFonts w:ascii="Arial" w:cs="Arial" w:eastAsia="Arial" w:hAnsi="Arial"/>
          <w:sz w:val="16"/>
          <w:szCs w:val="16"/>
          <w:color w:val="auto"/>
        </w:rPr>
        <w:t>. A Stock Appreciation Right granted under the Plan will expire upon the date determined by the Administrator, in its sole discretion, and set forth in the Award Agreement; provided, however, that the term will be no more than seven (7) years from the date of grant thereof. Notwithstanding the foregoing, the rules of Section 6(f) relating to exercise also will apply to Stock Appreciation Rights.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280" w:firstLine="921"/>
        <w:spacing w:after="0" w:line="268" w:lineRule="auto"/>
        <w:tabs>
          <w:tab w:leader="none" w:pos="11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32"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68" w:lineRule="auto"/>
        <w:tabs>
          <w:tab w:leader="none" w:pos="115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31" w:lineRule="exact"/>
        <w:rPr>
          <w:rFonts w:ascii="Arial" w:cs="Arial" w:eastAsia="Arial" w:hAnsi="Arial"/>
          <w:sz w:val="18"/>
          <w:szCs w:val="18"/>
          <w:color w:val="auto"/>
        </w:rPr>
      </w:pPr>
    </w:p>
    <w:p>
      <w:pPr>
        <w:ind w:right="120" w:firstLine="921"/>
        <w:spacing w:after="0" w:line="289" w:lineRule="auto"/>
        <w:tabs>
          <w:tab w:leader="none" w:pos="1161"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Notwithstanding the foregoing sentence, for restricted stock intended to qualify as “performance-based compensation” within the meaning of Section 162(m) of the Code, during any Fiscal Year no Participant will receive more than an aggregate of 500,000 Shares of Restricted Stock. Notwithstanding the foregoing limitation, in connection with his or her initial service as an Employee, for restricted stock intended to qualify as “performance-based compensation” within the meaning of Section 162(m) of the Code, an Employee may be granted an aggregate of up to an additional 750,000 Shares of Restricted Stock. The foregoing limitations will be adjusted proportionately in connection with any change in the Company’s capitalization as described in Section 15.</w:t>
      </w:r>
    </w:p>
    <w:p>
      <w:pPr>
        <w:spacing w:after="0" w:line="118" w:lineRule="exact"/>
        <w:rPr>
          <w:rFonts w:ascii="Arial" w:cs="Arial" w:eastAsia="Arial" w:hAnsi="Arial"/>
          <w:sz w:val="16"/>
          <w:szCs w:val="16"/>
          <w:color w:val="auto"/>
        </w:rPr>
      </w:pPr>
    </w:p>
    <w:p>
      <w:pPr>
        <w:ind w:right="320" w:firstLine="921"/>
        <w:spacing w:after="0" w:line="268" w:lineRule="auto"/>
        <w:tabs>
          <w:tab w:leader="none" w:pos="115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8, Shares of Restricted Stock may not be sold, transferred, pledged, assigned, or otherwise alienated or hypothecated until the end of the applicable Period of Restriction.</w:t>
      </w:r>
    </w:p>
    <w:p>
      <w:pPr>
        <w:spacing w:after="0" w:line="131" w:lineRule="exact"/>
        <w:rPr>
          <w:rFonts w:ascii="Arial" w:cs="Arial" w:eastAsia="Arial" w:hAnsi="Arial"/>
          <w:sz w:val="18"/>
          <w:szCs w:val="18"/>
          <w:color w:val="auto"/>
        </w:rPr>
      </w:pPr>
    </w:p>
    <w:p>
      <w:pPr>
        <w:ind w:right="280" w:firstLine="921"/>
        <w:spacing w:after="0" w:line="268" w:lineRule="auto"/>
        <w:tabs>
          <w:tab w:leader="none" w:pos="1161"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31" w:lineRule="exact"/>
        <w:rPr>
          <w:rFonts w:ascii="Arial" w:cs="Arial" w:eastAsia="Arial" w:hAnsi="Arial"/>
          <w:sz w:val="18"/>
          <w:szCs w:val="18"/>
          <w:color w:val="auto"/>
        </w:rPr>
      </w:pPr>
    </w:p>
    <w:p>
      <w:pPr>
        <w:ind w:right="20" w:firstLine="921"/>
        <w:spacing w:after="0" w:line="256" w:lineRule="auto"/>
        <w:tabs>
          <w:tab w:leader="none" w:pos="115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sole discretion, may reduce or waive any restrictions for such Award and may accelerate the time at which any restrictions will lapse or be removed.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7" w:name="page18"/>
    <w:bookmarkEnd w:id="17"/>
    <w:p>
      <w:pPr>
        <w:ind w:left="-20" w:right="80" w:firstLine="921"/>
        <w:spacing w:after="0" w:line="268" w:lineRule="auto"/>
        <w:tabs>
          <w:tab w:leader="none" w:pos="111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31" w:lineRule="exact"/>
        <w:rPr>
          <w:rFonts w:ascii="Arial" w:cs="Arial" w:eastAsia="Arial" w:hAnsi="Arial"/>
          <w:sz w:val="18"/>
          <w:szCs w:val="18"/>
          <w:color w:val="auto"/>
        </w:rPr>
      </w:pPr>
    </w:p>
    <w:p>
      <w:pPr>
        <w:ind w:left="-20" w:right="140" w:firstLine="921"/>
        <w:spacing w:after="0" w:line="256" w:lineRule="auto"/>
        <w:tabs>
          <w:tab w:leader="none" w:pos="114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43" w:lineRule="exact"/>
        <w:rPr>
          <w:rFonts w:ascii="Arial" w:cs="Arial" w:eastAsia="Arial" w:hAnsi="Arial"/>
          <w:sz w:val="18"/>
          <w:szCs w:val="18"/>
          <w:color w:val="auto"/>
        </w:rPr>
      </w:pPr>
    </w:p>
    <w:p>
      <w:pPr>
        <w:ind w:left="-20" w:firstLine="921"/>
        <w:spacing w:after="0" w:line="268" w:lineRule="auto"/>
        <w:tabs>
          <w:tab w:leader="none" w:pos="114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31" w:lineRule="exact"/>
        <w:rPr>
          <w:rFonts w:ascii="Arial" w:cs="Arial" w:eastAsia="Arial" w:hAnsi="Arial"/>
          <w:sz w:val="18"/>
          <w:szCs w:val="18"/>
          <w:color w:val="auto"/>
        </w:rPr>
      </w:pPr>
    </w:p>
    <w:p>
      <w:pPr>
        <w:ind w:left="-20" w:right="40" w:firstLine="921"/>
        <w:spacing w:after="0" w:line="294" w:lineRule="auto"/>
        <w:tabs>
          <w:tab w:leader="none" w:pos="110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Restrictions</w:t>
      </w:r>
      <w:r>
        <w:rPr>
          <w:rFonts w:ascii="Arial" w:cs="Arial" w:eastAsia="Arial" w:hAnsi="Arial"/>
          <w:sz w:val="16"/>
          <w:szCs w:val="16"/>
          <w:color w:val="auto"/>
        </w:rPr>
        <w:t>. For purposes of qualifying grants of Restricted Stock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which is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15" w:lineRule="exact"/>
        <w:rPr>
          <w:rFonts w:ascii="Arial" w:cs="Arial" w:eastAsia="Arial" w:hAnsi="Arial"/>
          <w:sz w:val="16"/>
          <w:szCs w:val="16"/>
          <w:color w:val="auto"/>
        </w:rPr>
      </w:pPr>
    </w:p>
    <w:p>
      <w:pPr>
        <w:ind w:left="620" w:hanging="17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40" w:firstLine="921"/>
        <w:spacing w:after="0" w:line="289" w:lineRule="auto"/>
        <w:tabs>
          <w:tab w:leader="none" w:pos="113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Notwithstanding anything to the contrary in this subsection (a), for Restricted Stock Units intended to qualify as “performance-based compensation” within the meaning of Section 162(m) of the Code, during any Fiscal Year of the Company, no Participant will receive more than an aggregate of 500,000 Restricted Stock Units. Notwithstanding the limitation in the previous sentence, for Restricted Stock Units intended to qualify as “performance-based compensation” within the meaning of Section 162(m) of the Code, in connection with his or her initial service as an Employee, an Employee may be granted an aggregate of up to an additional 750,000 Restricted Stock Units. The foregoing limitations will be adjusted proportionately in connection with any change in the Company’s capitalization as described in Section 15.</w:t>
      </w:r>
    </w:p>
    <w:p>
      <w:pPr>
        <w:spacing w:after="0" w:line="118" w:lineRule="exact"/>
        <w:rPr>
          <w:rFonts w:ascii="Arial" w:cs="Arial" w:eastAsia="Arial" w:hAnsi="Arial"/>
          <w:sz w:val="16"/>
          <w:szCs w:val="16"/>
          <w:color w:val="auto"/>
        </w:rPr>
      </w:pPr>
    </w:p>
    <w:p>
      <w:pPr>
        <w:ind w:left="-20" w:right="20" w:firstLine="921"/>
        <w:spacing w:after="0" w:line="256" w:lineRule="auto"/>
        <w:tabs>
          <w:tab w:leader="none" w:pos="114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18" w:name="page19"/>
    <w:bookmarkEnd w:id="18"/>
    <w:p>
      <w:pPr>
        <w:ind w:right="40" w:firstLine="921"/>
        <w:spacing w:after="0" w:line="306" w:lineRule="auto"/>
        <w:tabs>
          <w:tab w:leader="none" w:pos="115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 Restricted Stock Units</w:t>
      </w:r>
      <w:r>
        <w:rPr>
          <w:rFonts w:ascii="Arial" w:cs="Arial" w:eastAsia="Arial" w:hAnsi="Arial"/>
          <w:sz w:val="16"/>
          <w:szCs w:val="16"/>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and may accelerate the time at which any restrictions will lapse or be removed.</w:t>
      </w:r>
    </w:p>
    <w:p>
      <w:pPr>
        <w:spacing w:after="0" w:line="106" w:lineRule="exact"/>
        <w:rPr>
          <w:rFonts w:ascii="Arial" w:cs="Arial" w:eastAsia="Arial" w:hAnsi="Arial"/>
          <w:sz w:val="16"/>
          <w:szCs w:val="16"/>
          <w:color w:val="auto"/>
        </w:rPr>
      </w:pPr>
    </w:p>
    <w:p>
      <w:pPr>
        <w:ind w:firstLine="921"/>
        <w:spacing w:after="0" w:line="256" w:lineRule="auto"/>
        <w:tabs>
          <w:tab w:leader="none" w:pos="116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set forth in the Award Agreement or as otherwise provided in the applicable Award Agreement or as required by Applicable Laws. The Administrator, in its sole discretion, may pay earned Restricted Stock Units in cash, Shares, or a combination thereof. Shares represented by Restricted Stock Units that are fully paid in cash again will not reduce the number of Shares available for grant under the Plan.</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194" w:lineRule="exact"/>
        <w:rPr>
          <w:rFonts w:ascii="Arial" w:cs="Arial" w:eastAsia="Arial" w:hAnsi="Arial"/>
          <w:sz w:val="16"/>
          <w:szCs w:val="16"/>
          <w:color w:val="auto"/>
        </w:rPr>
      </w:pPr>
    </w:p>
    <w:p>
      <w:pPr>
        <w:ind w:right="140" w:firstLine="921"/>
        <w:spacing w:after="0" w:line="284" w:lineRule="auto"/>
        <w:tabs>
          <w:tab w:leader="none" w:pos="113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Restrictions</w:t>
      </w:r>
      <w:r>
        <w:rPr>
          <w:rFonts w:ascii="Arial" w:cs="Arial" w:eastAsia="Arial" w:hAnsi="Arial"/>
          <w:sz w:val="16"/>
          <w:szCs w:val="16"/>
          <w:color w:val="auto"/>
        </w:rPr>
        <w:t>. For purposes of qualifying grants of Restricted Stock Units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Units which are intended to qualify under</w:t>
      </w:r>
    </w:p>
    <w:p>
      <w:pPr>
        <w:spacing w:after="0" w:line="1" w:lineRule="exact"/>
        <w:rPr>
          <w:rFonts w:ascii="Arial" w:cs="Arial" w:eastAsia="Arial" w:hAnsi="Arial"/>
          <w:sz w:val="16"/>
          <w:szCs w:val="16"/>
          <w:color w:val="auto"/>
        </w:rPr>
      </w:pPr>
    </w:p>
    <w:p>
      <w:pPr>
        <w:ind w:right="880"/>
        <w:spacing w:after="0" w:line="261" w:lineRule="auto"/>
        <w:rPr>
          <w:rFonts w:ascii="Arial" w:cs="Arial" w:eastAsia="Arial" w:hAnsi="Arial"/>
          <w:sz w:val="16"/>
          <w:szCs w:val="16"/>
          <w:color w:val="auto"/>
        </w:rPr>
      </w:pPr>
      <w:r>
        <w:rPr>
          <w:rFonts w:ascii="Arial" w:cs="Arial" w:eastAsia="Arial" w:hAnsi="Arial"/>
          <w:sz w:val="18"/>
          <w:szCs w:val="18"/>
          <w:color w:val="auto"/>
        </w:rPr>
        <w:t>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37" w:lineRule="exact"/>
        <w:rPr>
          <w:rFonts w:ascii="Arial" w:cs="Arial" w:eastAsia="Arial" w:hAnsi="Arial"/>
          <w:sz w:val="16"/>
          <w:szCs w:val="16"/>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921"/>
        <w:spacing w:after="0" w:line="288" w:lineRule="auto"/>
        <w:tabs>
          <w:tab w:leader="none" w:pos="1152"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Grant of Performance Units/Shares</w:t>
      </w:r>
      <w:r>
        <w:rPr>
          <w:rFonts w:ascii="Arial" w:cs="Arial" w:eastAsia="Arial" w:hAnsi="Arial"/>
          <w:sz w:val="16"/>
          <w:szCs w:val="16"/>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provided that during any Fiscal Year, for Performance Units or Performance Shares intended to qualify as “performance-based compensation” within the meaning of Section 162(m) of the Code, (i) no Participant will receive Performance Units having an initial value greater than $1,000,000, and (ii) no Participant will receive more than 500,000 Performance Shares. Notwithstanding the foregoing limitation, for Performance Shares intended to qualify as “performance-based compensation” within the meaning of Section 162(m) of the Code, in connection with his or her initial service, a Service Provider may be granted up to an additional 750,000 Performance Shares and additional Performance Units having an initial value up to $1,500,000. The foregoing limitations will be adjusted proportionately in connection with any change in the Company’s capitalization as described in Section 15.</w:t>
      </w:r>
    </w:p>
    <w:p>
      <w:pPr>
        <w:spacing w:after="0" w:line="119" w:lineRule="exact"/>
        <w:rPr>
          <w:rFonts w:ascii="Arial" w:cs="Arial" w:eastAsia="Arial" w:hAnsi="Arial"/>
          <w:sz w:val="16"/>
          <w:szCs w:val="16"/>
          <w:color w:val="auto"/>
        </w:rPr>
      </w:pPr>
    </w:p>
    <w:p>
      <w:pPr>
        <w:ind w:right="280" w:firstLine="921"/>
        <w:spacing w:after="0" w:line="332" w:lineRule="auto"/>
        <w:tabs>
          <w:tab w:leader="none" w:pos="1161"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 w:name="page20"/>
    <w:bookmarkEnd w:id="19"/>
    <w:p>
      <w:pPr>
        <w:ind w:left="-40" w:right="20" w:firstLine="921"/>
        <w:spacing w:after="0" w:line="290" w:lineRule="auto"/>
        <w:tabs>
          <w:tab w:leader="none" w:pos="111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Objectives and Other Terms</w:t>
      </w:r>
      <w:r>
        <w:rPr>
          <w:rFonts w:ascii="Arial" w:cs="Arial" w:eastAsia="Arial" w:hAnsi="Arial"/>
          <w:sz w:val="16"/>
          <w:szCs w:val="16"/>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18" w:lineRule="exact"/>
        <w:rPr>
          <w:rFonts w:ascii="Arial" w:cs="Arial" w:eastAsia="Arial" w:hAnsi="Arial"/>
          <w:sz w:val="16"/>
          <w:szCs w:val="16"/>
          <w:color w:val="auto"/>
        </w:rPr>
      </w:pPr>
    </w:p>
    <w:p>
      <w:pPr>
        <w:ind w:left="-40" w:right="140" w:firstLine="921"/>
        <w:spacing w:after="0" w:line="294" w:lineRule="auto"/>
        <w:tabs>
          <w:tab w:leader="none" w:pos="1121"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and may accelerate the time at which any restrictions will lapse or be removed.</w:t>
      </w:r>
    </w:p>
    <w:p>
      <w:pPr>
        <w:spacing w:after="0" w:line="115" w:lineRule="exact"/>
        <w:rPr>
          <w:rFonts w:ascii="Arial" w:cs="Arial" w:eastAsia="Arial" w:hAnsi="Arial"/>
          <w:sz w:val="16"/>
          <w:szCs w:val="16"/>
          <w:color w:val="auto"/>
        </w:rPr>
      </w:pPr>
    </w:p>
    <w:p>
      <w:pPr>
        <w:ind w:left="-40" w:right="140" w:firstLine="921"/>
        <w:spacing w:after="0" w:line="298" w:lineRule="auto"/>
        <w:tabs>
          <w:tab w:leader="none" w:pos="111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 of Performance Units/Shares</w:t>
      </w:r>
      <w:r>
        <w:rPr>
          <w:rFonts w:ascii="Arial" w:cs="Arial" w:eastAsia="Arial" w:hAnsi="Arial"/>
          <w:sz w:val="16"/>
          <w:szCs w:val="16"/>
          <w:color w:val="auto"/>
        </w:rPr>
        <w:t>. Payment of earned Performance Units/Shares will be made as soon as practicable after the expiration of the applicable Performance Period, or as otherwise provided in the applicable Award Agreement or as required by Applicable Laws.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12" w:lineRule="exact"/>
        <w:rPr>
          <w:rFonts w:ascii="Arial" w:cs="Arial" w:eastAsia="Arial" w:hAnsi="Arial"/>
          <w:sz w:val="16"/>
          <w:szCs w:val="16"/>
          <w:color w:val="auto"/>
        </w:rPr>
      </w:pPr>
    </w:p>
    <w:p>
      <w:pPr>
        <w:ind w:left="-40" w:firstLine="921"/>
        <w:spacing w:after="0" w:line="268" w:lineRule="auto"/>
        <w:tabs>
          <w:tab w:leader="none" w:pos="10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31" w:lineRule="exact"/>
        <w:rPr>
          <w:rFonts w:ascii="Arial" w:cs="Arial" w:eastAsia="Arial" w:hAnsi="Arial"/>
          <w:sz w:val="18"/>
          <w:szCs w:val="18"/>
          <w:color w:val="auto"/>
        </w:rPr>
      </w:pPr>
    </w:p>
    <w:p>
      <w:pPr>
        <w:ind w:left="-40" w:right="60" w:firstLine="921"/>
        <w:spacing w:after="0" w:line="294" w:lineRule="auto"/>
        <w:tabs>
          <w:tab w:leader="none" w:pos="1121"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Restrictions</w:t>
      </w:r>
      <w:r>
        <w:rPr>
          <w:rFonts w:ascii="Arial" w:cs="Arial" w:eastAsia="Arial" w:hAnsi="Arial"/>
          <w:sz w:val="16"/>
          <w:szCs w:val="16"/>
          <w:color w:val="auto"/>
        </w:rPr>
        <w:t>. For purposes of qualifying grants of Performance Units/Shares as “performance-based compensation” under Section 162(m) of the Code, the Administrator, in its discretion, may set restrictions based upon the achievement of Performance Goals. The Performance Goals will be set by the Administrator on or before the Determination Date. In granting Performance Units/Shares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15" w:lineRule="exact"/>
        <w:rPr>
          <w:rFonts w:ascii="Arial" w:cs="Arial" w:eastAsia="Arial" w:hAnsi="Arial"/>
          <w:sz w:val="16"/>
          <w:szCs w:val="16"/>
          <w:color w:val="auto"/>
        </w:rPr>
      </w:pPr>
    </w:p>
    <w:p>
      <w:pPr>
        <w:ind w:left="680" w:hanging="25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 Under Code Section 162(m)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540" w:firstLine="921"/>
        <w:spacing w:after="0" w:line="332" w:lineRule="auto"/>
        <w:tabs>
          <w:tab w:leader="none" w:pos="111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the Administrator, in its discretion, decides to grant an Award intended to qualify as “performance-based compensation” under Section 162(m) of the Code, the provisions of this Section 11 will control over any contrary provision in the Plan; provided,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80" w:right="259" w:bottom="1440" w:gutter="0" w:footer="0" w:header="0"/>
        </w:sectPr>
      </w:pPr>
    </w:p>
    <w:bookmarkStart w:id="20" w:name="page21"/>
    <w:bookmarkEnd w:id="2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however, that the Administrator may in its discretion grant Awards that are not intended to qualify as “performance-based compensation” under Section 162(m) of the Code to such Participants that are based on Performance Goals or other specific criteria or goals but that do not satisfy the requirements of this Section 11.</w:t>
      </w:r>
    </w:p>
    <w:p>
      <w:pPr>
        <w:spacing w:after="0" w:line="85" w:lineRule="exact"/>
        <w:rPr>
          <w:sz w:val="20"/>
          <w:szCs w:val="20"/>
          <w:color w:val="auto"/>
        </w:rPr>
      </w:pPr>
    </w:p>
    <w:p>
      <w:pPr>
        <w:ind w:firstLine="921"/>
        <w:spacing w:after="0" w:line="303" w:lineRule="auto"/>
        <w:tabs>
          <w:tab w:leader="none" w:pos="1161" w:val="left"/>
        </w:tabs>
        <w:numPr>
          <w:ilvl w:val="1"/>
          <w:numId w:val="31"/>
        </w:numPr>
        <w:rPr>
          <w:rFonts w:ascii="Arial" w:cs="Arial" w:eastAsia="Arial" w:hAnsi="Arial"/>
          <w:sz w:val="15"/>
          <w:szCs w:val="15"/>
          <w:color w:val="auto"/>
        </w:rPr>
      </w:pPr>
      <w:r>
        <w:rPr>
          <w:rFonts w:ascii="Arial" w:cs="Arial" w:eastAsia="Arial" w:hAnsi="Arial"/>
          <w:sz w:val="15"/>
          <w:szCs w:val="15"/>
          <w:u w:val="single" w:color="auto"/>
          <w:color w:val="auto"/>
        </w:rPr>
        <w:t>Performance Goals</w:t>
      </w:r>
      <w:r>
        <w:rPr>
          <w:rFonts w:ascii="Arial" w:cs="Arial" w:eastAsia="Arial" w:hAnsi="Arial"/>
          <w:sz w:val="15"/>
          <w:szCs w:val="15"/>
          <w:color w:val="auto"/>
        </w:rPr>
        <w:t>. The granting and/or vesting of Awards of Restricted Stock, Restricted Stock Units, Performance Shares and Performance Units and other incentives under the Plan may be made subject to the attainment of performance goals relating to one or more business criteria within the meaning of Section 162(m) of the Code and may provide for a targeted level or levels of achievement (“</w:t>
      </w:r>
      <w:r>
        <w:rPr>
          <w:rFonts w:ascii="Arial" w:cs="Arial" w:eastAsia="Arial" w:hAnsi="Arial"/>
          <w:sz w:val="15"/>
          <w:szCs w:val="15"/>
          <w:u w:val="single" w:color="auto"/>
          <w:color w:val="auto"/>
        </w:rPr>
        <w:t>Performance Goals</w:t>
      </w:r>
      <w:r>
        <w:rPr>
          <w:rFonts w:ascii="Arial" w:cs="Arial" w:eastAsia="Arial" w:hAnsi="Arial"/>
          <w:sz w:val="15"/>
          <w:szCs w:val="15"/>
          <w:color w:val="auto"/>
        </w:rPr>
        <w:t>”) including: (i) cash flow, (ii) cash position,</w:t>
      </w:r>
    </w:p>
    <w:p>
      <w:pPr>
        <w:spacing w:after="0" w:line="1" w:lineRule="exact"/>
        <w:rPr>
          <w:rFonts w:ascii="Arial" w:cs="Arial" w:eastAsia="Arial" w:hAnsi="Arial"/>
          <w:sz w:val="15"/>
          <w:szCs w:val="15"/>
          <w:color w:val="auto"/>
        </w:rPr>
      </w:pPr>
    </w:p>
    <w:p>
      <w:pPr>
        <w:ind w:firstLine="8"/>
        <w:spacing w:after="0" w:line="281" w:lineRule="auto"/>
        <w:tabs>
          <w:tab w:leader="none" w:pos="3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earnings (which may include earnings before interest and taxes, earnings before taxes and net earnings), (iv) earnings per Share, (v) growth in stockholder value relative to the moving average of the S&amp;P 500 Index or another index, (vi) net income, (vii) net profit, (viii) net sales, (ix) operating cash flow, (x) operating income, (xi) revenue, (xii) revenue growth, (xiii) stock price, and (xiv) working capital. Any criteria used may be (A) measured in absolute terms, (B) measured in terms of growth, (C) compared to another company or companies, (D) measured against the market as a whole and/or according to applicable market indices,</w:t>
      </w:r>
    </w:p>
    <w:p>
      <w:pPr>
        <w:spacing w:after="0" w:line="2" w:lineRule="exact"/>
        <w:rPr>
          <w:rFonts w:ascii="Arial" w:cs="Arial" w:eastAsia="Arial" w:hAnsi="Arial"/>
          <w:sz w:val="16"/>
          <w:szCs w:val="16"/>
          <w:color w:val="auto"/>
        </w:rPr>
      </w:pPr>
    </w:p>
    <w:p>
      <w:pPr>
        <w:ind w:right="40"/>
        <w:spacing w:after="0" w:line="308" w:lineRule="auto"/>
        <w:rPr>
          <w:rFonts w:ascii="Arial" w:cs="Arial" w:eastAsia="Arial" w:hAnsi="Arial"/>
          <w:sz w:val="16"/>
          <w:szCs w:val="16"/>
          <w:color w:val="auto"/>
        </w:rPr>
      </w:pPr>
      <w:r>
        <w:rPr>
          <w:rFonts w:ascii="Arial" w:cs="Arial" w:eastAsia="Arial" w:hAnsi="Arial"/>
          <w:sz w:val="15"/>
          <w:szCs w:val="15"/>
          <w:color w:val="auto"/>
        </w:rPr>
        <w:t>(E) measured against the performance of the Company as a whole or a segment of the Company and/or (F) measured on a pre-tax or post-tax basis (if applicable). Further, any Performance Goals may be used to measure the performance of the Company as a whole or a business unit or other segment of the Company, or one or more product lines or specific markets and may be measured relative to a peer group or index. The Performance Goals may differ from Participant to Participant and from Award to Award. Prior to the Determination Date, the Administrator will determine whether any significant element(s) will be included in or excluded from the calculation of any Performance Goal with respect to any Participant. In all other respects, Performance Goals will be calculated in accordance with the Company’s financial statements, generally accepted accounting principles, or under a methodology established by the Administrator prior to the issuance of an Award and which is consistently applied with respect to a Performance Goal in the relevant Performance Period. The Administrator will adjust any performance criteria, Performance Goal or other feature of an Award that relates to or is wholly or partially based on the number of, or the value of, any stock of the Company, to reflect any stock dividend or split, repurchase, recapitalization, combination, or exchange of shares or other similar changes in such stock.</w:t>
      </w:r>
    </w:p>
    <w:p>
      <w:pPr>
        <w:spacing w:after="0" w:line="108" w:lineRule="exact"/>
        <w:rPr>
          <w:rFonts w:ascii="Arial" w:cs="Arial" w:eastAsia="Arial" w:hAnsi="Arial"/>
          <w:sz w:val="16"/>
          <w:szCs w:val="16"/>
          <w:color w:val="auto"/>
        </w:rPr>
      </w:pPr>
    </w:p>
    <w:p>
      <w:pPr>
        <w:ind w:right="80" w:firstLine="921"/>
        <w:spacing w:after="0" w:line="283" w:lineRule="auto"/>
        <w:tabs>
          <w:tab w:leader="none" w:pos="1152"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To the extent necessary to comply with the performance-based compensation provisions of Section 162(m) of the Code, with respect to any Award granted subject to Performance Goals and intended to qualify as “performance-based compensation” under Section 162(m) of the Code, on or before the Determination Date (i.e., within the first twenty-five percent (25%) of the Performance Period, but in no event more than ninety (90) days following the commencement of any Performance Period or such other time as may be required or permitted by Section 162(m) of the Code), the Administrator will, in writing, (i) designate one or more Participants to whom an Award will be made, (ii) select the Performance Goals applicable to the Performance Period,</w:t>
      </w:r>
    </w:p>
    <w:p>
      <w:pPr>
        <w:spacing w:after="0" w:line="2" w:lineRule="exact"/>
        <w:rPr>
          <w:rFonts w:ascii="Arial" w:cs="Arial" w:eastAsia="Arial" w:hAnsi="Arial"/>
          <w:sz w:val="16"/>
          <w:szCs w:val="16"/>
          <w:color w:val="auto"/>
        </w:rPr>
      </w:pPr>
    </w:p>
    <w:p>
      <w:pPr>
        <w:ind w:right="640" w:firstLine="8"/>
        <w:spacing w:after="0" w:line="361" w:lineRule="auto"/>
        <w:tabs>
          <w:tab w:leader="none" w:pos="307" w:val="left"/>
        </w:tabs>
        <w:numPr>
          <w:ilvl w:val="0"/>
          <w:numId w:val="33"/>
        </w:numPr>
        <w:rPr>
          <w:rFonts w:ascii="Arial" w:cs="Arial" w:eastAsia="Arial" w:hAnsi="Arial"/>
          <w:sz w:val="15"/>
          <w:szCs w:val="15"/>
          <w:color w:val="auto"/>
        </w:rPr>
      </w:pPr>
      <w:r>
        <w:rPr>
          <w:rFonts w:ascii="Arial" w:cs="Arial" w:eastAsia="Arial" w:hAnsi="Arial"/>
          <w:sz w:val="15"/>
          <w:szCs w:val="15"/>
          <w:color w:val="auto"/>
        </w:rPr>
        <w:t>establish the Performance Goals, and amounts of such Awards, as applicable, which may be earned for such Performance Period, and (iv) specify the relationship between Performance Goals and the amounts of such Awards, as applicable, to be earned by each Participant for such Performance Period.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right="20" w:firstLine="921"/>
        <w:spacing w:after="0" w:line="298" w:lineRule="auto"/>
        <w:tabs>
          <w:tab w:leader="none" w:pos="1161"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Limitations</w:t>
      </w:r>
      <w:r>
        <w:rPr>
          <w:rFonts w:ascii="Arial" w:cs="Arial" w:eastAsia="Arial" w:hAnsi="Arial"/>
          <w:sz w:val="16"/>
          <w:szCs w:val="16"/>
          <w:color w:val="auto"/>
        </w:rPr>
        <w:t>. Notwithstanding any other provision of the Plan, any Award which is granted to a Participant and is intended to constitute qualified performance-based compensation under Section 162(m) of the Code will be subject to any additional limitations set forth in the Code (including any amendment to Section 162(m)) or any regulations and ruling issued thereunder that are requirements for qualification as qualified performance-based compensation as described in Section 162(m) of the Code, and the Plan will be deemed amended to the extent necessary to conform to such requirements.</w:t>
      </w:r>
    </w:p>
    <w:p>
      <w:pPr>
        <w:spacing w:after="0" w:line="112" w:lineRule="exact"/>
        <w:rPr>
          <w:rFonts w:ascii="Arial" w:cs="Arial" w:eastAsia="Arial" w:hAnsi="Arial"/>
          <w:sz w:val="16"/>
          <w:szCs w:val="16"/>
          <w:color w:val="auto"/>
        </w:rPr>
      </w:pPr>
    </w:p>
    <w:p>
      <w:pPr>
        <w:jc w:val="both"/>
        <w:ind w:right="140" w:firstLine="921"/>
        <w:spacing w:after="0" w:line="302" w:lineRule="auto"/>
        <w:tabs>
          <w:tab w:leader="none" w:pos="1152" w:val="left"/>
        </w:tabs>
        <w:numPr>
          <w:ilvl w:val="1"/>
          <w:numId w:val="34"/>
        </w:numPr>
        <w:rPr>
          <w:rFonts w:ascii="Arial" w:cs="Arial" w:eastAsia="Arial" w:hAnsi="Arial"/>
          <w:sz w:val="15"/>
          <w:szCs w:val="15"/>
          <w:color w:val="auto"/>
        </w:rPr>
      </w:pPr>
      <w:r>
        <w:rPr>
          <w:rFonts w:ascii="Arial" w:cs="Arial" w:eastAsia="Arial" w:hAnsi="Arial"/>
          <w:sz w:val="15"/>
          <w:szCs w:val="15"/>
          <w:u w:val="single" w:color="auto"/>
          <w:color w:val="auto"/>
        </w:rPr>
        <w:t>Determination of Amounts Earned</w:t>
      </w:r>
      <w:r>
        <w:rPr>
          <w:rFonts w:ascii="Arial" w:cs="Arial" w:eastAsia="Arial" w:hAnsi="Arial"/>
          <w:sz w:val="15"/>
          <w:szCs w:val="15"/>
          <w:color w:val="auto"/>
        </w:rPr>
        <w:t>. Following the completion of each Performance Period, the Administrator will certify in writing whether the applicable Performance Goals have been achieved for such Performance Period. A Participant will be eligible to receive payment pursuant to an Award intended to qualify as “performance-based compensation” under Section 162(m) of the Code for a Performance Period only if the Performance Goals for such period are achieved. In determining the amounts earned by a Participant pursuant to an Award intended to qualified as “performance-based compensation” under</w:t>
      </w:r>
    </w:p>
    <w:p>
      <w:pPr>
        <w:spacing w:after="0" w:line="2" w:lineRule="exact"/>
        <w:rPr>
          <w:rFonts w:ascii="Arial" w:cs="Arial" w:eastAsia="Arial" w:hAnsi="Arial"/>
          <w:sz w:val="15"/>
          <w:szCs w:val="15"/>
          <w:color w:val="auto"/>
        </w:rPr>
      </w:pPr>
    </w:p>
    <w:p>
      <w:pPr>
        <w:ind w:right="20"/>
        <w:spacing w:after="0" w:line="287" w:lineRule="auto"/>
        <w:rPr>
          <w:rFonts w:ascii="Arial" w:cs="Arial" w:eastAsia="Arial" w:hAnsi="Arial"/>
          <w:sz w:val="15"/>
          <w:szCs w:val="15"/>
          <w:color w:val="auto"/>
        </w:rPr>
      </w:pPr>
      <w:r>
        <w:rPr>
          <w:rFonts w:ascii="Arial" w:cs="Arial" w:eastAsia="Arial" w:hAnsi="Arial"/>
          <w:sz w:val="16"/>
          <w:szCs w:val="16"/>
          <w:color w:val="auto"/>
        </w:rPr>
        <w:t>Section 162(m) of the Code, the Committee will have the right to (a) reduce or eliminate (but not to increase) the amount payable at a given level of performance to take into account additional factors that the Committee may deem relevant to the assessment of individual or corporate performance for the Performance Period, (b) determine what actual Award, if any, will be paid in the event of a termination of employment as the result of a Participant’s death or disability or upon a Change in Control or in the event of a termination of employment following a Change in Control prior to the end of the Performance Period, and (c) determine what actual Award, if any, will be paid in the event of a termination of employment other than as the result of a Participant’s death or disability prior to a Change of Control and prior to the end of the Performance Period to the extent an actual Award would have otherwise been achieved had the Participant remained employed through the end of the Performance Period. A Participant will be eligible to receive payment pursuant to an Award intended to qualify as “performance-based compensation” under Section 162(m) of the Code for a Performance Period only if the Performance Goals for such period are achieved.</w:t>
      </w:r>
    </w:p>
    <w:p>
      <w:pPr>
        <w:spacing w:after="0" w:line="124" w:lineRule="exact"/>
        <w:rPr>
          <w:rFonts w:ascii="Arial" w:cs="Arial" w:eastAsia="Arial" w:hAnsi="Arial"/>
          <w:sz w:val="15"/>
          <w:szCs w:val="15"/>
          <w:color w:val="auto"/>
        </w:rPr>
      </w:pPr>
    </w:p>
    <w:p>
      <w:pPr>
        <w:ind w:right="160" w:firstLine="464"/>
        <w:spacing w:after="0" w:line="283"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37" w:lineRule="exact"/>
        <w:rPr>
          <w:rFonts w:ascii="Arial" w:cs="Arial" w:eastAsia="Arial" w:hAnsi="Arial"/>
          <w:sz w:val="16"/>
          <w:szCs w:val="16"/>
          <w:color w:val="auto"/>
        </w:rPr>
      </w:pPr>
    </w:p>
    <w:p>
      <w:pPr>
        <w:jc w:val="both"/>
        <w:ind w:right="240" w:firstLine="464"/>
        <w:spacing w:after="0" w:line="259"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and except as required by Applicable Laws, vesting of Awards granted hereunder will be suspended during any unpaid leave of absence. A Participant will not cease to be an Employee in the case of (i) any leave of absence approved by the Company or (ii) transfers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0"/>
          <w:szCs w:val="10"/>
          <w:color w:val="auto"/>
        </w:rPr>
        <w:t>st</w:t>
      </w:r>
      <w:r>
        <w:rPr>
          <w:rFonts w:ascii="Arial" w:cs="Arial" w:eastAsia="Arial" w:hAnsi="Arial"/>
          <w:sz w:val="16"/>
          <w:szCs w:val="16"/>
          <w:color w:val="auto"/>
        </w:rPr>
        <w:t>) day of such leave, any Incentive Stock Option held by the Participant will cease to be treated as an Incentive Stock Option and will be treated for tax purposes as a Nonstatutory Stock Option.</w:t>
      </w:r>
    </w:p>
    <w:p>
      <w:pPr>
        <w:spacing w:after="0" w:line="113" w:lineRule="exact"/>
        <w:rPr>
          <w:sz w:val="20"/>
          <w:szCs w:val="20"/>
          <w:color w:val="auto"/>
        </w:rPr>
      </w:pPr>
    </w:p>
    <w:p>
      <w:pPr>
        <w:ind w:right="80" w:firstLine="464"/>
        <w:spacing w:after="0" w:line="259" w:lineRule="auto"/>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54" w:lineRule="auto"/>
        <w:tabs>
          <w:tab w:leader="none" w:pos="1152"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the numerical Share limits set forth in Sections 3, 6, 7, 8, 9 and 10 of the Plan.</w:t>
      </w:r>
    </w:p>
    <w:p>
      <w:pPr>
        <w:spacing w:after="0" w:line="144" w:lineRule="exact"/>
        <w:rPr>
          <w:rFonts w:ascii="Arial" w:cs="Arial" w:eastAsia="Arial" w:hAnsi="Arial"/>
          <w:sz w:val="18"/>
          <w:szCs w:val="18"/>
          <w:color w:val="auto"/>
        </w:rPr>
      </w:pPr>
    </w:p>
    <w:p>
      <w:pPr>
        <w:ind w:right="60" w:firstLine="921"/>
        <w:spacing w:after="0" w:line="259" w:lineRule="auto"/>
        <w:tabs>
          <w:tab w:leader="none" w:pos="1161"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40" w:lineRule="exact"/>
        <w:rPr>
          <w:rFonts w:ascii="Arial" w:cs="Arial" w:eastAsia="Arial" w:hAnsi="Arial"/>
          <w:sz w:val="18"/>
          <w:szCs w:val="18"/>
          <w:color w:val="auto"/>
        </w:rPr>
      </w:pPr>
    </w:p>
    <w:p>
      <w:pPr>
        <w:ind w:right="120" w:firstLine="921"/>
        <w:spacing w:after="0" w:line="283" w:lineRule="auto"/>
        <w:tabs>
          <w:tab w:leader="none" w:pos="1152" w:val="left"/>
        </w:tabs>
        <w:numPr>
          <w:ilvl w:val="2"/>
          <w:numId w:val="36"/>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merger or Change in Control, each outstanding Award will be treated as the Administrator determines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2" w:lineRule="exact"/>
        <w:rPr>
          <w:rFonts w:ascii="Arial" w:cs="Arial" w:eastAsia="Arial" w:hAnsi="Arial"/>
          <w:sz w:val="16"/>
          <w:szCs w:val="16"/>
          <w:color w:val="auto"/>
        </w:rPr>
      </w:pPr>
    </w:p>
    <w:p>
      <w:pPr>
        <w:ind w:right="80" w:firstLine="8"/>
        <w:spacing w:after="0" w:line="290" w:lineRule="auto"/>
        <w:tabs>
          <w:tab w:leader="none" w:pos="3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of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Award may be terminated by the Company without payment), or (B) the replacement of such Award with other rights or property selected by the Administrator in its sole discretion; or (v) any combination of the foregoing. In taking any of the actions permitted under this subsection 15(c), the Administrator will not be obligated to treat all Awards, all Awards held by a Participant, or all Awards of the same type, similarly.</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all of his or her outstanding Options and Stock Appreciation Rights that are not assumed or substituted for, including Shares as to which such Awards would not otherwise be vested or exercisable, all restrictions on Restricted Stock, Restricted Stock Units, and Performance Shares/Units not assumed or substituted for will lapse, and, with respect to Awards with performance-based vesting not assumed or substituted for, all performance goals or other vesting criteria will be deemed achieved at one hundred percent (100%) of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118"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For the purposes of this subsection (c), an Award will be considered assumed if, following the merger or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pay cash or a Restricted Stock Unit, Performance Share or Performance Unit which the Administrator can determine to pay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(or in the case of an Award settled in cash, the number of implied shares determined by dividing the value of the Award by the per share consideration received by holders of Common Stock in the merger or Change in Control), to be solely common stock of the successor corporation or its Parent equal in fair market value to the per share consideration received by holders of Common Stock in the merger or Change in Control.</w:t>
      </w:r>
    </w:p>
    <w:p>
      <w:pPr>
        <w:spacing w:after="0" w:line="124"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Notwithstanding anything in this Section 15(c) to the contrary, an Award that vests, is earned or paid-out upon the satisfaction of one or more performance objectives (including any Performance Goals) will not be considered assumed if the Company or its successor modifies any of such performance objectives without the Participant’s consent; provided, however, a modification to such performance objectives only to reflect the successor corporation’s post-Change in Control corporate structure will not be deemed to invalidate an otherwise valid Award assumption.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in this Section 15(c) to the contrary, if a payment under an Award Agreement is subject to Section 409A of the Code and if the change in control definition contained in the Award Agreement or other agreement related to the Award does not comply with the definition of “change in control” for purposes of a distribution under Section 409A of the Code, then any payment of an amount that is otherwise accelerated under this Section will be delayed until the earliest time that such payment would be permissible under Section 409A of the Code without triggering any penalties applicable under Section 409A of the Code.</w:t>
      </w:r>
    </w:p>
    <w:p>
      <w:pPr>
        <w:spacing w:after="0" w:line="143" w:lineRule="exact"/>
        <w:rPr>
          <w:sz w:val="20"/>
          <w:szCs w:val="20"/>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260" w:firstLine="921"/>
        <w:spacing w:after="0" w:line="306"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06" w:lineRule="exact"/>
        <w:rPr>
          <w:rFonts w:ascii="Arial" w:cs="Arial" w:eastAsia="Arial" w:hAnsi="Arial"/>
          <w:sz w:val="16"/>
          <w:szCs w:val="16"/>
          <w:color w:val="auto"/>
        </w:rPr>
      </w:pPr>
    </w:p>
    <w:p>
      <w:pPr>
        <w:ind w:right="40" w:firstLine="921"/>
        <w:spacing w:after="0" w:line="286" w:lineRule="auto"/>
        <w:tabs>
          <w:tab w:leader="none" w:pos="1161"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amount required to be withheld, (c) delivering to the Company already-owned Shares having a Fair Market Value equal to the amount required to be withheld,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(e) retaining from salary or other amounts payable to the Participant cash having a sufficient value to satisfy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27" w:lineRule="exact"/>
        <w:rPr>
          <w:rFonts w:ascii="Arial" w:cs="Arial" w:eastAsia="Arial" w:hAnsi="Arial"/>
          <w:sz w:val="16"/>
          <w:szCs w:val="16"/>
          <w:color w:val="auto"/>
        </w:rPr>
      </w:pPr>
    </w:p>
    <w:p>
      <w:pPr>
        <w:ind w:right="580" w:firstLine="464"/>
        <w:spacing w:after="0" w:line="306"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Effect on Employment or Service</w:t>
      </w:r>
      <w:r>
        <w:rPr>
          <w:rFonts w:ascii="Arial" w:cs="Arial" w:eastAsia="Arial" w:hAnsi="Arial"/>
          <w:sz w:val="16"/>
          <w:szCs w:val="16"/>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06" w:lineRule="exact"/>
        <w:rPr>
          <w:rFonts w:ascii="Arial" w:cs="Arial" w:eastAsia="Arial" w:hAnsi="Arial"/>
          <w:sz w:val="16"/>
          <w:szCs w:val="16"/>
          <w:color w:val="auto"/>
        </w:rPr>
      </w:pPr>
    </w:p>
    <w:p>
      <w:pPr>
        <w:ind w:right="220" w:firstLine="464"/>
        <w:spacing w:after="0" w:line="259"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ind w:left="-20" w:right="240" w:firstLine="464"/>
        <w:spacing w:after="0" w:line="268"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of Plan</w:t>
      </w:r>
      <w:r>
        <w:rPr>
          <w:rFonts w:ascii="Arial" w:cs="Arial" w:eastAsia="Arial" w:hAnsi="Arial"/>
          <w:sz w:val="18"/>
          <w:szCs w:val="18"/>
          <w:color w:val="auto"/>
        </w:rPr>
        <w:t>. Subject to Section 23 of the Plan, the Plan will become effective upon its adoption by the Board. It will continue in effect for a term of ten (10) years from the date adopted by the Board, unless terminated earlier under Section 20 of the Plan.</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239"/>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171" w:lineRule="exact"/>
        <w:rPr>
          <w:rFonts w:ascii="Arial" w:cs="Arial" w:eastAsia="Arial" w:hAnsi="Arial"/>
          <w:sz w:val="18"/>
          <w:szCs w:val="18"/>
          <w:color w:val="auto"/>
        </w:rPr>
      </w:pPr>
    </w:p>
    <w:p>
      <w:pPr>
        <w:ind w:left="-20" w:right="220" w:firstLine="921"/>
        <w:spacing w:after="0" w:line="268" w:lineRule="auto"/>
        <w:tabs>
          <w:tab w:leader="none" w:pos="114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31" w:lineRule="exact"/>
        <w:rPr>
          <w:rFonts w:ascii="Arial" w:cs="Arial" w:eastAsia="Arial" w:hAnsi="Arial"/>
          <w:sz w:val="18"/>
          <w:szCs w:val="18"/>
          <w:color w:val="auto"/>
        </w:rPr>
      </w:pPr>
    </w:p>
    <w:p>
      <w:pPr>
        <w:ind w:left="-20" w:right="160" w:firstLine="921"/>
        <w:spacing w:after="0" w:line="256" w:lineRule="auto"/>
        <w:tabs>
          <w:tab w:leader="none" w:pos="113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43" w:lineRule="exact"/>
        <w:rPr>
          <w:rFonts w:ascii="Arial" w:cs="Arial" w:eastAsia="Arial" w:hAnsi="Arial"/>
          <w:sz w:val="18"/>
          <w:szCs w:val="18"/>
          <w:color w:val="auto"/>
        </w:rPr>
      </w:pPr>
    </w:p>
    <w:p>
      <w:pPr>
        <w:ind w:left="700" w:hanging="2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600" w:firstLine="921"/>
        <w:spacing w:after="0" w:line="259" w:lineRule="auto"/>
        <w:tabs>
          <w:tab w:leader="none" w:pos="113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40" w:lineRule="exact"/>
        <w:rPr>
          <w:rFonts w:ascii="Arial" w:cs="Arial" w:eastAsia="Arial" w:hAnsi="Arial"/>
          <w:sz w:val="18"/>
          <w:szCs w:val="18"/>
          <w:color w:val="auto"/>
        </w:rPr>
      </w:pPr>
    </w:p>
    <w:p>
      <w:pPr>
        <w:ind w:left="-20" w:right="40" w:firstLine="921"/>
        <w:spacing w:after="0" w:line="259" w:lineRule="auto"/>
        <w:tabs>
          <w:tab w:leader="none" w:pos="114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0" w:lineRule="exact"/>
        <w:rPr>
          <w:rFonts w:ascii="Arial" w:cs="Arial" w:eastAsia="Arial" w:hAnsi="Arial"/>
          <w:sz w:val="18"/>
          <w:szCs w:val="18"/>
          <w:color w:val="auto"/>
        </w:rPr>
      </w:pPr>
    </w:p>
    <w:p>
      <w:pPr>
        <w:ind w:left="-20" w:firstLine="464"/>
        <w:spacing w:after="0" w:line="259"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40" w:lineRule="exact"/>
        <w:rPr>
          <w:rFonts w:ascii="Arial" w:cs="Arial" w:eastAsia="Arial" w:hAnsi="Arial"/>
          <w:sz w:val="18"/>
          <w:szCs w:val="18"/>
          <w:color w:val="auto"/>
        </w:rPr>
      </w:pPr>
    </w:p>
    <w:p>
      <w:pPr>
        <w:ind w:left="-20" w:right="300" w:firstLine="464"/>
        <w:spacing w:after="0" w:line="332" w:lineRule="auto"/>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STOCK OPTION</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Unless otherwise defined herein, the terms defined in the Active Power, Inc. 2010 Equity Incentive Plan (the “Plan”) will have the same defined meanings in this Notice of Grant of Stock Option (the “Notice of Grant”) and Terms and Conditions of Stock Option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(together, the “Agreement”).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238125</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Participant has been granted an Option to purchase Shares of Common Stock, subject to the terms and conditions of the Plan and this Agreement, as follows:</w:t>
      </w:r>
    </w:p>
    <w:p>
      <w:pPr>
        <w:spacing w:after="0" w:line="281"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7980" w:type="dxa"/>
            <w:vAlign w:val="bottom"/>
          </w:tcPr>
          <w:p>
            <w:pPr>
              <w:spacing w:after="0"/>
              <w:rPr>
                <w:sz w:val="20"/>
                <w:szCs w:val="20"/>
                <w:color w:val="auto"/>
              </w:rPr>
            </w:pPr>
            <w:r>
              <w:rPr>
                <w:rFonts w:ascii="Arial" w:cs="Arial" w:eastAsia="Arial" w:hAnsi="Arial"/>
                <w:sz w:val="18"/>
                <w:szCs w:val="18"/>
                <w:color w:val="auto"/>
              </w:rPr>
              <w:t>Grant Number</w:t>
            </w: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r>
      <w:tr>
        <w:trPr>
          <w:trHeight w:val="304"/>
        </w:trPr>
        <w:tc>
          <w:tcPr>
            <w:tcW w:w="7980" w:type="dxa"/>
            <w:vAlign w:val="bottom"/>
          </w:tcPr>
          <w:p>
            <w:pPr>
              <w:spacing w:after="0"/>
              <w:rPr>
                <w:sz w:val="20"/>
                <w:szCs w:val="20"/>
                <w:color w:val="auto"/>
              </w:rPr>
            </w:pPr>
            <w:r>
              <w:rPr>
                <w:rFonts w:ascii="Arial" w:cs="Arial" w:eastAsia="Arial" w:hAnsi="Arial"/>
                <w:sz w:val="18"/>
                <w:szCs w:val="18"/>
                <w:color w:val="auto"/>
              </w:rPr>
              <w:t>Date of Grant</w:t>
            </w: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304"/>
        </w:trPr>
        <w:tc>
          <w:tcPr>
            <w:tcW w:w="79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304"/>
        </w:trPr>
        <w:tc>
          <w:tcPr>
            <w:tcW w:w="7980" w:type="dxa"/>
            <w:vAlign w:val="bottom"/>
          </w:tcPr>
          <w:p>
            <w:pPr>
              <w:spacing w:after="0"/>
              <w:rPr>
                <w:sz w:val="20"/>
                <w:szCs w:val="20"/>
                <w:color w:val="auto"/>
              </w:rPr>
            </w:pPr>
            <w:r>
              <w:rPr>
                <w:rFonts w:ascii="Arial" w:cs="Arial" w:eastAsia="Arial" w:hAnsi="Arial"/>
                <w:sz w:val="18"/>
                <w:szCs w:val="18"/>
                <w:color w:val="auto"/>
              </w:rPr>
              <w:t>Number of Shares Granted</w:t>
            </w: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304"/>
        </w:trPr>
        <w:tc>
          <w:tcPr>
            <w:tcW w:w="79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spacing w:after="0"/>
              <w:rPr>
                <w:sz w:val="24"/>
                <w:szCs w:val="24"/>
                <w:color w:val="auto"/>
              </w:rPr>
            </w:pPr>
          </w:p>
        </w:tc>
      </w:tr>
      <w:tr>
        <w:trPr>
          <w:trHeight w:val="304"/>
        </w:trPr>
        <w:tc>
          <w:tcPr>
            <w:tcW w:w="7980" w:type="dxa"/>
            <w:vAlign w:val="bottom"/>
          </w:tcPr>
          <w:p>
            <w:pPr>
              <w:spacing w:after="0"/>
              <w:rPr>
                <w:sz w:val="20"/>
                <w:szCs w:val="20"/>
                <w:color w:val="auto"/>
              </w:rPr>
            </w:pPr>
            <w:r>
              <w:rPr>
                <w:rFonts w:ascii="Arial" w:cs="Arial" w:eastAsia="Arial" w:hAnsi="Arial"/>
                <w:sz w:val="18"/>
                <w:szCs w:val="18"/>
                <w:color w:val="auto"/>
              </w:rPr>
              <w:t>Total Exercise Price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spacing w:after="0"/>
              <w:rPr>
                <w:sz w:val="24"/>
                <w:szCs w:val="24"/>
                <w:color w:val="auto"/>
              </w:rPr>
            </w:pPr>
          </w:p>
        </w:tc>
      </w:tr>
      <w:tr>
        <w:trPr>
          <w:trHeight w:val="304"/>
        </w:trPr>
        <w:tc>
          <w:tcPr>
            <w:tcW w:w="7980" w:type="dxa"/>
            <w:vAlign w:val="bottom"/>
          </w:tcPr>
          <w:p>
            <w:pPr>
              <w:spacing w:after="0"/>
              <w:rPr>
                <w:sz w:val="20"/>
                <w:szCs w:val="20"/>
                <w:color w:val="auto"/>
              </w:rPr>
            </w:pPr>
            <w:r>
              <w:rPr>
                <w:rFonts w:ascii="Arial" w:cs="Arial" w:eastAsia="Arial" w:hAnsi="Arial"/>
                <w:sz w:val="18"/>
                <w:szCs w:val="18"/>
                <w:color w:val="auto"/>
              </w:rPr>
              <w:t>Type of Option</w:t>
            </w:r>
          </w:p>
        </w:tc>
        <w:tc>
          <w:tcPr>
            <w:tcW w:w="220" w:type="dxa"/>
            <w:vAlign w:val="bottom"/>
            <w:tcBorders>
              <w:bottom w:val="single" w:sz="8" w:color="auto"/>
            </w:tcBorders>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rPr>
              <w:t>Incentive Stock Option</w:t>
            </w:r>
          </w:p>
        </w:tc>
      </w:tr>
      <w:tr>
        <w:trPr>
          <w:trHeight w:val="304"/>
        </w:trPr>
        <w:tc>
          <w:tcPr>
            <w:tcW w:w="7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rPr>
              <w:t>Nonstatutory Stock Option</w:t>
            </w:r>
          </w:p>
        </w:tc>
      </w:tr>
      <w:tr>
        <w:trPr>
          <w:trHeight w:val="304"/>
        </w:trPr>
        <w:tc>
          <w:tcPr>
            <w:tcW w:w="7980" w:type="dxa"/>
            <w:vAlign w:val="bottom"/>
          </w:tcPr>
          <w:p>
            <w:pPr>
              <w:spacing w:after="0"/>
              <w:rPr>
                <w:sz w:val="20"/>
                <w:szCs w:val="20"/>
                <w:color w:val="auto"/>
              </w:rPr>
            </w:pPr>
            <w:r>
              <w:rPr>
                <w:rFonts w:ascii="Arial" w:cs="Arial" w:eastAsia="Arial" w:hAnsi="Arial"/>
                <w:sz w:val="18"/>
                <w:szCs w:val="18"/>
                <w:color w:val="auto"/>
              </w:rPr>
              <w:t>Term/Expiration Date</w:t>
            </w: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 Schedule:</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Subject to accelerated vesting as set forth below or in the Plan, this Option will be exercisable, in whole or in part, in accordance with the following schedule: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VESTING SCHEDULE]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Period:</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Option will be exercisable for three (3) months after Participant ceases to be a Service Provider, unless such termination is due to Participant’s death, Disability or Misconduct. If Participant ceases to be a Service Provider due to his or her Disability or if Participant dies while holding this Option, this Option will be exercisable for twelve (12) months after Participant ceases to be a Service Provider. If Participant ceases to be a Service Provider due to Misconduct or if Participant engages in Misconduct while this Option is outstanding, then this Option shall terminate immediately and cease to be outstanding. Notwithstanding the foregoing, in no event may this Option be exercised after the Term/Expiration Date as provided above and may be subject to earlier termination as provided in Section 20(c) of the Plan.</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By Participant’s signature and the signature of the Company’s representative below, Participant and the Company agree that this Option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5800" w:type="dxa"/>
            <w:vAlign w:val="bottom"/>
            <w:gridSpan w:val="2"/>
          </w:tcPr>
          <w:p>
            <w:pPr>
              <w:ind w:left="680"/>
              <w:spacing w:after="0"/>
              <w:rPr>
                <w:sz w:val="20"/>
                <w:szCs w:val="20"/>
                <w:color w:val="auto"/>
              </w:rPr>
            </w:pPr>
            <w:r>
              <w:rPr>
                <w:rFonts w:ascii="Arial" w:cs="Arial" w:eastAsia="Arial" w:hAnsi="Arial"/>
                <w:sz w:val="18"/>
                <w:szCs w:val="18"/>
                <w:color w:val="auto"/>
              </w:rPr>
              <w:t>ACTIVE POWER, INC.</w:t>
            </w:r>
          </w:p>
        </w:tc>
      </w:tr>
      <w:tr>
        <w:trPr>
          <w:trHeight w:val="434"/>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580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326"/>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5800" w:type="dxa"/>
            <w:vAlign w:val="bottom"/>
            <w:gridSpan w:val="2"/>
          </w:tcPr>
          <w:p>
            <w:pPr>
              <w:ind w:left="680"/>
              <w:spacing w:after="0"/>
              <w:rPr>
                <w:sz w:val="20"/>
                <w:szCs w:val="20"/>
                <w:color w:val="auto"/>
              </w:rPr>
            </w:pPr>
            <w:r>
              <w:rPr>
                <w:rFonts w:ascii="Arial" w:cs="Arial" w:eastAsia="Arial" w:hAnsi="Arial"/>
                <w:sz w:val="18"/>
                <w:szCs w:val="18"/>
                <w:color w:val="auto"/>
              </w:rPr>
              <w:t>Title</w:t>
            </w:r>
          </w:p>
        </w:tc>
      </w:tr>
      <w:tr>
        <w:trPr>
          <w:trHeight w:val="286"/>
        </w:trPr>
        <w:tc>
          <w:tcPr>
            <w:tcW w:w="56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345"/>
        </w:trPr>
        <w:tc>
          <w:tcPr>
            <w:tcW w:w="580" w:type="dxa"/>
            <w:vAlign w:val="bottom"/>
            <w:tcBorders>
              <w:top w:val="single" w:sz="8" w:color="auto"/>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331"/>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AND CONDITIONS OF STOCK OPTION GRANT</w:t>
      </w:r>
    </w:p>
    <w:p>
      <w:pPr>
        <w:spacing w:after="0" w:line="177" w:lineRule="exact"/>
        <w:rPr>
          <w:sz w:val="20"/>
          <w:szCs w:val="20"/>
          <w:color w:val="auto"/>
        </w:rPr>
      </w:pPr>
    </w:p>
    <w:p>
      <w:pPr>
        <w:ind w:right="160" w:firstLine="464"/>
        <w:spacing w:after="0" w:line="298"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The Company hereby grants to the Participant named in the Notice of Grant (“Participant”) an option (the “Option”) to purchase the number of Shares, as set forth in the Notice of Grant, at the exercise price per Share set forth in the Notice of Grant (the “Exercise Price”), subject to the terms and conditions in this Agreement and the Plan, which is incorporated herein by reference. Subject to Section 20(c) of the Plan, in the event of a conflict between the terms and conditions of the Plan and the terms and conditions of this Agreement, the terms and conditions of the Plan will prevail.</w:t>
      </w:r>
    </w:p>
    <w:p>
      <w:pPr>
        <w:spacing w:after="0" w:line="11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designated in the Notice of Grant as an Incentive Stock Option (“ISO”), this Option is intended to qualify as an Incentive Stock Option as defined in Section 422 of the Code. However, if this Option is intended to be an Incentive Stock Option, to the extent that it exceeds the $100,000 rule of Code Section 422(d) it will be treated as a Nonstatutory Stock Option (“NSO”). Further, if for any reason this Option (or portion thereof) will not qualify as an ISO, then, to the extent of such nonqualification, such Option (or portion thereof) will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44" w:lineRule="exact"/>
        <w:rPr>
          <w:sz w:val="20"/>
          <w:szCs w:val="20"/>
          <w:color w:val="auto"/>
        </w:rPr>
      </w:pPr>
    </w:p>
    <w:p>
      <w:pPr>
        <w:jc w:val="both"/>
        <w:ind w:right="20" w:firstLine="464"/>
        <w:spacing w:after="0" w:line="306"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Agreement will vest in accordance with the vesting provisions set forth in the Notice of Grant. Shares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06" w:lineRule="exact"/>
        <w:rPr>
          <w:rFonts w:ascii="Arial" w:cs="Arial" w:eastAsia="Arial" w:hAnsi="Arial"/>
          <w:sz w:val="16"/>
          <w:szCs w:val="16"/>
          <w:color w:val="auto"/>
        </w:rPr>
      </w:pPr>
    </w:p>
    <w:p>
      <w:pPr>
        <w:jc w:val="both"/>
        <w:ind w:right="300" w:firstLine="464"/>
        <w:spacing w:after="0" w:line="259"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40" w:lineRule="exact"/>
        <w:rPr>
          <w:rFonts w:ascii="Arial" w:cs="Arial" w:eastAsia="Arial" w:hAnsi="Arial"/>
          <w:sz w:val="18"/>
          <w:szCs w:val="18"/>
          <w:color w:val="auto"/>
        </w:rPr>
      </w:pPr>
    </w:p>
    <w:p>
      <w:pPr>
        <w:ind w:right="30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Agreement.</w:t>
      </w:r>
    </w:p>
    <w:p>
      <w:pPr>
        <w:spacing w:after="0" w:line="13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This Option is exercisable by delivery of an exercise notice,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the aggregate Exercise Price.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29" w:name="page30"/>
    <w:bookmarkEnd w:id="29"/>
    <w:p>
      <w:pPr>
        <w:ind w:left="176" w:hanging="176"/>
        <w:spacing w:after="0"/>
        <w:tabs>
          <w:tab w:leader="none" w:pos="17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 of Payment</w:t>
      </w:r>
      <w:r>
        <w:rPr>
          <w:rFonts w:ascii="Arial" w:cs="Arial" w:eastAsia="Arial" w:hAnsi="Arial"/>
          <w:sz w:val="16"/>
          <w:szCs w:val="16"/>
          <w:color w:val="auto"/>
        </w:rPr>
        <w:t>. Payment of the aggregate Exercise Price will be by any of the following, or a combination thereof, at the election of Participant:</w:t>
      </w:r>
    </w:p>
    <w:p>
      <w:pPr>
        <w:spacing w:after="0" w:line="194" w:lineRule="exact"/>
        <w:rPr>
          <w:rFonts w:ascii="Arial" w:cs="Arial" w:eastAsia="Arial" w:hAnsi="Arial"/>
          <w:sz w:val="16"/>
          <w:szCs w:val="16"/>
          <w:color w:val="auto"/>
        </w:rPr>
      </w:pPr>
    </w:p>
    <w:p>
      <w:pPr>
        <w:ind w:left="696" w:hanging="239"/>
        <w:spacing w:after="0"/>
        <w:tabs>
          <w:tab w:leader="none" w:pos="6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696" w:hanging="239"/>
        <w:spacing w:after="0"/>
        <w:tabs>
          <w:tab w:leader="none" w:pos="6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check;</w:t>
      </w:r>
    </w:p>
    <w:p>
      <w:pPr>
        <w:spacing w:after="0" w:line="171" w:lineRule="exact"/>
        <w:rPr>
          <w:rFonts w:ascii="Arial" w:cs="Arial" w:eastAsia="Arial" w:hAnsi="Arial"/>
          <w:sz w:val="18"/>
          <w:szCs w:val="18"/>
          <w:color w:val="auto"/>
        </w:rPr>
      </w:pPr>
    </w:p>
    <w:p>
      <w:pPr>
        <w:ind w:left="696" w:hanging="239"/>
        <w:spacing w:after="0"/>
        <w:tabs>
          <w:tab w:leader="none" w:pos="696"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 Plan; or</w:t>
      </w:r>
    </w:p>
    <w:p>
      <w:pPr>
        <w:spacing w:after="0" w:line="194" w:lineRule="exact"/>
        <w:rPr>
          <w:rFonts w:ascii="Arial" w:cs="Arial" w:eastAsia="Arial" w:hAnsi="Arial"/>
          <w:sz w:val="16"/>
          <w:szCs w:val="16"/>
          <w:color w:val="auto"/>
        </w:rPr>
      </w:pPr>
    </w:p>
    <w:p>
      <w:pPr>
        <w:ind w:left="696" w:hanging="239"/>
        <w:spacing w:after="0"/>
        <w:tabs>
          <w:tab w:leader="none" w:pos="696" w:val="left"/>
        </w:tabs>
        <w:numPr>
          <w:ilvl w:val="1"/>
          <w:numId w:val="42"/>
        </w:numPr>
        <w:rPr>
          <w:rFonts w:ascii="Arial" w:cs="Arial" w:eastAsia="Arial" w:hAnsi="Arial"/>
          <w:sz w:val="15"/>
          <w:szCs w:val="15"/>
          <w:color w:val="auto"/>
        </w:rPr>
      </w:pPr>
      <w:r>
        <w:rPr>
          <w:rFonts w:ascii="Arial" w:cs="Arial" w:eastAsia="Arial" w:hAnsi="Arial"/>
          <w:sz w:val="15"/>
          <w:szCs w:val="15"/>
          <w:color w:val="auto"/>
        </w:rPr>
        <w:t>surrender of other Shares which have a Fair Market Value on the date of surrender equal to the aggregate Exercise Price of the Exercised Shares.</w:t>
      </w:r>
    </w:p>
    <w:p>
      <w:pPr>
        <w:spacing w:after="0" w:line="286" w:lineRule="exact"/>
        <w:rPr>
          <w:rFonts w:ascii="Arial" w:cs="Arial" w:eastAsia="Arial" w:hAnsi="Arial"/>
          <w:sz w:val="15"/>
          <w:szCs w:val="15"/>
          <w:color w:val="auto"/>
        </w:rPr>
      </w:pPr>
    </w:p>
    <w:p>
      <w:pPr>
        <w:ind w:left="176" w:hanging="176"/>
        <w:spacing w:after="0"/>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4" w:right="40" w:firstLine="921"/>
        <w:spacing w:after="0" w:line="290" w:lineRule="auto"/>
        <w:tabs>
          <w:tab w:leader="none" w:pos="68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of the Option exercise, Participant acknowledges and agrees that the Company may refuse to honor the exercise and refuse to deliver the Shares if such withholding amounts are not delivered at the time of exercise.</w:t>
      </w:r>
    </w:p>
    <w:p>
      <w:pPr>
        <w:spacing w:after="0" w:line="118" w:lineRule="exact"/>
        <w:rPr>
          <w:rFonts w:ascii="Arial" w:cs="Arial" w:eastAsia="Arial" w:hAnsi="Arial"/>
          <w:sz w:val="16"/>
          <w:szCs w:val="16"/>
          <w:color w:val="auto"/>
        </w:rPr>
      </w:pPr>
    </w:p>
    <w:p>
      <w:pPr>
        <w:ind w:left="-464" w:right="40" w:firstLine="921"/>
        <w:spacing w:after="0" w:line="298" w:lineRule="auto"/>
        <w:tabs>
          <w:tab w:leader="none" w:pos="69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notify the Company in writing within thirty (30) days of such disposition. Participant agrees that Participant may be subject to income tax withholding by the Company on the compensation income recognized by Participant.</w:t>
      </w:r>
    </w:p>
    <w:p>
      <w:pPr>
        <w:spacing w:after="0" w:line="112" w:lineRule="exact"/>
        <w:rPr>
          <w:rFonts w:ascii="Arial" w:cs="Arial" w:eastAsia="Arial" w:hAnsi="Arial"/>
          <w:sz w:val="16"/>
          <w:szCs w:val="16"/>
          <w:color w:val="auto"/>
        </w:rPr>
      </w:pPr>
    </w:p>
    <w:p>
      <w:pPr>
        <w:ind w:left="-464" w:firstLine="921"/>
        <w:spacing w:after="0" w:line="310" w:lineRule="auto"/>
        <w:tabs>
          <w:tab w:leader="none" w:pos="687" w:val="left"/>
        </w:tabs>
        <w:numPr>
          <w:ilvl w:val="1"/>
          <w:numId w:val="42"/>
        </w:numPr>
        <w:rPr>
          <w:rFonts w:ascii="Arial" w:cs="Arial" w:eastAsia="Arial" w:hAnsi="Arial"/>
          <w:sz w:val="15"/>
          <w:szCs w:val="15"/>
          <w:color w:val="auto"/>
        </w:rPr>
      </w:pPr>
      <w:r>
        <w:rPr>
          <w:rFonts w:ascii="Arial" w:cs="Arial" w:eastAsia="Arial" w:hAnsi="Arial"/>
          <w:sz w:val="15"/>
          <w:szCs w:val="15"/>
          <w:u w:val="single" w:color="auto"/>
          <w:color w:val="auto"/>
        </w:rPr>
        <w:t>Code Section 409A</w:t>
      </w:r>
      <w:r>
        <w:rPr>
          <w:rFonts w:ascii="Arial" w:cs="Arial" w:eastAsia="Arial" w:hAnsi="Arial"/>
          <w:sz w:val="15"/>
          <w:szCs w:val="15"/>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94" w:lineRule="exact"/>
        <w:rPr>
          <w:rFonts w:ascii="Arial" w:cs="Arial" w:eastAsia="Arial" w:hAnsi="Arial"/>
          <w:sz w:val="15"/>
          <w:szCs w:val="15"/>
          <w:color w:val="auto"/>
        </w:rPr>
      </w:pPr>
    </w:p>
    <w:p>
      <w:pPr>
        <w:ind w:left="5216" w:hanging="112"/>
        <w:spacing w:after="0"/>
        <w:tabs>
          <w:tab w:leader="none" w:pos="5216" w:val="left"/>
        </w:tabs>
        <w:numPr>
          <w:ilvl w:val="2"/>
          <w:numId w:val="4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56"/>
          </w:cols>
          <w:pgMar w:left="704" w:top="280" w:right="239" w:bottom="1440" w:gutter="0" w:footer="0" w:header="0"/>
        </w:sectPr>
      </w:pPr>
    </w:p>
    <w:bookmarkStart w:id="30" w:name="page31"/>
    <w:bookmarkEnd w:id="30"/>
    <w:p>
      <w:pPr>
        <w:ind w:left="-464" w:right="20" w:firstLine="464"/>
        <w:spacing w:after="0" w:line="298" w:lineRule="auto"/>
        <w:tabs>
          <w:tab w:leader="none" w:pos="16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12" w:lineRule="exact"/>
        <w:rPr>
          <w:rFonts w:ascii="Arial" w:cs="Arial" w:eastAsia="Arial" w:hAnsi="Arial"/>
          <w:sz w:val="16"/>
          <w:szCs w:val="16"/>
          <w:color w:val="auto"/>
        </w:rPr>
      </w:pPr>
    </w:p>
    <w:p>
      <w:pPr>
        <w:ind w:left="-464" w:firstLine="464"/>
        <w:spacing w:after="0" w:line="252" w:lineRule="auto"/>
        <w:tabs>
          <w:tab w:leader="none" w:pos="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50" w:lineRule="exact"/>
        <w:rPr>
          <w:rFonts w:ascii="Arial" w:cs="Arial" w:eastAsia="Arial" w:hAnsi="Arial"/>
          <w:sz w:val="18"/>
          <w:szCs w:val="18"/>
          <w:color w:val="auto"/>
        </w:rPr>
      </w:pPr>
    </w:p>
    <w:p>
      <w:pPr>
        <w:ind w:left="-464" w:right="40" w:firstLine="464"/>
        <w:spacing w:after="0" w:line="332" w:lineRule="auto"/>
        <w:tabs>
          <w:tab w:leader="none" w:pos="16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Agreement will be addressed to the Company at Active Power, Inc., 2128 W. Braker Lane, BK12, Austin, Texas 78758, or at such other address as the Company may hereafter designate in writing or electronically.</w:t>
      </w:r>
    </w:p>
    <w:p>
      <w:pPr>
        <w:spacing w:after="0" w:line="85" w:lineRule="exact"/>
        <w:rPr>
          <w:rFonts w:ascii="Arial" w:cs="Arial" w:eastAsia="Arial" w:hAnsi="Arial"/>
          <w:sz w:val="16"/>
          <w:szCs w:val="16"/>
          <w:color w:val="auto"/>
        </w:rPr>
      </w:pPr>
    </w:p>
    <w:p>
      <w:pPr>
        <w:ind w:left="-464" w:right="160" w:firstLine="464"/>
        <w:spacing w:after="0" w:line="268"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w:t>
      </w:r>
    </w:p>
    <w:p>
      <w:pPr>
        <w:spacing w:after="0" w:line="131" w:lineRule="exact"/>
        <w:rPr>
          <w:rFonts w:ascii="Arial" w:cs="Arial" w:eastAsia="Arial" w:hAnsi="Arial"/>
          <w:sz w:val="18"/>
          <w:szCs w:val="18"/>
          <w:color w:val="auto"/>
        </w:rPr>
      </w:pPr>
    </w:p>
    <w:p>
      <w:pPr>
        <w:ind w:left="-464" w:right="80" w:firstLine="464"/>
        <w:spacing w:after="0" w:line="332" w:lineRule="auto"/>
        <w:tabs>
          <w:tab w:leader="none" w:pos="24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Binding Agreement</w:t>
      </w:r>
      <w:r>
        <w:rPr>
          <w:rFonts w:ascii="Arial" w:cs="Arial" w:eastAsia="Arial" w:hAnsi="Arial"/>
          <w:sz w:val="16"/>
          <w:szCs w:val="16"/>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71" w:lineRule="exact"/>
        <w:rPr>
          <w:rFonts w:ascii="Arial" w:cs="Arial" w:eastAsia="Arial" w:hAnsi="Arial"/>
          <w:sz w:val="16"/>
          <w:szCs w:val="16"/>
          <w:color w:val="auto"/>
        </w:rPr>
      </w:pPr>
    </w:p>
    <w:p>
      <w:pPr>
        <w:ind w:left="5216" w:hanging="112"/>
        <w:spacing w:after="0"/>
        <w:tabs>
          <w:tab w:leader="none" w:pos="52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16"/>
          </w:cols>
          <w:pgMar w:left="704" w:top="280" w:right="279" w:bottom="1440" w:gutter="0" w:footer="0" w:header="0"/>
        </w:sectPr>
      </w:pPr>
    </w:p>
    <w:bookmarkStart w:id="31" w:name="page32"/>
    <w:bookmarkEnd w:id="31"/>
    <w:p>
      <w:pPr>
        <w:ind w:left="-464" w:firstLine="464"/>
        <w:spacing w:after="0" w:line="288"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Conditions to Issuance of Stock</w:t>
      </w:r>
      <w:r>
        <w:rPr>
          <w:rFonts w:ascii="Arial" w:cs="Arial" w:eastAsia="Arial" w:hAnsi="Arial"/>
          <w:sz w:val="16"/>
          <w:szCs w:val="16"/>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w:t>
      </w:r>
    </w:p>
    <w:p>
      <w:pPr>
        <w:spacing w:after="0" w:line="119" w:lineRule="exact"/>
        <w:rPr>
          <w:rFonts w:ascii="Arial" w:cs="Arial" w:eastAsia="Arial" w:hAnsi="Arial"/>
          <w:sz w:val="16"/>
          <w:szCs w:val="16"/>
          <w:color w:val="auto"/>
        </w:rPr>
      </w:pPr>
    </w:p>
    <w:p>
      <w:pPr>
        <w:ind w:left="-464" w:right="40" w:firstLine="464"/>
        <w:spacing w:after="0" w:line="259"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140" w:lineRule="exact"/>
        <w:rPr>
          <w:rFonts w:ascii="Arial" w:cs="Arial" w:eastAsia="Arial" w:hAnsi="Arial"/>
          <w:sz w:val="18"/>
          <w:szCs w:val="18"/>
          <w:color w:val="auto"/>
        </w:rPr>
      </w:pPr>
    </w:p>
    <w:p>
      <w:pPr>
        <w:ind w:left="-464" w:right="20" w:firstLine="464"/>
        <w:spacing w:after="0" w:line="294"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15" w:lineRule="exact"/>
        <w:rPr>
          <w:rFonts w:ascii="Arial" w:cs="Arial" w:eastAsia="Arial" w:hAnsi="Arial"/>
          <w:sz w:val="16"/>
          <w:szCs w:val="16"/>
          <w:color w:val="auto"/>
        </w:rPr>
      </w:pPr>
    </w:p>
    <w:p>
      <w:pPr>
        <w:ind w:left="-464" w:firstLine="464"/>
        <w:spacing w:after="0" w:line="256"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43" w:lineRule="exact"/>
        <w:rPr>
          <w:rFonts w:ascii="Arial" w:cs="Arial" w:eastAsia="Arial" w:hAnsi="Arial"/>
          <w:sz w:val="18"/>
          <w:szCs w:val="18"/>
          <w:color w:val="auto"/>
        </w:rPr>
      </w:pPr>
    </w:p>
    <w:p>
      <w:pPr>
        <w:ind w:left="256" w:hanging="256"/>
        <w:spacing w:after="0"/>
        <w:tabs>
          <w:tab w:leader="none" w:pos="25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Agreement.</w:t>
      </w:r>
    </w:p>
    <w:p>
      <w:pPr>
        <w:spacing w:after="0" w:line="194" w:lineRule="exact"/>
        <w:rPr>
          <w:rFonts w:ascii="Arial" w:cs="Arial" w:eastAsia="Arial" w:hAnsi="Arial"/>
          <w:sz w:val="16"/>
          <w:szCs w:val="16"/>
          <w:color w:val="auto"/>
        </w:rPr>
      </w:pPr>
    </w:p>
    <w:p>
      <w:pPr>
        <w:ind w:left="-464" w:right="220" w:firstLine="464"/>
        <w:spacing w:after="0" w:line="332"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85" w:lineRule="exact"/>
        <w:rPr>
          <w:rFonts w:ascii="Arial" w:cs="Arial" w:eastAsia="Arial" w:hAnsi="Arial"/>
          <w:sz w:val="16"/>
          <w:szCs w:val="16"/>
          <w:color w:val="auto"/>
        </w:rPr>
      </w:pPr>
    </w:p>
    <w:p>
      <w:pPr>
        <w:ind w:left="-464" w:right="140" w:firstLine="464"/>
        <w:spacing w:after="0" w:line="291"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Code Section 409A in connection to this Option.</w:t>
      </w:r>
    </w:p>
    <w:p>
      <w:pPr>
        <w:spacing w:after="0" w:line="106" w:lineRule="exact"/>
        <w:rPr>
          <w:rFonts w:ascii="Arial" w:cs="Arial" w:eastAsia="Arial" w:hAnsi="Arial"/>
          <w:sz w:val="16"/>
          <w:szCs w:val="16"/>
          <w:color w:val="auto"/>
        </w:rPr>
      </w:pPr>
    </w:p>
    <w:p>
      <w:pPr>
        <w:ind w:left="5216" w:hanging="112"/>
        <w:spacing w:after="0"/>
        <w:tabs>
          <w:tab w:leader="none" w:pos="52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36"/>
          </w:cols>
          <w:pgMar w:left="704" w:top="280" w:right="259" w:bottom="1440" w:gutter="0" w:footer="0" w:header="0"/>
        </w:sectPr>
      </w:pPr>
    </w:p>
    <w:bookmarkStart w:id="32" w:name="page33"/>
    <w:bookmarkEnd w:id="32"/>
    <w:p>
      <w:pPr>
        <w:ind w:left="-464" w:right="380" w:firstLine="464"/>
        <w:spacing w:after="0" w:line="259"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Suspension or Termination of the Plan</w:t>
      </w:r>
      <w:r>
        <w:rPr>
          <w:rFonts w:ascii="Arial" w:cs="Arial" w:eastAsia="Arial" w:hAnsi="Arial"/>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40" w:lineRule="exact"/>
        <w:rPr>
          <w:rFonts w:ascii="Arial" w:cs="Arial" w:eastAsia="Arial" w:hAnsi="Arial"/>
          <w:sz w:val="18"/>
          <w:szCs w:val="18"/>
          <w:color w:val="auto"/>
        </w:rPr>
      </w:pPr>
    </w:p>
    <w:p>
      <w:pPr>
        <w:ind w:left="-464" w:firstLine="464"/>
        <w:spacing w:after="0" w:line="256"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Texas, without giving effect to the conflict of law principles thereof. For purposes of litigating any dispute that arises under this Option or this Agreement, the parties hereby submit to and consent to the jurisdiction of the State of Texas, and agree that such litigation will be conducted in the courts of Travis County, Texas, or the federal courts for the United States for the Western District of Texas, and no other courts, where this Option is made and/or to be performed.</w:t>
      </w:r>
    </w:p>
    <w:p>
      <w:pPr>
        <w:spacing w:after="0" w:line="129" w:lineRule="exact"/>
        <w:rPr>
          <w:rFonts w:ascii="Arial" w:cs="Arial" w:eastAsia="Arial" w:hAnsi="Arial"/>
          <w:sz w:val="18"/>
          <w:szCs w:val="18"/>
          <w:color w:val="auto"/>
        </w:rPr>
      </w:pPr>
    </w:p>
    <w:p>
      <w:pPr>
        <w:ind w:left="5216" w:hanging="112"/>
        <w:spacing w:after="0"/>
        <w:tabs>
          <w:tab w:leader="none" w:pos="5216" w:val="left"/>
        </w:tabs>
        <w:numPr>
          <w:ilvl w:val="1"/>
          <w:numId w:val="4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56"/>
          </w:cols>
          <w:pgMar w:left="704" w:top="280"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EQUITY INCENTIVE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78758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334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60"/>
        <w:spacing w:after="0"/>
        <w:tabs>
          <w:tab w:leader="none" w:pos="4100" w:val="left"/>
          <w:tab w:leader="none" w:pos="4540" w:val="left"/>
          <w:tab w:leader="none" w:pos="92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Exercise of Option</w:t>
      </w:r>
      <w:r>
        <w:rPr>
          <w:rFonts w:ascii="Arial" w:cs="Arial" w:eastAsia="Arial" w:hAnsi="Arial"/>
          <w:sz w:val="18"/>
          <w:szCs w:val="18"/>
          <w:color w:val="auto"/>
        </w:rPr>
        <w:t>. Effective as of today,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the undersigned (“Participant”) hereby elects to purchase</w:t>
      </w:r>
      <w:r>
        <w:rPr>
          <w:sz w:val="20"/>
          <w:szCs w:val="20"/>
          <w:color w:val="auto"/>
        </w:rPr>
        <w:tab/>
      </w:r>
      <w:r>
        <w:rPr>
          <w:rFonts w:ascii="Arial" w:cs="Arial" w:eastAsia="Arial" w:hAnsi="Arial"/>
          <w:sz w:val="15"/>
          <w:szCs w:val="15"/>
          <w:color w:val="auto"/>
        </w:rPr>
        <w:t>shares (the “Shares”)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-13970</wp:posOffset>
            </wp:positionV>
            <wp:extent cx="6134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341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-13970</wp:posOffset>
            </wp:positionV>
            <wp:extent cx="3346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Common Stock of Active Power, Inc. (the “Company”) under and pursuant to the 2010 Equity Incentive Plan (the “Plan”) and the Stock Option Agreement dated</w:t>
      </w:r>
    </w:p>
    <w:p>
      <w:pPr>
        <w:spacing w:after="0" w:line="32" w:lineRule="exact"/>
        <w:rPr>
          <w:sz w:val="20"/>
          <w:szCs w:val="20"/>
          <w:color w:val="auto"/>
        </w:rPr>
      </w:pPr>
    </w:p>
    <w:p>
      <w:pPr>
        <w:ind w:left="580"/>
        <w:spacing w:after="0"/>
        <w:tabs>
          <w:tab w:leader="none" w:pos="5500" w:val="left"/>
        </w:tabs>
        <w:rPr>
          <w:sz w:val="20"/>
          <w:szCs w:val="20"/>
          <w:color w:val="auto"/>
        </w:rPr>
      </w:pPr>
      <w:r>
        <w:rPr>
          <w:rFonts w:ascii="Arial" w:cs="Arial" w:eastAsia="Arial" w:hAnsi="Arial"/>
          <w:sz w:val="18"/>
          <w:szCs w:val="18"/>
          <w:color w:val="auto"/>
        </w:rPr>
        <w:t>(the “Agreement”). The purchase price for the Shares will be $</w:t>
      </w:r>
      <w:r>
        <w:rPr>
          <w:sz w:val="20"/>
          <w:szCs w:val="20"/>
          <w:color w:val="auto"/>
        </w:rPr>
        <w:tab/>
      </w:r>
      <w:r>
        <w:rPr>
          <w:rFonts w:ascii="Arial" w:cs="Arial" w:eastAsia="Arial" w:hAnsi="Arial"/>
          <w:sz w:val="15"/>
          <w:szCs w:val="15"/>
          <w:color w:val="auto"/>
        </w:rPr>
        <w:t>, as required by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6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-17780</wp:posOffset>
            </wp:positionV>
            <wp:extent cx="334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ind w:right="160" w:firstLine="464"/>
        <w:spacing w:after="0" w:line="268"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and any required tax withholding to be paid in connection with the exercise of the Option.</w:t>
      </w:r>
    </w:p>
    <w:p>
      <w:pPr>
        <w:spacing w:after="0" w:line="131"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Agreement and agrees to abide by and be bound by their terms and conditions.</w:t>
      </w:r>
    </w:p>
    <w:p>
      <w:pPr>
        <w:spacing w:after="0" w:line="131" w:lineRule="exact"/>
        <w:rPr>
          <w:rFonts w:ascii="Arial" w:cs="Arial" w:eastAsia="Arial" w:hAnsi="Arial"/>
          <w:sz w:val="18"/>
          <w:szCs w:val="18"/>
          <w:color w:val="auto"/>
        </w:rPr>
      </w:pPr>
    </w:p>
    <w:p>
      <w:pPr>
        <w:ind w:right="140" w:firstLine="464"/>
        <w:spacing w:after="0" w:line="298"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notwithstanding the exercise of the Option. The Shares so acquired will be issued to Participant as soon as practicable after exercise of the Option. No adjustment will be made for a dividend or other right for which the record date is prior to the date of issuance, except as provided in Section 15 of the Plan.</w:t>
      </w:r>
    </w:p>
    <w:p>
      <w:pPr>
        <w:spacing w:after="0" w:line="112" w:lineRule="exact"/>
        <w:rPr>
          <w:rFonts w:ascii="Arial" w:cs="Arial" w:eastAsia="Arial" w:hAnsi="Arial"/>
          <w:sz w:val="16"/>
          <w:szCs w:val="16"/>
          <w:color w:val="auto"/>
        </w:rPr>
      </w:pPr>
    </w:p>
    <w:p>
      <w:pPr>
        <w:ind w:firstLine="464"/>
        <w:spacing w:after="0" w:line="259"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00"/>
          </w:cols>
          <w:pgMar w:left="240" w:top="274" w:right="259" w:bottom="1440" w:gutter="0" w:footer="0" w:header="0"/>
        </w:sectPr>
      </w:pPr>
    </w:p>
    <w:bookmarkStart w:id="34" w:name="page35"/>
    <w:bookmarkEnd w:id="34"/>
    <w:p>
      <w:pPr>
        <w:ind w:firstLine="464"/>
        <w:spacing w:after="0" w:line="323" w:lineRule="auto"/>
        <w:tabs>
          <w:tab w:leader="none" w:pos="632"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Governing Law</w:t>
      </w:r>
      <w:r>
        <w:rPr>
          <w:rFonts w:ascii="Arial" w:cs="Arial" w:eastAsia="Arial" w:hAnsi="Arial"/>
          <w:sz w:val="15"/>
          <w:szCs w:val="15"/>
          <w:color w:val="auto"/>
        </w:rPr>
        <w:t>. The Plan and Agreement are incorporated herein by reference. This Exercise Notice, the Plan and the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agreement is governed by the internal substantive laws, but not the choice of law rules, of the State of Texas.</w:t>
      </w:r>
    </w:p>
    <w:p>
      <w:pPr>
        <w:sectPr>
          <w:pgSz w:w="11900" w:h="16838" w:orient="portrait"/>
          <w:cols w:equalWidth="0" w:num="1">
            <w:col w:w="11300"/>
          </w:cols>
          <w:pgMar w:left="240" w:top="280" w:right="35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Submitted by: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360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36360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36360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360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36360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300355</wp:posOffset>
            </wp:positionV>
            <wp:extent cx="31730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217170</wp:posOffset>
            </wp:positionV>
            <wp:extent cx="31730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937260</wp:posOffset>
            </wp:positionV>
            <wp:extent cx="31730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5700" w:space="720"/>
            <w:col w:w="4880"/>
          </w:cols>
          <w:pgMar w:left="240" w:top="28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3840"/>
        <w:spacing w:after="0"/>
        <w:rPr>
          <w:sz w:val="20"/>
          <w:szCs w:val="20"/>
          <w:color w:val="auto"/>
        </w:rPr>
      </w:pPr>
      <w:r>
        <w:rPr>
          <w:rFonts w:ascii="Arial" w:cs="Arial" w:eastAsia="Arial" w:hAnsi="Arial"/>
          <w:sz w:val="18"/>
          <w:szCs w:val="18"/>
          <w:color w:val="auto"/>
        </w:rPr>
        <w:t>Date Received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300"/>
          </w:cols>
          <w:pgMar w:left="240" w:top="280" w:right="35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RESTRICTED STOCK</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Unless otherwise defined herein, the terms defined in the Active Power, Inc. 2010 Equity Incentive Plan (the “Plan”) will have the same defined meanings in this Notice of Grant of Restricted Stock (the “Notice of Grant”) and Terms and Conditions of Restricted Stock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(together, the “Agreement”).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238125</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Participant has been granted the right to receive an Award of Restricted Stock, subject to the terms and conditions of the Plan and this Agreement, as follows: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any acceleration provisions contained in the Plan or set forth below, the Restricted Stock will vest and the Company’s right to reacquire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will lapse in accordance with the following schedule: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VESTING SCHEDULE]</w:t>
      </w:r>
    </w:p>
    <w:p>
      <w:pPr>
        <w:spacing w:after="0" w:line="171"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By Participant’s signature and the signature of the Company’s representative below, Participant and the Company agree that this Award of Restricted Stock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w:t>
      </w:r>
    </w:p>
    <w:p>
      <w:pPr>
        <w:spacing w:after="0" w:line="1"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36" w:name="page37"/>
    <w:bookmarkEnd w:id="36"/>
    <w:p>
      <w:pPr>
        <w:spacing w:after="0"/>
        <w:tabs>
          <w:tab w:leader="none" w:pos="62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w:t>
      </w:r>
      <w:r>
        <w:rPr>
          <w:sz w:val="20"/>
          <w:szCs w:val="20"/>
          <w:color w:val="auto"/>
        </w:rPr>
        <w:tab/>
      </w:r>
      <w:r>
        <w:rPr>
          <w:rFonts w:ascii="Arial" w:cs="Arial" w:eastAsia="Arial" w:hAnsi="Arial"/>
          <w:sz w:val="16"/>
          <w:szCs w:val="16"/>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533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3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35331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219"/>
          </w:cols>
          <w:pgMar w:left="240" w:top="280"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 GRANT</w:t>
      </w:r>
    </w:p>
    <w:p>
      <w:pPr>
        <w:spacing w:after="0" w:line="177" w:lineRule="exact"/>
        <w:rPr>
          <w:sz w:val="20"/>
          <w:szCs w:val="20"/>
          <w:color w:val="auto"/>
        </w:rPr>
      </w:pPr>
    </w:p>
    <w:p>
      <w:pPr>
        <w:ind w:left="-20" w:firstLine="464"/>
        <w:spacing w:after="0" w:line="323" w:lineRule="auto"/>
        <w:tabs>
          <w:tab w:leader="none" w:pos="612"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The Company hereby grants to the Participant named in the Notice of Grant (“Participant”) under the Plan for past services and as a separate incentive in connection with his or her services and not in lieu of any salary or other compensation for his or her services, an Award of Shares of Restricted Stock, subject to all of the terms and conditions in this Agreement and the Plan, which is incorporated herein by reference. Subject to Section 20(c) of the Plan, in the event of a conflict between the terms and conditions of the Plan and the terms and conditions of this Agreement, the terms and conditions of the Plan will prevail.</w:t>
      </w:r>
    </w:p>
    <w:p>
      <w:pPr>
        <w:spacing w:after="0" w:line="178" w:lineRule="exact"/>
        <w:rPr>
          <w:rFonts w:ascii="Arial" w:cs="Arial" w:eastAsia="Arial" w:hAnsi="Arial"/>
          <w:sz w:val="15"/>
          <w:szCs w:val="15"/>
          <w:color w:val="auto"/>
        </w:rPr>
      </w:pPr>
    </w:p>
    <w:p>
      <w:pPr>
        <w:ind w:left="620" w:hanging="176"/>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Escrow of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140" w:firstLine="921"/>
        <w:spacing w:after="0" w:line="259" w:lineRule="auto"/>
        <w:tabs>
          <w:tab w:leader="none" w:pos="11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Shares of Restricted Stock will, upon execution of this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140" w:lineRule="exact"/>
        <w:rPr>
          <w:rFonts w:ascii="Arial" w:cs="Arial" w:eastAsia="Arial" w:hAnsi="Arial"/>
          <w:sz w:val="18"/>
          <w:szCs w:val="18"/>
          <w:color w:val="auto"/>
        </w:rPr>
      </w:pPr>
    </w:p>
    <w:p>
      <w:pPr>
        <w:ind w:left="-20" w:right="200" w:firstLine="921"/>
        <w:spacing w:after="0" w:line="268" w:lineRule="auto"/>
        <w:tabs>
          <w:tab w:leader="none" w:pos="114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Escrow Holder will not be liable for any act it may do or omit to do with respect to holding the Shares of Restricted Stock in escrow while acting in good faith and in the exercise of its judgment.</w:t>
      </w:r>
    </w:p>
    <w:p>
      <w:pPr>
        <w:spacing w:after="0" w:line="131" w:lineRule="exact"/>
        <w:rPr>
          <w:rFonts w:ascii="Arial" w:cs="Arial" w:eastAsia="Arial" w:hAnsi="Arial"/>
          <w:sz w:val="18"/>
          <w:szCs w:val="18"/>
          <w:color w:val="auto"/>
        </w:rPr>
      </w:pPr>
    </w:p>
    <w:p>
      <w:pPr>
        <w:ind w:left="-20" w:firstLine="921"/>
        <w:spacing w:after="0" w:line="294" w:lineRule="auto"/>
        <w:tabs>
          <w:tab w:leader="none" w:pos="1132" w:val="left"/>
        </w:tabs>
        <w:numPr>
          <w:ilvl w:val="1"/>
          <w:numId w:val="48"/>
        </w:numPr>
        <w:rPr>
          <w:rFonts w:ascii="Arial" w:cs="Arial" w:eastAsia="Arial" w:hAnsi="Arial"/>
          <w:sz w:val="16"/>
          <w:szCs w:val="16"/>
          <w:color w:val="auto"/>
        </w:rPr>
      </w:pPr>
      <w:r>
        <w:rPr>
          <w:rFonts w:ascii="Arial" w:cs="Arial" w:eastAsia="Arial" w:hAnsi="Arial"/>
          <w:sz w:val="16"/>
          <w:szCs w:val="16"/>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15" w:lineRule="exact"/>
        <w:rPr>
          <w:rFonts w:ascii="Arial" w:cs="Arial" w:eastAsia="Arial" w:hAnsi="Arial"/>
          <w:sz w:val="16"/>
          <w:szCs w:val="16"/>
          <w:color w:val="auto"/>
        </w:rPr>
      </w:pPr>
    </w:p>
    <w:p>
      <w:pPr>
        <w:ind w:left="-20" w:right="160" w:firstLine="921"/>
        <w:spacing w:after="0" w:line="268" w:lineRule="auto"/>
        <w:tabs>
          <w:tab w:leader="none" w:pos="114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Escrow Holder will take all steps necessary to accomplish the transfer of Shares of Restricted Stock to Participant after they vest following Participant’s request that the Escrow Holder do so.</w:t>
      </w:r>
    </w:p>
    <w:p>
      <w:pPr>
        <w:spacing w:after="0" w:line="131" w:lineRule="exact"/>
        <w:rPr>
          <w:rFonts w:ascii="Arial" w:cs="Arial" w:eastAsia="Arial" w:hAnsi="Arial"/>
          <w:sz w:val="18"/>
          <w:szCs w:val="18"/>
          <w:color w:val="auto"/>
        </w:rPr>
      </w:pPr>
    </w:p>
    <w:p>
      <w:pPr>
        <w:ind w:left="-20" w:right="20" w:firstLine="921"/>
        <w:spacing w:after="0" w:line="268" w:lineRule="auto"/>
        <w:tabs>
          <w:tab w:leader="none" w:pos="11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Subject to the terms hereof, Participant will have all the rights of a stockholder with respect to the Shares while they are held in escrow, including without limitation, the right to vote the Shares and to receive any cash dividends declared thereon.</w:t>
      </w:r>
    </w:p>
    <w:p>
      <w:pPr>
        <w:spacing w:after="0" w:line="118" w:lineRule="exact"/>
        <w:rPr>
          <w:rFonts w:ascii="Arial" w:cs="Arial" w:eastAsia="Arial" w:hAnsi="Arial"/>
          <w:sz w:val="18"/>
          <w:szCs w:val="18"/>
          <w:color w:val="auto"/>
        </w:rPr>
      </w:pPr>
    </w:p>
    <w:p>
      <w:pPr>
        <w:ind w:left="5660" w:hanging="112"/>
        <w:spacing w:after="0"/>
        <w:tabs>
          <w:tab w:leader="none" w:pos="56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60" w:top="274" w:right="259" w:bottom="1440" w:gutter="0" w:footer="0" w:header="0"/>
        </w:sectPr>
      </w:pPr>
    </w:p>
    <w:bookmarkStart w:id="38" w:name="page39"/>
    <w:bookmarkEnd w:id="38"/>
    <w:p>
      <w:pPr>
        <w:ind w:left="-464" w:right="20" w:firstLine="921"/>
        <w:spacing w:after="0" w:line="286" w:lineRule="auto"/>
        <w:tabs>
          <w:tab w:leader="none" w:pos="668" w:val="left"/>
        </w:tabs>
        <w:numPr>
          <w:ilvl w:val="1"/>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24" w:lineRule="exact"/>
        <w:rPr>
          <w:rFonts w:ascii="Arial" w:cs="Arial" w:eastAsia="Arial" w:hAnsi="Arial"/>
          <w:sz w:val="16"/>
          <w:szCs w:val="16"/>
          <w:color w:val="auto"/>
        </w:rPr>
      </w:pPr>
    </w:p>
    <w:p>
      <w:pPr>
        <w:ind w:left="-464" w:right="380" w:firstLine="921"/>
        <w:spacing w:after="0" w:line="268" w:lineRule="auto"/>
        <w:tabs>
          <w:tab w:leader="none" w:pos="6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may instruct the transfer agent for its Common Stock to place a legend on the certificates representing the Restricted Stock or otherwise note its records as to the restrictions on transfer set forth in this Agreement.</w:t>
      </w:r>
    </w:p>
    <w:p>
      <w:pPr>
        <w:spacing w:after="0" w:line="131" w:lineRule="exact"/>
        <w:rPr>
          <w:rFonts w:ascii="Arial" w:cs="Arial" w:eastAsia="Arial" w:hAnsi="Arial"/>
          <w:sz w:val="18"/>
          <w:szCs w:val="18"/>
          <w:color w:val="auto"/>
        </w:rPr>
      </w:pPr>
    </w:p>
    <w:p>
      <w:pPr>
        <w:ind w:left="-464" w:right="60" w:firstLine="464"/>
        <w:spacing w:after="0" w:line="256" w:lineRule="auto"/>
        <w:tabs>
          <w:tab w:leader="none" w:pos="16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Shares of Restricted Stock awarded by this Agreement will vest in accordance with the vesting provisions set forth in the Notice of Grant. Shares of Restricted Stock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43" w:lineRule="exact"/>
        <w:rPr>
          <w:rFonts w:ascii="Arial" w:cs="Arial" w:eastAsia="Arial" w:hAnsi="Arial"/>
          <w:sz w:val="18"/>
          <w:szCs w:val="18"/>
          <w:color w:val="auto"/>
        </w:rPr>
      </w:pPr>
    </w:p>
    <w:p>
      <w:pPr>
        <w:ind w:left="-464" w:right="120" w:firstLine="464"/>
        <w:spacing w:after="0" w:line="259" w:lineRule="auto"/>
        <w:tabs>
          <w:tab w:leader="none" w:pos="16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Restricted Stock at any time, subject to the terms of the Plan. If so accelerated, such Restricted Stock will be considered as having vested as of the date specified by the Administrator.</w:t>
      </w:r>
    </w:p>
    <w:p>
      <w:pPr>
        <w:spacing w:after="0" w:line="140" w:lineRule="exact"/>
        <w:rPr>
          <w:rFonts w:ascii="Arial" w:cs="Arial" w:eastAsia="Arial" w:hAnsi="Arial"/>
          <w:sz w:val="18"/>
          <w:szCs w:val="18"/>
          <w:color w:val="auto"/>
        </w:rPr>
      </w:pPr>
    </w:p>
    <w:p>
      <w:pPr>
        <w:ind w:left="-464" w:firstLine="464"/>
        <w:spacing w:after="0" w:line="290" w:lineRule="auto"/>
        <w:tabs>
          <w:tab w:leader="none" w:pos="16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Forfeiture upon Termination of Status as a Service Provider</w:t>
      </w:r>
      <w:r>
        <w:rPr>
          <w:rFonts w:ascii="Arial" w:cs="Arial" w:eastAsia="Arial" w:hAnsi="Arial"/>
          <w:sz w:val="16"/>
          <w:szCs w:val="16"/>
          <w:color w:val="auto"/>
        </w:rPr>
        <w:t>. Notwithstanding any contrary provision of this Agreement, the balance of the Shares of Restricted Stock that have not vested at the time of Participant’s termination as a Service Provider for any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5.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118" w:lineRule="exact"/>
        <w:rPr>
          <w:rFonts w:ascii="Arial" w:cs="Arial" w:eastAsia="Arial" w:hAnsi="Arial"/>
          <w:sz w:val="16"/>
          <w:szCs w:val="16"/>
          <w:color w:val="auto"/>
        </w:rPr>
      </w:pPr>
    </w:p>
    <w:p>
      <w:pPr>
        <w:ind w:left="-464" w:right="60" w:firstLine="464"/>
        <w:spacing w:after="0" w:line="256" w:lineRule="auto"/>
        <w:tabs>
          <w:tab w:leader="none" w:pos="16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29" w:lineRule="exact"/>
        <w:rPr>
          <w:rFonts w:ascii="Arial" w:cs="Arial" w:eastAsia="Arial" w:hAnsi="Arial"/>
          <w:sz w:val="18"/>
          <w:szCs w:val="18"/>
          <w:color w:val="auto"/>
        </w:rPr>
      </w:pPr>
    </w:p>
    <w:p>
      <w:pPr>
        <w:ind w:left="5216" w:hanging="112"/>
        <w:spacing w:after="0"/>
        <w:tabs>
          <w:tab w:leader="none" w:pos="5216" w:val="left"/>
        </w:tabs>
        <w:numPr>
          <w:ilvl w:val="2"/>
          <w:numId w:val="5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36"/>
          </w:cols>
          <w:pgMar w:left="704" w:top="280" w:right="259" w:bottom="1440" w:gutter="0" w:footer="0" w:header="0"/>
        </w:sectPr>
      </w:pPr>
    </w:p>
    <w:bookmarkStart w:id="39" w:name="page40"/>
    <w:bookmarkEnd w:id="39"/>
    <w:p>
      <w:pPr>
        <w:ind w:left="-464" w:right="80" w:firstLine="464"/>
        <w:spacing w:after="0" w:line="290" w:lineRule="auto"/>
        <w:tabs>
          <w:tab w:leader="none" w:pos="16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Withholding</w:t>
      </w:r>
      <w:r>
        <w:rPr>
          <w:rFonts w:ascii="Arial" w:cs="Arial" w:eastAsia="Arial" w:hAnsi="Arial"/>
          <w:sz w:val="16"/>
          <w:szCs w:val="16"/>
          <w:color w:val="auto"/>
        </w:rPr>
        <w:t>. Notwithstanding any contrary provision of this Agreement, no certificate representing the Shares of Restricted Stock may be released from the escrow established pursuant to Section 5,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any applicable Shares otherwise are scheduled to vest pursuant to Sections 3 or 4, Participant will permanently forfeit such Shares and the Shares will be returned to the Company at no cost to the Company.</w:t>
      </w:r>
    </w:p>
    <w:p>
      <w:pPr>
        <w:spacing w:after="0" w:line="118" w:lineRule="exact"/>
        <w:rPr>
          <w:rFonts w:ascii="Arial" w:cs="Arial" w:eastAsia="Arial" w:hAnsi="Arial"/>
          <w:sz w:val="16"/>
          <w:szCs w:val="16"/>
          <w:color w:val="auto"/>
        </w:rPr>
      </w:pPr>
    </w:p>
    <w:p>
      <w:pPr>
        <w:ind w:left="-464" w:firstLine="464"/>
        <w:spacing w:after="0" w:line="255" w:lineRule="auto"/>
        <w:tabs>
          <w:tab w:leader="none" w:pos="1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or the Escrow Agent. Except as provided in Section 2(f), after such issuance, recordation and delivery, Participant will have all the rights of a stockholder of the Company with respect to voting such Shares and receipt of dividends and distributions on such Shares.</w:t>
      </w:r>
    </w:p>
    <w:p>
      <w:pPr>
        <w:spacing w:after="0" w:line="142" w:lineRule="exact"/>
        <w:rPr>
          <w:rFonts w:ascii="Arial" w:cs="Arial" w:eastAsia="Arial" w:hAnsi="Arial"/>
          <w:sz w:val="18"/>
          <w:szCs w:val="18"/>
          <w:color w:val="auto"/>
        </w:rPr>
      </w:pPr>
    </w:p>
    <w:p>
      <w:pPr>
        <w:ind w:left="-464" w:firstLine="464"/>
        <w:spacing w:after="0" w:line="288" w:lineRule="auto"/>
        <w:tabs>
          <w:tab w:leader="none" w:pos="16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THE SHARES OF RESTRICTED STOCK PURSUANT TO THE VESTING SCHEDULE HEREOF IS EARNED ONLY BY CONTINUING AS A SERVICE PROVIDER AT THE WILL OF THE COMPANY (OR THE PARENT OR SUBSIDIARY EMPLOYING OR RETAINING PARTICIPANT) AND NOT THROUGH THE ACT OF BEING HIRED, BEING GRANTED THIS RESTRICTED STOCK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19" w:lineRule="exact"/>
        <w:rPr>
          <w:rFonts w:ascii="Arial" w:cs="Arial" w:eastAsia="Arial" w:hAnsi="Arial"/>
          <w:sz w:val="16"/>
          <w:szCs w:val="16"/>
          <w:color w:val="auto"/>
        </w:rPr>
      </w:pPr>
    </w:p>
    <w:p>
      <w:pPr>
        <w:ind w:left="-464" w:right="320" w:firstLine="464"/>
        <w:spacing w:after="0" w:line="332"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Agreement will be addressed to the Company at Active Power, Inc., 2128 W. Braker Lane, BK12, Austin, Texas 78758, or at such other address as the Company may hereafter designate in writing or electronically.</w:t>
      </w:r>
    </w:p>
    <w:p>
      <w:pPr>
        <w:spacing w:after="0" w:line="71" w:lineRule="exact"/>
        <w:rPr>
          <w:rFonts w:ascii="Arial" w:cs="Arial" w:eastAsia="Arial" w:hAnsi="Arial"/>
          <w:sz w:val="16"/>
          <w:szCs w:val="16"/>
          <w:color w:val="auto"/>
        </w:rPr>
      </w:pPr>
    </w:p>
    <w:p>
      <w:pPr>
        <w:ind w:left="5216" w:hanging="112"/>
        <w:spacing w:after="0"/>
        <w:tabs>
          <w:tab w:leader="none" w:pos="52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36"/>
          </w:cols>
          <w:pgMar w:left="704" w:top="280" w:right="259" w:bottom="1440" w:gutter="0" w:footer="0" w:header="0"/>
        </w:sectPr>
      </w:pPr>
    </w:p>
    <w:bookmarkStart w:id="40" w:name="page41"/>
    <w:bookmarkEnd w:id="40"/>
    <w:p>
      <w:pPr>
        <w:ind w:left="-464" w:right="100" w:firstLine="464"/>
        <w:spacing w:after="0" w:line="294"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is Not Transferable</w:t>
      </w:r>
      <w:r>
        <w:rPr>
          <w:rFonts w:ascii="Arial" w:cs="Arial" w:eastAsia="Arial" w:hAnsi="Arial"/>
          <w:sz w:val="16"/>
          <w:szCs w:val="16"/>
          <w:color w:val="auto"/>
        </w:rPr>
        <w:t>. Except to the limited extent provided in Section 6, the unvested Shares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Shares of Restricted Stock subject to this grant, or any right or privilege conferred hereby, or upon any attempted sale under any execution, attachment or similar process, this grant and the rights and privileges conferred hereby immediately will become null and void.</w:t>
      </w:r>
    </w:p>
    <w:p>
      <w:pPr>
        <w:spacing w:after="0" w:line="115" w:lineRule="exact"/>
        <w:rPr>
          <w:rFonts w:ascii="Arial" w:cs="Arial" w:eastAsia="Arial" w:hAnsi="Arial"/>
          <w:sz w:val="16"/>
          <w:szCs w:val="16"/>
          <w:color w:val="auto"/>
        </w:rPr>
      </w:pPr>
    </w:p>
    <w:p>
      <w:pPr>
        <w:ind w:left="-464" w:right="100" w:firstLine="464"/>
        <w:spacing w:after="0" w:line="268"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1" w:lineRule="exact"/>
        <w:rPr>
          <w:rFonts w:ascii="Arial" w:cs="Arial" w:eastAsia="Arial" w:hAnsi="Arial"/>
          <w:sz w:val="18"/>
          <w:szCs w:val="18"/>
          <w:color w:val="auto"/>
        </w:rPr>
      </w:pPr>
    </w:p>
    <w:p>
      <w:pPr>
        <w:ind w:left="-464" w:firstLine="464"/>
        <w:spacing w:after="0" w:line="290"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Additional Conditions to Release from Escrow</w:t>
      </w:r>
      <w:r>
        <w:rPr>
          <w:rFonts w:ascii="Arial" w:cs="Arial" w:eastAsia="Arial" w:hAnsi="Arial"/>
          <w:sz w:val="16"/>
          <w:szCs w:val="16"/>
          <w:color w:val="auto"/>
        </w:rPr>
        <w:t>. The Company will not be required to issue any certificate or certificates for Shares hereunder or release such Shares from the escrow established pursuant to Section 2 prior to fulfillment of all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Securities and Exchange Commission or any other governmental regulatory body, which the Administrator will, in its absolute discretion, deem necessary or advisable; (c) the obtaining of any approval or other clearance from any state or federal governmental agency, which the Administrator will, in its absolute discretion, determine to be necessary or advisable; and (d) the lapse of such reasonable period of time following the date of grant of the Restricted Stock as the Administrator may establish from time to time for reasons of administrative convenience.</w:t>
      </w:r>
    </w:p>
    <w:p>
      <w:pPr>
        <w:spacing w:after="0" w:line="118" w:lineRule="exact"/>
        <w:rPr>
          <w:rFonts w:ascii="Arial" w:cs="Arial" w:eastAsia="Arial" w:hAnsi="Arial"/>
          <w:sz w:val="16"/>
          <w:szCs w:val="16"/>
          <w:color w:val="auto"/>
        </w:rPr>
      </w:pPr>
    </w:p>
    <w:p>
      <w:pPr>
        <w:ind w:left="-464" w:right="60" w:firstLine="464"/>
        <w:spacing w:after="0" w:line="259"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140" w:lineRule="exact"/>
        <w:rPr>
          <w:rFonts w:ascii="Arial" w:cs="Arial" w:eastAsia="Arial" w:hAnsi="Arial"/>
          <w:sz w:val="18"/>
          <w:szCs w:val="18"/>
          <w:color w:val="auto"/>
        </w:rPr>
      </w:pPr>
    </w:p>
    <w:p>
      <w:pPr>
        <w:ind w:left="-464" w:right="40" w:firstLine="464"/>
        <w:spacing w:after="0" w:line="294"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15" w:lineRule="exact"/>
        <w:rPr>
          <w:rFonts w:ascii="Arial" w:cs="Arial" w:eastAsia="Arial" w:hAnsi="Arial"/>
          <w:sz w:val="16"/>
          <w:szCs w:val="16"/>
          <w:color w:val="auto"/>
        </w:rPr>
      </w:pPr>
    </w:p>
    <w:p>
      <w:pPr>
        <w:ind w:left="-464" w:right="20" w:firstLine="464"/>
        <w:spacing w:after="0" w:line="298"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decide to deliver any documents related to the Shares of Restricted Stock awarded under the Plan or future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99" w:lineRule="exact"/>
        <w:rPr>
          <w:rFonts w:ascii="Arial" w:cs="Arial" w:eastAsia="Arial" w:hAnsi="Arial"/>
          <w:sz w:val="16"/>
          <w:szCs w:val="16"/>
          <w:color w:val="auto"/>
        </w:rPr>
      </w:pPr>
    </w:p>
    <w:p>
      <w:pPr>
        <w:ind w:left="5216" w:hanging="112"/>
        <w:spacing w:after="0"/>
        <w:tabs>
          <w:tab w:leader="none" w:pos="52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56"/>
          </w:cols>
          <w:pgMar w:left="704" w:top="280" w:right="239" w:bottom="1440" w:gutter="0" w:footer="0" w:header="0"/>
        </w:sectPr>
      </w:pPr>
    </w:p>
    <w:bookmarkStart w:id="41" w:name="page42"/>
    <w:bookmarkEnd w:id="41"/>
    <w:p>
      <w:pPr>
        <w:ind w:left="256" w:hanging="256"/>
        <w:spacing w:after="0"/>
        <w:tabs>
          <w:tab w:leader="none" w:pos="25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Captions</w:t>
      </w:r>
      <w:r>
        <w:rPr>
          <w:rFonts w:ascii="Arial" w:cs="Arial" w:eastAsia="Arial" w:hAnsi="Arial"/>
          <w:sz w:val="16"/>
          <w:szCs w:val="16"/>
          <w:color w:val="auto"/>
        </w:rPr>
        <w:t>. Captions provided herein are for convenience only and are not to serve as a basis for interpretation or construction of this Agreement.</w:t>
      </w:r>
    </w:p>
    <w:p>
      <w:pPr>
        <w:spacing w:after="0" w:line="194" w:lineRule="exact"/>
        <w:rPr>
          <w:rFonts w:ascii="Arial" w:cs="Arial" w:eastAsia="Arial" w:hAnsi="Arial"/>
          <w:sz w:val="16"/>
          <w:szCs w:val="16"/>
          <w:color w:val="auto"/>
        </w:rPr>
      </w:pPr>
    </w:p>
    <w:p>
      <w:pPr>
        <w:ind w:left="-464" w:right="100" w:firstLine="464"/>
        <w:spacing w:after="0" w:line="332"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85" w:lineRule="exact"/>
        <w:rPr>
          <w:rFonts w:ascii="Arial" w:cs="Arial" w:eastAsia="Arial" w:hAnsi="Arial"/>
          <w:sz w:val="16"/>
          <w:szCs w:val="16"/>
          <w:color w:val="auto"/>
        </w:rPr>
      </w:pPr>
    </w:p>
    <w:p>
      <w:pPr>
        <w:ind w:left="-464" w:right="20" w:firstLine="464"/>
        <w:spacing w:after="0" w:line="291"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w:t>
      </w:r>
    </w:p>
    <w:p>
      <w:pPr>
        <w:spacing w:after="0" w:line="120" w:lineRule="exact"/>
        <w:rPr>
          <w:rFonts w:ascii="Arial" w:cs="Arial" w:eastAsia="Arial" w:hAnsi="Arial"/>
          <w:sz w:val="16"/>
          <w:szCs w:val="16"/>
          <w:color w:val="auto"/>
        </w:rPr>
      </w:pPr>
    </w:p>
    <w:p>
      <w:pPr>
        <w:jc w:val="both"/>
        <w:ind w:left="-464" w:right="80" w:firstLine="464"/>
        <w:spacing w:after="0" w:line="259"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Company at any time.</w:t>
      </w:r>
    </w:p>
    <w:p>
      <w:pPr>
        <w:spacing w:after="0" w:line="140" w:lineRule="exact"/>
        <w:rPr>
          <w:rFonts w:ascii="Arial" w:cs="Arial" w:eastAsia="Arial" w:hAnsi="Arial"/>
          <w:sz w:val="18"/>
          <w:szCs w:val="18"/>
          <w:color w:val="auto"/>
        </w:rPr>
      </w:pPr>
    </w:p>
    <w:p>
      <w:pPr>
        <w:jc w:val="both"/>
        <w:ind w:left="-464" w:firstLine="464"/>
        <w:spacing w:after="0" w:line="298"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State of Texas, without giving effect to the conflict of law principles thereof. For purposes of litigating any dispute that arises under this Award of Restricted Stock or this Agreement, the parties hereby submit to and consent to the jurisdiction of the State of Texas</w:t>
      </w:r>
      <w:r>
        <w:rPr>
          <w:rFonts w:ascii="Arial" w:cs="Arial" w:eastAsia="Arial" w:hAnsi="Arial"/>
          <w:sz w:val="16"/>
          <w:szCs w:val="16"/>
          <w:b w:val="1"/>
          <w:bCs w:val="1"/>
          <w:color w:val="auto"/>
        </w:rPr>
        <w:t>,</w:t>
      </w:r>
      <w:r>
        <w:rPr>
          <w:rFonts w:ascii="Arial" w:cs="Arial" w:eastAsia="Arial" w:hAnsi="Arial"/>
          <w:sz w:val="16"/>
          <w:szCs w:val="16"/>
          <w:color w:val="auto"/>
        </w:rPr>
        <w:t xml:space="preserve"> and agree that such litigation will be conducted in the courts of Travis County, Texas, or the federal courts for the United States for the Western District of Texas, and no other courts, where this Award of Restricted Stock is made and/or to be performed.</w:t>
      </w:r>
    </w:p>
    <w:p>
      <w:pPr>
        <w:spacing w:after="0" w:line="99" w:lineRule="exact"/>
        <w:rPr>
          <w:rFonts w:ascii="Arial" w:cs="Arial" w:eastAsia="Arial" w:hAnsi="Arial"/>
          <w:sz w:val="16"/>
          <w:szCs w:val="16"/>
          <w:color w:val="auto"/>
        </w:rPr>
      </w:pPr>
    </w:p>
    <w:p>
      <w:pPr>
        <w:ind w:left="5216" w:hanging="112"/>
        <w:spacing w:after="0"/>
        <w:tabs>
          <w:tab w:leader="none" w:pos="52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816"/>
          </w:cols>
          <w:pgMar w:left="704" w:top="280"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RESTRICTED STOCK UNITS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Unless otherwise defined herein, the terms defined in the Active Power, Inc. 2010 Equity Incentive Plan (the “Plan”) will have the same defined meanings in this Notice of Grant of Restricted Stock Units (the “Notice of Grant”) and Terms and Conditions of Restricted Stock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(together, the “Agreement”).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238125</wp:posOffset>
            </wp:positionV>
            <wp:extent cx="32588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Participant has been granted the right to receive an Award of Restricted Stock Units, subject to the terms and conditions of the Plan and this Agreement, as follows: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258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Subject to any acceleration provisions contained in the Plan or set forth below, the Restricted Stock Units will vest in accordance with the following schedule: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VESTING SCHEDULE]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event Participant ceases to be a Service Provider for any or no reason before Participant vests in the Restricted Stock Unit, the Restricted Stock Unit and Participant’s right to acquire any Shares hereunder will immediately terminate.</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By Participant’s signature and the signature of the Company’s representative below, Participant and the Company agree that this Award of Restricted Stock Units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5560" w:type="dxa"/>
            <w:vAlign w:val="bottom"/>
            <w:gridSpan w:val="2"/>
          </w:tcPr>
          <w:p>
            <w:pPr>
              <w:ind w:left="680"/>
              <w:spacing w:after="0"/>
              <w:rPr>
                <w:sz w:val="20"/>
                <w:szCs w:val="20"/>
                <w:color w:val="auto"/>
              </w:rPr>
            </w:pPr>
            <w:r>
              <w:rPr>
                <w:rFonts w:ascii="Arial" w:cs="Arial" w:eastAsia="Arial" w:hAnsi="Arial"/>
                <w:sz w:val="18"/>
                <w:szCs w:val="18"/>
                <w:color w:val="auto"/>
              </w:rPr>
              <w:t>ACTIVE POWER, INC.</w:t>
            </w:r>
          </w:p>
        </w:tc>
      </w:tr>
      <w:tr>
        <w:trPr>
          <w:trHeight w:val="434"/>
        </w:trPr>
        <w:tc>
          <w:tcPr>
            <w:tcW w:w="5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556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326"/>
        </w:trPr>
        <w:tc>
          <w:tcPr>
            <w:tcW w:w="5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5560" w:type="dxa"/>
            <w:vAlign w:val="bottom"/>
            <w:gridSpan w:val="2"/>
          </w:tcPr>
          <w:p>
            <w:pPr>
              <w:ind w:left="680"/>
              <w:spacing w:after="0"/>
              <w:rPr>
                <w:sz w:val="20"/>
                <w:szCs w:val="20"/>
                <w:color w:val="auto"/>
              </w:rPr>
            </w:pPr>
            <w:r>
              <w:rPr>
                <w:rFonts w:ascii="Arial" w:cs="Arial" w:eastAsia="Arial" w:hAnsi="Arial"/>
                <w:sz w:val="18"/>
                <w:szCs w:val="18"/>
                <w:color w:val="auto"/>
              </w:rPr>
              <w:t>Title</w:t>
            </w:r>
          </w:p>
        </w:tc>
      </w:tr>
      <w:tr>
        <w:trPr>
          <w:trHeight w:val="286"/>
        </w:trPr>
        <w:tc>
          <w:tcPr>
            <w:tcW w:w="58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45"/>
        </w:trPr>
        <w:tc>
          <w:tcPr>
            <w:tcW w:w="580" w:type="dxa"/>
            <w:vAlign w:val="bottom"/>
            <w:tcBorders>
              <w:top w:val="single" w:sz="8" w:color="auto"/>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31"/>
        </w:trPr>
        <w:tc>
          <w:tcPr>
            <w:tcW w:w="5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388" w:right="2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177" w:lineRule="exact"/>
        <w:rPr>
          <w:sz w:val="20"/>
          <w:szCs w:val="20"/>
          <w:color w:val="auto"/>
        </w:rPr>
      </w:pPr>
    </w:p>
    <w:p>
      <w:pPr>
        <w:jc w:val="both"/>
        <w:ind w:firstLine="464"/>
        <w:spacing w:after="0" w:line="306"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The Company hereby grants to the Participant named in the Notice of Grant (“Participant”) under the Plan an Award of Restricted Stock Units, subject to all of the terms and conditions in this Agreement and the Plan, which is incorporated herein by reference. Subject to Section 20(c) of the Plan, in the event of a conflict between the terms and conditions of the Plan and the terms and conditions of this Agreement, the terms and conditions of the Plan will prevail.</w:t>
      </w:r>
    </w:p>
    <w:p>
      <w:pPr>
        <w:spacing w:after="0" w:line="106" w:lineRule="exact"/>
        <w:rPr>
          <w:rFonts w:ascii="Arial" w:cs="Arial" w:eastAsia="Arial" w:hAnsi="Arial"/>
          <w:sz w:val="16"/>
          <w:szCs w:val="16"/>
          <w:color w:val="auto"/>
        </w:rPr>
      </w:pPr>
    </w:p>
    <w:p>
      <w:pPr>
        <w:ind w:firstLine="464"/>
        <w:spacing w:after="0" w:line="289"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obligations as set forth in Section 7. Subject to the provisions of Section 4, such vested Restricted Stock Units will be paid in Shares as soon as practicable after vesting, but in each such case within the period ending no later than the later of the fifteenth (15</w:t>
      </w:r>
      <w:r>
        <w:rPr>
          <w:rFonts w:ascii="Arial" w:cs="Arial" w:eastAsia="Arial" w:hAnsi="Arial"/>
          <w:sz w:val="10"/>
          <w:szCs w:val="10"/>
          <w:color w:val="auto"/>
        </w:rPr>
        <w:t>th</w:t>
      </w:r>
      <w:r>
        <w:rPr>
          <w:rFonts w:ascii="Arial" w:cs="Arial" w:eastAsia="Arial" w:hAnsi="Arial"/>
          <w:sz w:val="16"/>
          <w:szCs w:val="16"/>
          <w:color w:val="auto"/>
        </w:rPr>
        <w:t>) day of the third (3</w:t>
      </w:r>
      <w:r>
        <w:rPr>
          <w:rFonts w:ascii="Arial" w:cs="Arial" w:eastAsia="Arial" w:hAnsi="Arial"/>
          <w:sz w:val="10"/>
          <w:szCs w:val="10"/>
          <w:color w:val="auto"/>
        </w:rPr>
        <w:t>rd</w:t>
      </w:r>
      <w:r>
        <w:rPr>
          <w:rFonts w:ascii="Arial" w:cs="Arial" w:eastAsia="Arial" w:hAnsi="Arial"/>
          <w:sz w:val="16"/>
          <w:szCs w:val="16"/>
          <w:color w:val="auto"/>
        </w:rPr>
        <w:t>) month following the end of the (i) Fiscal Year or the (ii) calendar year, which in either case includes the vesting date.</w:t>
      </w:r>
    </w:p>
    <w:p>
      <w:pPr>
        <w:spacing w:after="0" w:line="118" w:lineRule="exact"/>
        <w:rPr>
          <w:rFonts w:ascii="Arial" w:cs="Arial" w:eastAsia="Arial" w:hAnsi="Arial"/>
          <w:sz w:val="16"/>
          <w:szCs w:val="16"/>
          <w:color w:val="auto"/>
        </w:rPr>
      </w:pPr>
    </w:p>
    <w:p>
      <w:pPr>
        <w:ind w:right="20" w:firstLine="464"/>
        <w:spacing w:after="0" w:line="256"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43"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Notwithstanding anything in the Plan or this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Agreement to comply with the requirements of Section 409A so that none of the Restricted Stock Units provided under this Agreement or Shares issuable thereunder will be subject to the additional tax imposed under Section 409A, and any ambiguities herein will be interpreted to so comply. For purposes of this Agreement, “Section 409A” means Code Section 409A and the final Treasury Regulations and Internal Revenue Service guidance thereunder, as each may be amended from time to time.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74" w:right="299" w:bottom="1440" w:gutter="0" w:footer="0" w:header="0"/>
        </w:sectPr>
      </w:pPr>
    </w:p>
    <w:bookmarkStart w:id="45" w:name="page46"/>
    <w:bookmarkEnd w:id="45"/>
    <w:p>
      <w:pPr>
        <w:ind w:left="-464" w:right="60" w:firstLine="464"/>
        <w:spacing w:after="0" w:line="259" w:lineRule="auto"/>
        <w:tabs>
          <w:tab w:leader="none" w:pos="1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Forfeiture upon Termination of Status as a Service Provider</w:t>
      </w:r>
      <w:r>
        <w:rPr>
          <w:rFonts w:ascii="Arial" w:cs="Arial" w:eastAsia="Arial" w:hAnsi="Arial"/>
          <w:sz w:val="18"/>
          <w:szCs w:val="18"/>
          <w:color w:val="auto"/>
        </w:rPr>
        <w:t>. Notwithstanding any contrary provision of this Agreement, the balance of the Restricted Stock Units that have not vested as of the time of Participant’s termination as a Service Provider for any or no reason and Participant’s right to acquire any Shares hereunder will immediately terminate.</w:t>
      </w:r>
    </w:p>
    <w:p>
      <w:pPr>
        <w:spacing w:after="0" w:line="140" w:lineRule="exact"/>
        <w:rPr>
          <w:rFonts w:ascii="Arial" w:cs="Arial" w:eastAsia="Arial" w:hAnsi="Arial"/>
          <w:sz w:val="18"/>
          <w:szCs w:val="18"/>
          <w:color w:val="auto"/>
        </w:rPr>
      </w:pPr>
    </w:p>
    <w:p>
      <w:pPr>
        <w:ind w:left="-464" w:right="80" w:firstLine="464"/>
        <w:spacing w:after="0" w:line="256" w:lineRule="auto"/>
        <w:tabs>
          <w:tab w:leader="none" w:pos="1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3" w:lineRule="exact"/>
        <w:rPr>
          <w:rFonts w:ascii="Arial" w:cs="Arial" w:eastAsia="Arial" w:hAnsi="Arial"/>
          <w:sz w:val="18"/>
          <w:szCs w:val="18"/>
          <w:color w:val="auto"/>
        </w:rPr>
      </w:pPr>
    </w:p>
    <w:p>
      <w:pPr>
        <w:ind w:left="-464" w:firstLine="464"/>
        <w:spacing w:after="0" w:line="290" w:lineRule="auto"/>
        <w:tabs>
          <w:tab w:leader="none" w:pos="16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118" w:lineRule="exact"/>
        <w:rPr>
          <w:rFonts w:ascii="Arial" w:cs="Arial" w:eastAsia="Arial" w:hAnsi="Arial"/>
          <w:sz w:val="16"/>
          <w:szCs w:val="16"/>
          <w:color w:val="auto"/>
        </w:rPr>
      </w:pPr>
    </w:p>
    <w:p>
      <w:pPr>
        <w:ind w:left="-464" w:right="60" w:firstLine="464"/>
        <w:spacing w:after="0" w:line="298" w:lineRule="auto"/>
        <w:tabs>
          <w:tab w:leader="none" w:pos="16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99" w:lineRule="exact"/>
        <w:rPr>
          <w:rFonts w:ascii="Arial" w:cs="Arial" w:eastAsia="Arial" w:hAnsi="Arial"/>
          <w:sz w:val="16"/>
          <w:szCs w:val="16"/>
          <w:color w:val="auto"/>
        </w:rPr>
      </w:pPr>
    </w:p>
    <w:p>
      <w:pPr>
        <w:ind w:left="5216" w:hanging="112"/>
        <w:spacing w:after="0"/>
        <w:tabs>
          <w:tab w:leader="none" w:pos="5216" w:val="left"/>
        </w:tabs>
        <w:numPr>
          <w:ilvl w:val="1"/>
          <w:numId w:val="5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56"/>
          </w:cols>
          <w:pgMar w:left="704" w:top="280" w:right="239" w:bottom="1440" w:gutter="0" w:footer="0" w:header="0"/>
        </w:sectPr>
      </w:pPr>
    </w:p>
    <w:bookmarkStart w:id="46" w:name="page47"/>
    <w:bookmarkEnd w:id="46"/>
    <w:p>
      <w:pPr>
        <w:ind w:left="-464" w:right="260" w:firstLine="464"/>
        <w:spacing w:after="0" w:line="288" w:lineRule="auto"/>
        <w:tabs>
          <w:tab w:leader="none" w:pos="16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Guarantee of Continued Service</w:t>
      </w:r>
      <w:r>
        <w:rPr>
          <w:rFonts w:ascii="Arial" w:cs="Arial" w:eastAsia="Arial" w:hAnsi="Arial"/>
          <w:sz w:val="16"/>
          <w:szCs w:val="16"/>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19" w:lineRule="exact"/>
        <w:rPr>
          <w:rFonts w:ascii="Arial" w:cs="Arial" w:eastAsia="Arial" w:hAnsi="Arial"/>
          <w:sz w:val="16"/>
          <w:szCs w:val="16"/>
          <w:color w:val="auto"/>
        </w:rPr>
      </w:pPr>
    </w:p>
    <w:p>
      <w:pPr>
        <w:ind w:left="-464" w:right="320" w:firstLine="464"/>
        <w:spacing w:after="0" w:line="332"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Agreement will be addressed to the Company at Active Power, Inc., 2128 W. Braker Lane, BK12, Austin, Texas 78758, or at such other address as the Company may hereafter designate in writing or electronically.</w:t>
      </w:r>
    </w:p>
    <w:p>
      <w:pPr>
        <w:spacing w:after="0" w:line="85" w:lineRule="exact"/>
        <w:rPr>
          <w:rFonts w:ascii="Arial" w:cs="Arial" w:eastAsia="Arial" w:hAnsi="Arial"/>
          <w:sz w:val="16"/>
          <w:szCs w:val="16"/>
          <w:color w:val="auto"/>
        </w:rPr>
      </w:pPr>
    </w:p>
    <w:p>
      <w:pPr>
        <w:ind w:left="-464" w:firstLine="464"/>
        <w:spacing w:after="0" w:line="294"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Grant is Not Transferable</w:t>
      </w:r>
      <w:r>
        <w:rPr>
          <w:rFonts w:ascii="Arial" w:cs="Arial" w:eastAsia="Arial" w:hAnsi="Arial"/>
          <w:sz w:val="16"/>
          <w:szCs w:val="16"/>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16" w:lineRule="exact"/>
        <w:rPr>
          <w:sz w:val="20"/>
          <w:szCs w:val="20"/>
          <w:color w:val="auto"/>
        </w:rPr>
      </w:pPr>
    </w:p>
    <w:p>
      <w:pPr>
        <w:ind w:left="-464" w:right="80" w:firstLine="464"/>
        <w:spacing w:after="0" w:line="268"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1" w:lineRule="exact"/>
        <w:rPr>
          <w:rFonts w:ascii="Arial" w:cs="Arial" w:eastAsia="Arial" w:hAnsi="Arial"/>
          <w:sz w:val="18"/>
          <w:szCs w:val="18"/>
          <w:color w:val="auto"/>
        </w:rPr>
      </w:pPr>
    </w:p>
    <w:p>
      <w:pPr>
        <w:ind w:left="-464" w:right="80" w:firstLine="464"/>
        <w:spacing w:after="0" w:line="290"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Additional Conditions to Issuance of Stock</w:t>
      </w:r>
      <w:r>
        <w:rPr>
          <w:rFonts w:ascii="Arial" w:cs="Arial" w:eastAsia="Arial" w:hAnsi="Arial"/>
          <w:sz w:val="16"/>
          <w:szCs w:val="16"/>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18" w:lineRule="exact"/>
        <w:rPr>
          <w:rFonts w:ascii="Arial" w:cs="Arial" w:eastAsia="Arial" w:hAnsi="Arial"/>
          <w:sz w:val="16"/>
          <w:szCs w:val="16"/>
          <w:color w:val="auto"/>
        </w:rPr>
      </w:pPr>
    </w:p>
    <w:p>
      <w:pPr>
        <w:ind w:left="-464" w:right="40" w:firstLine="464"/>
        <w:spacing w:after="0" w:line="259"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126" w:lineRule="exact"/>
        <w:rPr>
          <w:rFonts w:ascii="Arial" w:cs="Arial" w:eastAsia="Arial" w:hAnsi="Arial"/>
          <w:sz w:val="18"/>
          <w:szCs w:val="18"/>
          <w:color w:val="auto"/>
        </w:rPr>
      </w:pPr>
    </w:p>
    <w:p>
      <w:pPr>
        <w:ind w:left="5216" w:hanging="112"/>
        <w:spacing w:after="0"/>
        <w:tabs>
          <w:tab w:leader="none" w:pos="5216" w:val="left"/>
        </w:tabs>
        <w:numPr>
          <w:ilvl w:val="1"/>
          <w:numId w:val="5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36"/>
          </w:cols>
          <w:pgMar w:left="704" w:top="280" w:right="259" w:bottom="1440" w:gutter="0" w:footer="0" w:header="0"/>
        </w:sectPr>
      </w:pPr>
    </w:p>
    <w:bookmarkStart w:id="47" w:name="page48"/>
    <w:bookmarkEnd w:id="47"/>
    <w:p>
      <w:pPr>
        <w:ind w:left="-464" w:right="20" w:firstLine="464"/>
        <w:spacing w:after="0" w:line="294"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 Authority</w:t>
      </w:r>
      <w:r>
        <w:rPr>
          <w:rFonts w:ascii="Arial" w:cs="Arial" w:eastAsia="Arial" w:hAnsi="Arial"/>
          <w:sz w:val="16"/>
          <w:szCs w:val="16"/>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15" w:lineRule="exact"/>
        <w:rPr>
          <w:rFonts w:ascii="Arial" w:cs="Arial" w:eastAsia="Arial" w:hAnsi="Arial"/>
          <w:sz w:val="16"/>
          <w:szCs w:val="16"/>
          <w:color w:val="auto"/>
        </w:rPr>
      </w:pPr>
    </w:p>
    <w:p>
      <w:pPr>
        <w:ind w:left="-464" w:firstLine="464"/>
        <w:spacing w:after="0" w:line="298"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12" w:lineRule="exact"/>
        <w:rPr>
          <w:rFonts w:ascii="Arial" w:cs="Arial" w:eastAsia="Arial" w:hAnsi="Arial"/>
          <w:sz w:val="16"/>
          <w:szCs w:val="16"/>
          <w:color w:val="auto"/>
        </w:rPr>
      </w:pPr>
    </w:p>
    <w:p>
      <w:pPr>
        <w:ind w:left="256" w:hanging="256"/>
        <w:spacing w:after="0"/>
        <w:tabs>
          <w:tab w:leader="none" w:pos="25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Agreement.</w:t>
      </w:r>
    </w:p>
    <w:p>
      <w:pPr>
        <w:spacing w:after="0" w:line="194" w:lineRule="exact"/>
        <w:rPr>
          <w:rFonts w:ascii="Arial" w:cs="Arial" w:eastAsia="Arial" w:hAnsi="Arial"/>
          <w:sz w:val="16"/>
          <w:szCs w:val="16"/>
          <w:color w:val="auto"/>
        </w:rPr>
      </w:pPr>
    </w:p>
    <w:p>
      <w:pPr>
        <w:ind w:left="-464" w:right="220" w:firstLine="464"/>
        <w:spacing w:after="0" w:line="332"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85" w:lineRule="exact"/>
        <w:rPr>
          <w:rFonts w:ascii="Arial" w:cs="Arial" w:eastAsia="Arial" w:hAnsi="Arial"/>
          <w:sz w:val="16"/>
          <w:szCs w:val="16"/>
          <w:color w:val="auto"/>
        </w:rPr>
      </w:pPr>
    </w:p>
    <w:p>
      <w:pPr>
        <w:ind w:left="-464" w:right="360" w:firstLine="464"/>
        <w:spacing w:after="0" w:line="291"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20" w:lineRule="exact"/>
        <w:rPr>
          <w:rFonts w:ascii="Arial" w:cs="Arial" w:eastAsia="Arial" w:hAnsi="Arial"/>
          <w:sz w:val="16"/>
          <w:szCs w:val="16"/>
          <w:color w:val="auto"/>
        </w:rPr>
      </w:pPr>
    </w:p>
    <w:p>
      <w:pPr>
        <w:ind w:left="-464" w:right="200" w:firstLine="464"/>
        <w:spacing w:after="0" w:line="259"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40" w:lineRule="exact"/>
        <w:rPr>
          <w:sz w:val="20"/>
          <w:szCs w:val="20"/>
          <w:color w:val="auto"/>
        </w:rPr>
      </w:pPr>
    </w:p>
    <w:p>
      <w:pPr>
        <w:ind w:left="-464" w:right="80" w:firstLine="464"/>
        <w:spacing w:after="0" w:line="298" w:lineRule="auto"/>
        <w:tabs>
          <w:tab w:leader="none" w:pos="25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State of Texas, without giving effect to the conflict of law principles thereof. For purposes of litigating any dispute that arises under this Award of Restricted Stock Units or this Agreement, the parties hereby submit to and consent to the jurisdiction of the State of Texas, and agree that such litigation will be conducted in the courts of Travis County, Texas, or the federal courts for the United States for the Western District of Texas, and no other courts, where this Award of Restricted Stock Units is made and/or to be performed.</w:t>
      </w:r>
    </w:p>
    <w:p>
      <w:pPr>
        <w:spacing w:after="0" w:line="99" w:lineRule="exact"/>
        <w:rPr>
          <w:rFonts w:ascii="Arial" w:cs="Arial" w:eastAsia="Arial" w:hAnsi="Arial"/>
          <w:sz w:val="16"/>
          <w:szCs w:val="16"/>
          <w:color w:val="auto"/>
        </w:rPr>
      </w:pPr>
    </w:p>
    <w:p>
      <w:pPr>
        <w:ind w:left="5216" w:hanging="112"/>
        <w:spacing w:after="0"/>
        <w:tabs>
          <w:tab w:leader="none" w:pos="5216" w:val="left"/>
        </w:tabs>
        <w:numPr>
          <w:ilvl w:val="1"/>
          <w:numId w:val="59"/>
        </w:numPr>
        <w:rPr>
          <w:rFonts w:ascii="Arial" w:cs="Arial" w:eastAsia="Arial" w:hAnsi="Arial"/>
          <w:sz w:val="18"/>
          <w:szCs w:val="18"/>
          <w:color w:val="auto"/>
        </w:rPr>
      </w:pPr>
      <w:r>
        <w:rPr>
          <w:rFonts w:ascii="Arial" w:cs="Arial" w:eastAsia="Arial" w:hAnsi="Arial"/>
          <w:sz w:val="18"/>
          <w:szCs w:val="18"/>
          <w:color w:val="auto"/>
        </w:rPr>
        <w:t>6 -</w:t>
      </w:r>
    </w:p>
    <w:sectPr>
      <w:pgSz w:w="11900" w:h="16838" w:orient="portrait"/>
      <w:cols w:equalWidth="0" w:num="1">
        <w:col w:w="10936"/>
      </w:cols>
      <w:pgMar w:left="704"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
    </w:lvl>
    <w:lvl w:ilvl="1">
      <w:lvlJc w:val="left"/>
      <w:lvlText w:val="•"/>
      <w:numFmt w:val="bullet"/>
      <w:start w:val="1"/>
    </w:lvl>
  </w:abstractNum>
  <w:abstractNum w:abstractNumId="2">
    <w:nsid w:val="7C3DBD3D"/>
    <w:multiLevelType w:val="hybridMultilevel"/>
    <w:lvl w:ilvl="0">
      <w:lvlJc w:val="left"/>
      <w:lvlText w:val="%1."/>
      <w:numFmt w:val="decimal"/>
      <w:start w:val="2"/>
    </w:lvl>
    <w:lvl w:ilvl="1">
      <w:lvlJc w:val="left"/>
      <w:lvlText w:val="(%2)"/>
      <w:numFmt w:val="lowerLetter"/>
      <w:start w:val="1"/>
    </w:lvl>
  </w:abstractNum>
  <w:abstractNum w:abstractNumId="3">
    <w:nsid w:val="737B8DDC"/>
    <w:multiLevelType w:val="hybridMultilevel"/>
    <w:lvl w:ilvl="0">
      <w:lvlJc w:val="left"/>
      <w:lvlText w:val="(%1)"/>
      <w:numFmt w:val="lowerLetter"/>
      <w:start w:val="7"/>
    </w:lvl>
    <w:lvl w:ilvl="1">
      <w:lvlJc w:val="left"/>
      <w:lvlText w:val="(%2)"/>
      <w:numFmt w:val="lowerRoman"/>
      <w:start w:val="1"/>
    </w:lvl>
  </w:abstractNum>
  <w:abstractNum w:abstractNumId="4">
    <w:nsid w:val="6CEAF087"/>
    <w:multiLevelType w:val="hybridMultilevel"/>
    <w:lvl w:ilvl="0">
      <w:lvlJc w:val="left"/>
      <w:lvlText w:val="(%1)"/>
      <w:numFmt w:val="lowerLetter"/>
      <w:start w:val="8"/>
    </w:lvl>
  </w:abstractNum>
  <w:abstractNum w:abstractNumId="5">
    <w:nsid w:val="22221A70"/>
    <w:multiLevelType w:val="hybridMultilevel"/>
    <w:lvl w:ilvl="0">
      <w:lvlJc w:val="left"/>
      <w:lvlText w:val="(%1)"/>
      <w:numFmt w:val="lowerLetter"/>
      <w:start w:val="18"/>
    </w:lvl>
    <w:lvl w:ilvl="1">
      <w:lvlJc w:val="left"/>
      <w:lvlText w:val="(%2)"/>
      <w:numFmt w:val="lowerRoman"/>
      <w:start w:val="1"/>
    </w:lvl>
  </w:abstractNum>
  <w:abstractNum w:abstractNumId="6">
    <w:nsid w:val="4516DDE9"/>
    <w:multiLevelType w:val="hybridMultilevel"/>
    <w:lvl w:ilvl="0">
      <w:lvlJc w:val="left"/>
      <w:lvlText w:val="(%1)"/>
      <w:numFmt w:val="lowerLetter"/>
      <w:start w:val="27"/>
    </w:lvl>
  </w:abstractNum>
  <w:abstractNum w:abstractNumId="7">
    <w:nsid w:val="3006C83E"/>
    <w:multiLevelType w:val="hybridMultilevel"/>
    <w:lvl w:ilvl="0">
      <w:lvlJc w:val="left"/>
      <w:lvlText w:val="%1"/>
      <w:numFmt w:val="decimal"/>
      <w:start w:val="1"/>
    </w:lvl>
    <w:lvl w:ilvl="1">
      <w:lvlJc w:val="left"/>
      <w:lvlText w:val="(%2)"/>
      <w:numFmt w:val="lowerLetter"/>
      <w:start w:val="29"/>
    </w:lvl>
  </w:abstractNum>
  <w:abstractNum w:abstractNumId="8">
    <w:nsid w:val="614FD4A1"/>
    <w:multiLevelType w:val="hybridMultilevel"/>
    <w:lvl w:ilvl="0">
      <w:lvlJc w:val="left"/>
      <w:lvlText w:val="%1."/>
      <w:numFmt w:val="decimal"/>
      <w:start w:val="3"/>
    </w:lvl>
    <w:lvl w:ilvl="1">
      <w:lvlJc w:val="left"/>
      <w:lvlText w:val="(%2)"/>
      <w:numFmt w:val="lowerLetter"/>
      <w:start w:val="1"/>
    </w:lvl>
  </w:abstractNum>
  <w:abstractNum w:abstractNumId="9">
    <w:nsid w:val="419AC24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
    <w:nsid w:val="5577F8E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1">
    <w:nsid w:val="440BADFC"/>
    <w:multiLevelType w:val="hybridMultilevel"/>
    <w:lvl w:ilvl="0">
      <w:lvlJc w:val="left"/>
      <w:lvlText w:val="%1"/>
      <w:numFmt w:val="lowerLetter"/>
      <w:start w:val="1"/>
    </w:lvl>
    <w:lvl w:ilvl="1">
      <w:lvlJc w:val="left"/>
      <w:lvlText w:val="(%2)"/>
      <w:numFmt w:val="lowerRoman"/>
      <w:start w:val="2"/>
    </w:lvl>
  </w:abstractNum>
  <w:abstractNum w:abstractNumId="12">
    <w:nsid w:val="5072367"/>
    <w:multiLevelType w:val="hybridMultilevel"/>
    <w:lvl w:ilvl="0">
      <w:lvlJc w:val="left"/>
      <w:lvlText w:val="(%1)"/>
      <w:numFmt w:val="lowerLetter"/>
      <w:start w:val="2"/>
    </w:lvl>
    <w:lvl w:ilvl="1">
      <w:lvlJc w:val="left"/>
      <w:lvlText w:val="(%2)"/>
      <w:numFmt w:val="lowerRoman"/>
      <w:start w:val="1"/>
    </w:lvl>
  </w:abstractNum>
  <w:abstractNum w:abstractNumId="13">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4">
    <w:nsid w:val="77465F0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7724C6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5C482A9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
    <w:nsid w:val="2463B9EA"/>
    <w:multiLevelType w:val="hybridMultilevel"/>
    <w:lvl w:ilvl="0">
      <w:lvlJc w:val="left"/>
      <w:lvlText w:val="(%1)"/>
      <w:numFmt w:val="decimal"/>
      <w:start w:val="4"/>
    </w:lvl>
  </w:abstractNum>
  <w:abstractNum w:abstractNumId="18">
    <w:nsid w:val="5E884A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abstractNum>
  <w:abstractNum w:abstractNumId="19">
    <w:nsid w:val="51EAD36B"/>
    <w:multiLevelType w:val="hybridMultilevel"/>
    <w:lvl w:ilvl="0">
      <w:lvlJc w:val="left"/>
      <w:lvlText w:val="(%1)"/>
      <w:numFmt w:val="lowerLetter"/>
      <w:start w:val="5"/>
    </w:lvl>
    <w:lvl w:ilvl="1">
      <w:lvlJc w:val="left"/>
      <w:lvlText w:val="(%2)"/>
      <w:numFmt w:val="lowerLetter"/>
      <w:start w:val="9"/>
    </w:lvl>
    <w:lvl w:ilvl="2">
      <w:lvlJc w:val="left"/>
      <w:lvlText w:val="%3"/>
      <w:numFmt w:val="decimal"/>
      <w:start w:val="1"/>
    </w:lvl>
  </w:abstractNum>
  <w:abstractNum w:abstractNumId="20">
    <w:nsid w:val="2D517796"/>
    <w:multiLevelType w:val="hybridMultilevel"/>
    <w:lvl w:ilvl="0">
      <w:lvlJc w:val="left"/>
      <w:lvlText w:val="(%1)"/>
      <w:numFmt w:val="lowerRoman"/>
      <w:start w:val="2"/>
    </w:lvl>
  </w:abstractNum>
  <w:abstractNum w:abstractNumId="21">
    <w:nsid w:val="580BD78F"/>
    <w:multiLevelType w:val="hybridMultilevel"/>
    <w:lvl w:ilvl="0">
      <w:lvlJc w:val="left"/>
      <w:lvlText w:val="%1."/>
      <w:numFmt w:val="decimal"/>
      <w:start w:val="7"/>
    </w:lvl>
    <w:lvl w:ilvl="1">
      <w:lvlJc w:val="left"/>
      <w:lvlText w:val="(%2)"/>
      <w:numFmt w:val="lowerLetter"/>
      <w:start w:val="1"/>
    </w:lvl>
  </w:abstractNum>
  <w:abstractNum w:abstractNumId="22">
    <w:nsid w:val="153EA438"/>
    <w:multiLevelType w:val="hybridMultilevel"/>
    <w:lvl w:ilvl="0">
      <w:lvlJc w:val="left"/>
      <w:lvlText w:val="(%1)"/>
      <w:numFmt w:val="lowerLetter"/>
      <w:start w:val="6"/>
    </w:lvl>
    <w:lvl w:ilvl="1">
      <w:lvlJc w:val="left"/>
      <w:lvlText w:val="(%2)"/>
      <w:numFmt w:val="lowerRoman"/>
      <w:start w:val="1"/>
    </w:lvl>
  </w:abstractNum>
  <w:abstractNum w:abstractNumId="23">
    <w:nsid w:val="3855585C"/>
    <w:multiLevelType w:val="hybridMultilevel"/>
    <w:lvl w:ilvl="0">
      <w:lvlJc w:val="left"/>
      <w:lvlText w:val="%1."/>
      <w:numFmt w:val="decimal"/>
      <w:start w:val="8"/>
    </w:lvl>
    <w:lvl w:ilvl="1">
      <w:lvlJc w:val="left"/>
      <w:lvlText w:val="(%2)"/>
      <w:numFmt w:val="lowerLetter"/>
      <w:start w:val="1"/>
    </w:lvl>
  </w:abstractNum>
  <w:abstractNum w:abstractNumId="24">
    <w:nsid w:val="70A64E2A"/>
    <w:multiLevelType w:val="hybridMultilevel"/>
    <w:lvl w:ilvl="0">
      <w:lvlJc w:val="left"/>
      <w:lvlText w:val="%1"/>
      <w:numFmt w:val="decimal"/>
      <w:start w:val="1"/>
    </w:lvl>
    <w:lvl w:ilvl="1">
      <w:lvlJc w:val="left"/>
      <w:lvlText w:val="(%2)"/>
      <w:numFmt w:val="lowerLetter"/>
      <w:start w:val="6"/>
    </w:lvl>
  </w:abstractNum>
  <w:abstractNum w:abstractNumId="25">
    <w:nsid w:val="6A2342EC"/>
    <w:multiLevelType w:val="hybridMultilevel"/>
    <w:lvl w:ilvl="0">
      <w:lvlJc w:val="left"/>
      <w:lvlText w:val="%1."/>
      <w:numFmt w:val="decimal"/>
      <w:start w:val="9"/>
    </w:lvl>
    <w:lvl w:ilvl="1">
      <w:lvlJc w:val="left"/>
      <w:lvlText w:val="(%2)"/>
      <w:numFmt w:val="lowerLetter"/>
      <w:start w:val="1"/>
    </w:lvl>
  </w:abstractNum>
  <w:abstractNum w:abstractNumId="26">
    <w:nsid w:val="2A487CB0"/>
    <w:multiLevelType w:val="hybridMultilevel"/>
    <w:lvl w:ilvl="0">
      <w:lvlJc w:val="left"/>
      <w:lvlText w:val="%1"/>
      <w:numFmt w:val="decimal"/>
      <w:start w:val="1"/>
    </w:lvl>
    <w:lvl w:ilvl="1">
      <w:lvlJc w:val="left"/>
      <w:lvlText w:val="(%2)"/>
      <w:numFmt w:val="lowerLetter"/>
      <w:start w:val="3"/>
    </w:lvl>
  </w:abstractNum>
  <w:abstractNum w:abstractNumId="27">
    <w:nsid w:val="1D4ED43B"/>
    <w:multiLevelType w:val="hybridMultilevel"/>
    <w:lvl w:ilvl="0">
      <w:lvlJc w:val="left"/>
      <w:lvlText w:val="%1."/>
      <w:numFmt w:val="decimal"/>
      <w:start w:val="10"/>
    </w:lvl>
    <w:lvl w:ilvl="1">
      <w:lvlJc w:val="left"/>
      <w:lvlText w:val="(%2)"/>
      <w:numFmt w:val="lowerLetter"/>
      <w:start w:val="1"/>
    </w:lvl>
  </w:abstractNum>
  <w:abstractNum w:abstractNumId="28">
    <w:nsid w:val="725A06FB"/>
    <w:multiLevelType w:val="hybridMultilevel"/>
    <w:lvl w:ilvl="0">
      <w:lvlJc w:val="left"/>
      <w:lvlText w:val="%1"/>
      <w:numFmt w:val="decimal"/>
      <w:start w:val="1"/>
    </w:lvl>
    <w:lvl w:ilvl="1">
      <w:lvlJc w:val="left"/>
      <w:lvlText w:val="(%2)"/>
      <w:numFmt w:val="lowerLetter"/>
      <w:start w:val="3"/>
    </w:lvl>
  </w:abstractNum>
  <w:abstractNum w:abstractNumId="29">
    <w:nsid w:val="2CD89A32"/>
    <w:multiLevelType w:val="hybridMultilevel"/>
    <w:lvl w:ilvl="0">
      <w:lvlJc w:val="left"/>
      <w:lvlText w:val="%1."/>
      <w:numFmt w:val="decimal"/>
      <w:start w:val="11"/>
    </w:lvl>
    <w:lvl w:ilvl="1">
      <w:lvlJc w:val="left"/>
      <w:lvlText w:val="(%2)"/>
      <w:numFmt w:val="lowerLetter"/>
      <w:start w:val="1"/>
    </w:lvl>
  </w:abstractNum>
  <w:abstractNum w:abstractNumId="30">
    <w:nsid w:val="57E4CCAF"/>
    <w:multiLevelType w:val="hybridMultilevel"/>
    <w:lvl w:ilvl="0">
      <w:lvlJc w:val="left"/>
      <w:lvlText w:val="%1"/>
      <w:numFmt w:val="lowerLetter"/>
      <w:start w:val="1"/>
    </w:lvl>
    <w:lvl w:ilvl="1">
      <w:lvlJc w:val="left"/>
      <w:lvlText w:val="(%2)"/>
      <w:numFmt w:val="lowerLetter"/>
      <w:start w:val="2"/>
    </w:lvl>
  </w:abstractNum>
  <w:abstractNum w:abstractNumId="31">
    <w:nsid w:val="7A6D8D3C"/>
    <w:multiLevelType w:val="hybridMultilevel"/>
    <w:lvl w:ilvl="0">
      <w:lvlJc w:val="left"/>
      <w:lvlText w:val="(%1)"/>
      <w:numFmt w:val="lowerLetter"/>
      <w:start w:val="61"/>
    </w:lvl>
    <w:lvl w:ilvl="1">
      <w:lvlJc w:val="left"/>
      <w:lvlText w:val="(%2)"/>
      <w:numFmt w:val="lowerLetter"/>
      <w:start w:val="3"/>
    </w:lvl>
  </w:abstractNum>
  <w:abstractNum w:abstractNumId="32">
    <w:nsid w:val="4B588F54"/>
    <w:multiLevelType w:val="hybridMultilevel"/>
    <w:lvl w:ilvl="0">
      <w:lvlJc w:val="left"/>
      <w:lvlText w:val="(%1)"/>
      <w:numFmt w:val="lowerLetter"/>
      <w:start w:val="61"/>
    </w:lvl>
    <w:lvl w:ilvl="1">
      <w:lvlJc w:val="left"/>
      <w:lvlText w:val="%2"/>
      <w:numFmt w:val="lowerLetter"/>
      <w:start w:val="1"/>
    </w:lvl>
  </w:abstractNum>
  <w:abstractNum w:abstractNumId="33">
    <w:nsid w:val="542289EC"/>
    <w:multiLevelType w:val="hybridMultilevel"/>
    <w:lvl w:ilvl="0">
      <w:lvlJc w:val="left"/>
      <w:lvlText w:val="%1"/>
      <w:numFmt w:val="decimal"/>
      <w:start w:val="1"/>
    </w:lvl>
    <w:lvl w:ilvl="1">
      <w:lvlJc w:val="left"/>
      <w:lvlText w:val="(%2)"/>
      <w:numFmt w:val="lowerLetter"/>
      <w:start w:val="4"/>
    </w:lvl>
  </w:abstractNum>
  <w:abstractNum w:abstractNumId="34">
    <w:nsid w:val="6DE91B18"/>
    <w:multiLevelType w:val="hybridMultilevel"/>
    <w:lvl w:ilvl="0">
      <w:lvlJc w:val="left"/>
      <w:lvlText w:val="%1."/>
      <w:numFmt w:val="decimal"/>
      <w:start w:val="12"/>
    </w:lvl>
    <w:lvl w:ilvl="1">
      <w:lvlJc w:val="left"/>
      <w:lvlText w:val="%2"/>
      <w:numFmt w:val="lowerLetter"/>
      <w:start w:val="1"/>
    </w:lvl>
  </w:abstractNum>
  <w:abstractNum w:abstractNumId="35">
    <w:nsid w:val="38437FDB"/>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36">
    <w:nsid w:val="7644A45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7">
    <w:nsid w:val="32FFF902"/>
    <w:multiLevelType w:val="hybridMultilevel"/>
    <w:lvl w:ilvl="0">
      <w:lvlJc w:val="left"/>
      <w:lvlText w:val="%1."/>
      <w:numFmt w:val="decimal"/>
      <w:start w:val="16"/>
    </w:lvl>
    <w:lvl w:ilvl="1">
      <w:lvlJc w:val="left"/>
      <w:lvlText w:val="(%2)"/>
      <w:numFmt w:val="lowerLetter"/>
      <w:start w:val="1"/>
    </w:lvl>
  </w:abstractNum>
  <w:abstractNum w:abstractNumId="38">
    <w:nsid w:val="684A481A"/>
    <w:multiLevelType w:val="hybridMultilevel"/>
    <w:lvl w:ilvl="0">
      <w:lvlJc w:val="left"/>
      <w:lvlText w:val="%1."/>
      <w:numFmt w:val="decimal"/>
      <w:start w:val="19"/>
    </w:lvl>
    <w:lvl w:ilvl="1">
      <w:lvlJc w:val="left"/>
      <w:lvlText w:val="(%2)"/>
      <w:numFmt w:val="lowerLetter"/>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2"/>
    </w:lvl>
  </w:abstractNum>
  <w:abstractNum w:abstractNumId="41">
    <w:nsid w:val="3DC240F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2">
    <w:nsid w:val="1BA026FA"/>
    <w:multiLevelType w:val="hybridMultilevel"/>
    <w:lvl w:ilvl="0">
      <w:lvlJc w:val="left"/>
      <w:lvlText w:val="%1."/>
      <w:numFmt w:val="decimal"/>
      <w:start w:val="7"/>
    </w:lvl>
    <w:lvl w:ilvl="1">
      <w:lvlJc w:val="left"/>
      <w:lvlText w:val="-"/>
      <w:numFmt w:val="bullet"/>
      <w:start w:val="1"/>
    </w:lvl>
  </w:abstractNum>
  <w:abstractNum w:abstractNumId="43">
    <w:nsid w:val="79A1DEAA"/>
    <w:multiLevelType w:val="hybridMultilevel"/>
    <w:lvl w:ilvl="0">
      <w:lvlJc w:val="left"/>
      <w:lvlText w:val="%1."/>
      <w:numFmt w:val="decimal"/>
      <w:start w:val="12"/>
    </w:lvl>
    <w:lvl w:ilvl="1">
      <w:lvlJc w:val="left"/>
      <w:lvlText w:val="-"/>
      <w:numFmt w:val="bullet"/>
      <w:start w:val="1"/>
    </w:lvl>
  </w:abstractNum>
  <w:abstractNum w:abstractNumId="44">
    <w:nsid w:val="75C6C33A"/>
    <w:multiLevelType w:val="hybridMultilevel"/>
    <w:lvl w:ilvl="0">
      <w:lvlJc w:val="left"/>
      <w:lvlText w:val="%1."/>
      <w:numFmt w:val="decimal"/>
      <w:start w:val="19"/>
    </w:lvl>
    <w:lvl w:ilvl="1">
      <w:lvlJc w:val="left"/>
      <w:lvlText w:val="-"/>
      <w:numFmt w:val="bullet"/>
      <w:start w:val="1"/>
    </w:lvl>
  </w:abstractNum>
  <w:abstractNum w:abstractNumId="45">
    <w:nsid w:val="12E685FB"/>
    <w:multiLevelType w:val="hybridMultilevel"/>
    <w:lvl w:ilvl="0">
      <w:lvlJc w:val="left"/>
      <w:lvlText w:val="%1."/>
      <w:numFmt w:val="decimal"/>
      <w:start w:val="2"/>
    </w:lvl>
    <w:lvl w:ilvl="1">
      <w:lvlJc w:val="left"/>
      <w:lvlText w:val="-"/>
      <w:numFmt w:val="bullet"/>
      <w:start w:val="1"/>
    </w:lvl>
  </w:abstractNum>
  <w:abstractNum w:abstractNumId="46">
    <w:nsid w:val="70C6A529"/>
    <w:multiLevelType w:val="hybridMultilevel"/>
    <w:lvl w:ilvl="0">
      <w:lvlJc w:val="left"/>
      <w:lvlText w:val="%1."/>
      <w:numFmt w:val="decimal"/>
      <w:start w:val="6"/>
    </w:lvl>
  </w:abstractNum>
  <w:abstractNum w:abstractNumId="47">
    <w:nsid w:val="520EEDD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8">
    <w:nsid w:val="374A3FE6"/>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49">
    <w:nsid w:val="4F4EF00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0">
    <w:nsid w:val="23F9C13C"/>
    <w:multiLevelType w:val="hybridMultilevel"/>
    <w:lvl w:ilvl="0">
      <w:lvlJc w:val="left"/>
      <w:lvlText w:val="%1."/>
      <w:numFmt w:val="decimal"/>
      <w:start w:val="7"/>
    </w:lvl>
    <w:lvl w:ilvl="1">
      <w:lvlJc w:val="left"/>
      <w:lvlText w:val="-"/>
      <w:numFmt w:val="bullet"/>
      <w:start w:val="1"/>
    </w:lvl>
  </w:abstractNum>
  <w:abstractNum w:abstractNumId="51">
    <w:nsid w:val="649BB77C"/>
    <w:multiLevelType w:val="hybridMultilevel"/>
    <w:lvl w:ilvl="0">
      <w:lvlJc w:val="left"/>
      <w:lvlText w:val="%1."/>
      <w:numFmt w:val="decimal"/>
      <w:start w:val="11"/>
    </w:lvl>
    <w:lvl w:ilvl="1">
      <w:lvlJc w:val="left"/>
      <w:lvlText w:val="-"/>
      <w:numFmt w:val="bullet"/>
      <w:start w:val="1"/>
    </w:lvl>
  </w:abstractNum>
  <w:abstractNum w:abstractNumId="52">
    <w:nsid w:val="275AC794"/>
    <w:multiLevelType w:val="hybridMultilevel"/>
    <w:lvl w:ilvl="0">
      <w:lvlJc w:val="left"/>
      <w:lvlText w:val="%1."/>
      <w:numFmt w:val="decimal"/>
      <w:start w:val="17"/>
    </w:lvl>
    <w:lvl w:ilvl="1">
      <w:lvlJc w:val="left"/>
      <w:lvlText w:val="-"/>
      <w:numFmt w:val="bullet"/>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5"/>
    </w:lvl>
    <w:lvl w:ilvl="1">
      <w:lvlJc w:val="left"/>
      <w:lvlText w:val="-"/>
      <w:numFmt w:val="bullet"/>
      <w:start w:val="1"/>
    </w:lvl>
  </w:abstractNum>
  <w:abstractNum w:abstractNumId="55">
    <w:nsid w:val="180115BE"/>
    <w:multiLevelType w:val="hybridMultilevel"/>
    <w:lvl w:ilvl="0">
      <w:lvlJc w:val="left"/>
      <w:lvlText w:val="%1."/>
      <w:numFmt w:val="decimal"/>
      <w:start w:val="9"/>
    </w:lvl>
  </w:abstractNum>
  <w:abstractNum w:abstractNumId="56">
    <w:nsid w:val="235BA861"/>
    <w:multiLevelType w:val="hybridMultilevel"/>
    <w:lvl w:ilvl="0">
      <w:lvlJc w:val="left"/>
      <w:lvlText w:val="%1."/>
      <w:numFmt w:val="decimal"/>
      <w:start w:val="15"/>
    </w:lvl>
    <w:lvl w:ilvl="1">
      <w:lvlJc w:val="left"/>
      <w:lvlText w:val="-"/>
      <w:numFmt w:val="bullet"/>
      <w:start w:val="1"/>
    </w:lvl>
  </w:abstractNum>
  <w:abstractNum w:abstractNumId="57">
    <w:nsid w:val="47398C89"/>
    <w:multiLevelType w:val="hybridMultilevel"/>
    <w:lvl w:ilvl="0">
      <w:lvlJc w:val="left"/>
      <w:lvlText w:val="%1."/>
      <w:numFmt w:val="decimal"/>
      <w:start w:val="18"/>
    </w:lvl>
  </w:abstractNum>
  <w:abstractNum w:abstractNumId="58">
    <w:nsid w:val="354FE9F9"/>
    <w:multiLevelType w:val="hybridMultilevel"/>
    <w:lvl w:ilvl="0">
      <w:lvlJc w:val="left"/>
      <w:lvlText w:val="%1."/>
      <w:numFmt w:val="decimal"/>
      <w:start w:val="2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2019-12-10T16:13:27Z</dcterms:created>
  <dcterms:modified xsi:type="dcterms:W3CDTF">2019-12-10T16:13:27Z</dcterms:modified>
</cp:coreProperties>
</file>