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740" w:right="2319" w:hanging="210"/>
        <w:spacing w:after="0" w:line="268" w:lineRule="auto"/>
        <w:rPr>
          <w:sz w:val="20"/>
          <w:szCs w:val="20"/>
          <w:color w:val="auto"/>
        </w:rPr>
      </w:pPr>
      <w:r>
        <w:rPr>
          <w:rFonts w:ascii="Courier New" w:cs="Courier New" w:eastAsia="Courier New" w:hAnsi="Courier New"/>
          <w:sz w:val="16"/>
          <w:szCs w:val="16"/>
          <w:color w:val="auto"/>
        </w:rPr>
        <w:t>INFORMATION TO BE INCLUDED IN STATEMENTS FILED PURSUANT TO RULES 13d-1 (b), (c) AND (d) AND AMENDMENTS THERETO FILED PURSUANT TO 13d-2 (b)</w:t>
      </w:r>
    </w:p>
    <w:p>
      <w:pPr>
        <w:ind w:left="3060"/>
        <w:spacing w:after="0" w:line="233" w:lineRule="auto"/>
        <w:rPr>
          <w:sz w:val="20"/>
          <w:szCs w:val="20"/>
          <w:color w:val="auto"/>
        </w:rPr>
      </w:pPr>
      <w:r>
        <w:rPr>
          <w:rFonts w:ascii="Courier New" w:cs="Courier New" w:eastAsia="Courier New" w:hAnsi="Courier New"/>
          <w:sz w:val="18"/>
          <w:szCs w:val="18"/>
          <w:color w:val="auto"/>
        </w:rPr>
        <w:t>(Amendment No._______)*</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Active Power,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00504W100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6" w:lineRule="exact"/>
        <w:rPr>
          <w:rFonts w:ascii="Courier New" w:cs="Courier New" w:eastAsia="Courier New" w:hAnsi="Courier New"/>
          <w:sz w:val="18"/>
          <w:szCs w:val="18"/>
          <w:color w:val="auto"/>
        </w:rPr>
      </w:pPr>
    </w:p>
    <w:p>
      <w:pPr>
        <w:jc w:val="both"/>
        <w:ind w:left="540" w:right="7899" w:hanging="5"/>
        <w:spacing w:after="0" w:line="536" w:lineRule="auto"/>
        <w:tabs>
          <w:tab w:leader="none" w:pos="75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[X] Rule 13d-1(d)</w:t>
      </w:r>
    </w:p>
    <w:p>
      <w:pPr>
        <w:spacing w:after="0" w:line="1"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Page 1 of 15</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Exhibit Index on Page 13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00504W100</w:t>
            </w:r>
          </w:p>
        </w:tc>
        <w:tc>
          <w:tcPr>
            <w:tcW w:w="1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2 of 15</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1" w:lineRule="exact"/>
        <w:rPr>
          <w:rFonts w:ascii="Courier New" w:cs="Courier New" w:eastAsia="Courier New" w:hAnsi="Courier New"/>
          <w:sz w:val="16"/>
          <w:szCs w:val="16"/>
          <w:color w:val="auto"/>
        </w:rPr>
      </w:pPr>
    </w:p>
    <w:p>
      <w:pPr>
        <w:ind w:left="6020" w:hanging="429"/>
        <w:spacing w:after="0"/>
        <w:tabs>
          <w:tab w:leader="none" w:pos="60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ectPr>
          <w:pgSz w:w="11900" w:h="16838" w:orient="portrait"/>
          <w:cols w:equalWidth="0" w:num="1">
            <w:col w:w="10219"/>
          </w:cols>
          <w:pgMar w:left="240" w:top="649" w:right="1440" w:bottom="0" w:gutter="0" w:footer="0" w:header="0"/>
        </w:sectPr>
      </w:pPr>
    </w:p>
    <w:bookmarkStart w:id="1" w:name="page2"/>
    <w:bookmarkEnd w:id="1"/>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9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6"/>
              </w:rPr>
              <w:t>NUMBER OF</w:t>
            </w:r>
          </w:p>
        </w:tc>
        <w:tc>
          <w:tcPr>
            <w:tcW w:w="900" w:type="dxa"/>
            <w:vAlign w:val="bottom"/>
          </w:tcPr>
          <w:p>
            <w:pPr>
              <w:ind w:left="580"/>
              <w:spacing w:after="0"/>
              <w:rPr>
                <w:sz w:val="20"/>
                <w:szCs w:val="20"/>
                <w:color w:val="auto"/>
              </w:rPr>
            </w:pPr>
            <w:r>
              <w:rPr>
                <w:rFonts w:ascii="Courier New" w:cs="Courier New" w:eastAsia="Courier New" w:hAnsi="Courier New"/>
                <w:sz w:val="18"/>
                <w:szCs w:val="18"/>
                <w:color w:val="auto"/>
              </w:rPr>
              <w:t>5</w:t>
            </w: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883,644 shares, except that AV Partners IV,</w:t>
            </w:r>
          </w:p>
        </w:tc>
      </w:tr>
      <w:tr>
        <w:trPr>
          <w:trHeight w:val="203"/>
        </w:trPr>
        <w:tc>
          <w:tcPr>
            <w:tcW w:w="19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L.P. ("AVP IV"), the general partner of AV</w:t>
            </w:r>
          </w:p>
        </w:tc>
      </w:tr>
      <w:tr>
        <w:trPr>
          <w:trHeight w:val="203"/>
        </w:trPr>
        <w:tc>
          <w:tcPr>
            <w:tcW w:w="19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IV-A, may be deemed to have sole power to</w:t>
            </w: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vote these shares, and Joseph C. Aragona</w:t>
            </w: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("Arogona"), Kenneth P. DeAngelis</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("DeAngelis"), Jeffery C. Garvey ("Garvey)</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William P. Wood ("Wood"), the general</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partners of AVP IV, may be deemed to have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power to vote these shares.</w:t>
            </w: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See response to row 5.</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hanging="532"/>
        <w:spacing w:after="0"/>
        <w:tabs>
          <w:tab w:leader="none" w:pos="3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5" w:lineRule="exact"/>
        <w:rPr>
          <w:rFonts w:ascii="Courier New" w:cs="Courier New" w:eastAsia="Courier New" w:hAnsi="Courier New"/>
          <w:sz w:val="18"/>
          <w:szCs w:val="18"/>
          <w:color w:val="auto"/>
        </w:rPr>
      </w:pPr>
    </w:p>
    <w:p>
      <w:pPr>
        <w:ind w:left="3700"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883,644 shares, except that AVP IV, the general partner of AV IV-A, may be deemed to have sole power to dispose of these shares, and Aragona, DeAngelis, Garvey and Wood, the</w:t>
      </w:r>
    </w:p>
    <w:p>
      <w:pPr>
        <w:ind w:left="3700"/>
        <w:spacing w:after="0" w:line="234" w:lineRule="auto"/>
        <w:rPr>
          <w:sz w:val="20"/>
          <w:szCs w:val="20"/>
          <w:color w:val="auto"/>
        </w:rPr>
      </w:pPr>
      <w:r>
        <w:rPr>
          <w:rFonts w:ascii="Courier New" w:cs="Courier New" w:eastAsia="Courier New" w:hAnsi="Courier New"/>
          <w:sz w:val="18"/>
          <w:szCs w:val="18"/>
          <w:color w:val="auto"/>
        </w:rPr>
        <w:t>general partners of AVP IV, may be deemed to</w:t>
      </w:r>
    </w:p>
    <w:p>
      <w:pPr>
        <w:ind w:left="3700"/>
        <w:spacing w:after="0" w:line="238" w:lineRule="auto"/>
        <w:rPr>
          <w:sz w:val="20"/>
          <w:szCs w:val="20"/>
          <w:color w:val="auto"/>
        </w:rPr>
      </w:pPr>
      <w:r>
        <w:rPr>
          <w:rFonts w:ascii="Courier New" w:cs="Courier New" w:eastAsia="Courier New" w:hAnsi="Courier New"/>
          <w:sz w:val="18"/>
          <w:szCs w:val="18"/>
          <w:color w:val="auto"/>
        </w:rPr>
        <w:t>have shared power to dispose of these shares.</w:t>
      </w:r>
    </w:p>
    <w:p>
      <w:pPr>
        <w:ind w:left="3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3700" w:right="3999" w:hanging="532"/>
        <w:spacing w:after="0" w:line="402" w:lineRule="auto"/>
        <w:tabs>
          <w:tab w:leader="none" w:pos="370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See response to row 7.</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6640"/>
        <w:spacing w:after="0"/>
        <w:rPr>
          <w:sz w:val="20"/>
          <w:szCs w:val="20"/>
          <w:color w:val="auto"/>
        </w:rPr>
      </w:pPr>
      <w:r>
        <w:rPr>
          <w:rFonts w:ascii="Courier New" w:cs="Courier New" w:eastAsia="Courier New" w:hAnsi="Courier New"/>
          <w:sz w:val="18"/>
          <w:szCs w:val="18"/>
          <w:color w:val="auto"/>
        </w:rPr>
        <w:t>883,644</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2.28%</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34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00504W100</w:t>
            </w:r>
          </w:p>
        </w:tc>
        <w:tc>
          <w:tcPr>
            <w:tcW w:w="1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3 of 15</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1" w:lineRule="exact"/>
        <w:rPr>
          <w:rFonts w:ascii="Courier New" w:cs="Courier New" w:eastAsia="Courier New" w:hAnsi="Courier New"/>
          <w:sz w:val="16"/>
          <w:szCs w:val="16"/>
          <w:color w:val="auto"/>
        </w:rPr>
      </w:pPr>
    </w:p>
    <w:p>
      <w:pPr>
        <w:ind w:left="6020" w:hanging="429"/>
        <w:spacing w:after="0"/>
        <w:tabs>
          <w:tab w:leader="none" w:pos="60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9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6"/>
              </w:rPr>
              <w:t>NUMBER OF</w:t>
            </w:r>
          </w:p>
        </w:tc>
        <w:tc>
          <w:tcPr>
            <w:tcW w:w="900" w:type="dxa"/>
            <w:vAlign w:val="bottom"/>
          </w:tcPr>
          <w:p>
            <w:pPr>
              <w:ind w:left="580"/>
              <w:spacing w:after="0"/>
              <w:rPr>
                <w:sz w:val="20"/>
                <w:szCs w:val="20"/>
                <w:color w:val="auto"/>
              </w:rPr>
            </w:pPr>
            <w:r>
              <w:rPr>
                <w:rFonts w:ascii="Courier New" w:cs="Courier New" w:eastAsia="Courier New" w:hAnsi="Courier New"/>
                <w:sz w:val="18"/>
                <w:szCs w:val="18"/>
                <w:color w:val="auto"/>
              </w:rPr>
              <w:t>5</w:t>
            </w: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1,853,881 shares, except that AVP IV, the</w:t>
            </w:r>
          </w:p>
        </w:tc>
      </w:tr>
      <w:tr>
        <w:trPr>
          <w:trHeight w:val="203"/>
        </w:trPr>
        <w:tc>
          <w:tcPr>
            <w:tcW w:w="19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general partner of AV IV-B, may be deemed to</w:t>
            </w:r>
          </w:p>
        </w:tc>
      </w:tr>
      <w:tr>
        <w:trPr>
          <w:trHeight w:val="203"/>
        </w:trPr>
        <w:tc>
          <w:tcPr>
            <w:tcW w:w="19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have sole power to vote these shares, and</w:t>
            </w: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Aragona, DeAngelis, Garvey and Wood, the</w:t>
            </w: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general partners of AVP IV, may be deemed to</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have shared power to vote these shares.</w:t>
            </w: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See response to row 5.</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hanging="532"/>
        <w:spacing w:after="0"/>
        <w:tabs>
          <w:tab w:leader="none" w:pos="3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205" w:lineRule="exact"/>
        <w:rPr>
          <w:rFonts w:ascii="Courier New" w:cs="Courier New" w:eastAsia="Courier New" w:hAnsi="Courier New"/>
          <w:sz w:val="18"/>
          <w:szCs w:val="18"/>
          <w:color w:val="auto"/>
        </w:rPr>
      </w:pPr>
    </w:p>
    <w:p>
      <w:pPr>
        <w:ind w:left="3700"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1,853,881 shares, except that AVP IV, the general partner of AV IV-B, may be deemed to have sole power to dispose of these shares, and Aragona, DeAngelis, Garvey and Wood, the general partners of AVP IV, may be deemed to</w:t>
      </w:r>
    </w:p>
    <w:p>
      <w:pPr>
        <w:ind w:left="3700"/>
        <w:spacing w:after="0" w:line="234" w:lineRule="auto"/>
        <w:rPr>
          <w:sz w:val="20"/>
          <w:szCs w:val="20"/>
          <w:color w:val="auto"/>
        </w:rPr>
      </w:pPr>
      <w:r>
        <w:rPr>
          <w:rFonts w:ascii="Courier New" w:cs="Courier New" w:eastAsia="Courier New" w:hAnsi="Courier New"/>
          <w:sz w:val="18"/>
          <w:szCs w:val="18"/>
          <w:color w:val="auto"/>
        </w:rPr>
        <w:t>have shared power to dispose of these shares.</w:t>
      </w:r>
    </w:p>
    <w:p>
      <w:pPr>
        <w:ind w:left="31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3700" w:right="3999" w:hanging="532"/>
        <w:spacing w:after="0" w:line="402" w:lineRule="auto"/>
        <w:tabs>
          <w:tab w:leader="none" w:pos="370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See response to row 7.</w:t>
      </w: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1,853,881</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4.78%</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PN</w:t>
      </w:r>
    </w:p>
    <w:p>
      <w:pPr>
        <w:spacing w:after="0" w:line="4"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1440" w:gutter="0" w:footer="0" w:header="0"/>
        </w:sectPr>
      </w:pPr>
    </w:p>
    <w:bookmarkStart w:id="3" w:name="page4"/>
    <w:bookmarkEnd w:id="3"/>
    <w:p>
      <w:pPr>
        <w:spacing w:after="0" w:line="193" w:lineRule="auto"/>
        <w:framePr w:w="8720" w:h="146" w:wrap="auto" w:vAnchor="page" w:hAnchor="page" w:x="200" w:y="1939"/>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200" w:h="146" w:wrap="auto" w:vAnchor="page" w:hAnchor="page" w:x="200" w:y="2141"/>
        <w:rPr>
          <w:rFonts w:ascii="Courier New" w:cs="Courier New" w:eastAsia="Courier New" w:hAnsi="Courier New"/>
          <w:sz w:val="16"/>
          <w:szCs w:val="16"/>
          <w:color w:val="auto"/>
        </w:rPr>
      </w:pPr>
      <w:r>
        <w:rPr>
          <w:rFonts w:ascii="Courier New" w:cs="Courier New" w:eastAsia="Courier New" w:hAnsi="Courier New"/>
          <w:sz w:val="16"/>
          <w:szCs w:val="16"/>
          <w:color w:val="auto"/>
        </w:rPr>
        <w:t>1</w:t>
      </w:r>
    </w:p>
    <w:p>
      <w:pPr>
        <w:spacing w:after="0" w:line="193" w:lineRule="auto"/>
        <w:framePr w:w="1860" w:h="146" w:wrap="auto" w:vAnchor="page" w:hAnchor="page" w:x="740" w:y="2141"/>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w:t>
      </w:r>
    </w:p>
    <w:p>
      <w:pPr>
        <w:spacing w:after="0" w:line="205" w:lineRule="auto"/>
        <w:framePr w:w="5020" w:h="349" w:wrap="auto" w:vAnchor="page" w:hAnchor="page" w:x="740" w:y="2344"/>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AV Partners IV, L.P. ("AVP IV")</w:t>
      </w:r>
    </w:p>
    <w:p>
      <w:pPr>
        <w:spacing w:after="0" w:line="193" w:lineRule="auto"/>
        <w:framePr w:w="1560" w:h="146" w:wrap="auto" w:vAnchor="page" w:hAnchor="page" w:x="1360" w:y="2749"/>
        <w:rPr>
          <w:rFonts w:ascii="Courier New" w:cs="Courier New" w:eastAsia="Courier New" w:hAnsi="Courier New"/>
          <w:sz w:val="16"/>
          <w:szCs w:val="16"/>
          <w:color w:val="auto"/>
        </w:rPr>
      </w:pPr>
      <w:r>
        <w:rPr>
          <w:rFonts w:ascii="Courier New" w:cs="Courier New" w:eastAsia="Courier New" w:hAnsi="Courier New"/>
          <w:sz w:val="16"/>
          <w:szCs w:val="16"/>
          <w:color w:val="auto"/>
        </w:rPr>
        <w:t>Tax ID Number:</w:t>
      </w:r>
    </w:p>
    <w:p>
      <w:pPr>
        <w:spacing w:after="0" w:line="193" w:lineRule="auto"/>
        <w:framePr w:w="8720" w:h="146" w:wrap="auto" w:vAnchor="page" w:hAnchor="page" w:x="200" w:y="2951"/>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200" w:h="146" w:wrap="auto" w:vAnchor="page" w:hAnchor="page" w:x="200" w:y="3154"/>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spacing w:after="0" w:line="193" w:lineRule="auto"/>
        <w:framePr w:w="5240" w:h="146" w:wrap="auto" w:vAnchor="page" w:hAnchor="page" w:x="740" w:y="3154"/>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pacing w:after="0" w:line="193" w:lineRule="auto"/>
        <w:framePr w:w="1860" w:h="146" w:wrap="auto" w:vAnchor="page" w:hAnchor="page" w:x="5800" w:y="3559"/>
        <w:rPr>
          <w:rFonts w:ascii="Courier New" w:cs="Courier New" w:eastAsia="Courier New" w:hAnsi="Courier New"/>
          <w:sz w:val="16"/>
          <w:szCs w:val="16"/>
          <w:color w:val="auto"/>
        </w:rPr>
      </w:pPr>
      <w:r>
        <w:rPr>
          <w:rFonts w:ascii="Courier New" w:cs="Courier New" w:eastAsia="Courier New" w:hAnsi="Courier New"/>
          <w:sz w:val="16"/>
          <w:szCs w:val="16"/>
          <w:color w:val="auto"/>
        </w:rPr>
        <w:t>(a) [ ]   (b) [X]</w:t>
      </w:r>
    </w:p>
    <w:p>
      <w:pPr>
        <w:spacing w:after="0" w:line="193" w:lineRule="auto"/>
        <w:framePr w:w="8720" w:h="146" w:wrap="auto" w:vAnchor="page" w:hAnchor="page" w:x="200" w:y="3762"/>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200" w:h="146" w:wrap="auto" w:vAnchor="page" w:hAnchor="page" w:x="200" w:y="3964"/>
        <w:rPr>
          <w:rFonts w:ascii="Courier New" w:cs="Courier New" w:eastAsia="Courier New" w:hAnsi="Courier New"/>
          <w:sz w:val="16"/>
          <w:szCs w:val="16"/>
          <w:color w:val="auto"/>
        </w:rPr>
      </w:pPr>
      <w:r>
        <w:rPr>
          <w:rFonts w:ascii="Courier New" w:cs="Courier New" w:eastAsia="Courier New" w:hAnsi="Courier New"/>
          <w:sz w:val="16"/>
          <w:szCs w:val="16"/>
          <w:color w:val="auto"/>
        </w:rPr>
        <w:t>3</w:t>
      </w:r>
    </w:p>
    <w:p>
      <w:pPr>
        <w:spacing w:after="0" w:line="193" w:lineRule="auto"/>
        <w:framePr w:w="1340" w:h="146" w:wrap="auto" w:vAnchor="page" w:hAnchor="page" w:x="740" w:y="3964"/>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93" w:lineRule="auto"/>
        <w:framePr w:w="8720" w:h="146" w:wrap="auto" w:vAnchor="page" w:hAnchor="page" w:x="200" w:y="4572"/>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200" w:h="146" w:wrap="auto" w:vAnchor="page" w:hAnchor="page" w:x="200" w:y="4775"/>
        <w:rPr>
          <w:rFonts w:ascii="Courier New" w:cs="Courier New" w:eastAsia="Courier New" w:hAnsi="Courier New"/>
          <w:sz w:val="16"/>
          <w:szCs w:val="16"/>
          <w:color w:val="auto"/>
        </w:rPr>
      </w:pPr>
      <w:r>
        <w:rPr>
          <w:rFonts w:ascii="Courier New" w:cs="Courier New" w:eastAsia="Courier New" w:hAnsi="Courier New"/>
          <w:sz w:val="16"/>
          <w:szCs w:val="16"/>
          <w:color w:val="auto"/>
        </w:rPr>
        <w:t>4</w:t>
      </w:r>
    </w:p>
    <w:p>
      <w:pPr>
        <w:spacing w:after="0" w:line="193" w:lineRule="auto"/>
        <w:framePr w:w="3860" w:h="146" w:wrap="auto" w:vAnchor="page" w:hAnchor="page" w:x="740" w:y="4775"/>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w:t>
      </w:r>
    </w:p>
    <w:p>
      <w:pPr>
        <w:spacing w:after="0" w:line="193" w:lineRule="auto"/>
        <w:framePr w:w="920" w:h="146" w:wrap="auto" w:vAnchor="page" w:hAnchor="page" w:x="740" w:y="5180"/>
        <w:rPr>
          <w:rFonts w:ascii="Courier New" w:cs="Courier New" w:eastAsia="Courier New" w:hAnsi="Courier New"/>
          <w:sz w:val="16"/>
          <w:szCs w:val="16"/>
          <w:color w:val="auto"/>
        </w:rPr>
      </w:pPr>
      <w:r>
        <w:rPr>
          <w:rFonts w:ascii="Courier New" w:cs="Courier New" w:eastAsia="Courier New" w:hAnsi="Courier New"/>
          <w:sz w:val="16"/>
          <w:szCs w:val="16"/>
          <w:color w:val="auto"/>
        </w:rPr>
        <w:t>Delaware</w:t>
      </w:r>
    </w:p>
    <w:p>
      <w:pPr>
        <w:spacing w:after="0" w:line="193" w:lineRule="auto"/>
        <w:framePr w:w="8720" w:h="146" w:wrap="auto" w:vAnchor="page" w:hAnchor="page" w:x="200" w:y="5382"/>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1020" w:h="146" w:wrap="auto" w:vAnchor="page" w:hAnchor="page" w:x="1060" w:y="5585"/>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w:t>
      </w:r>
    </w:p>
    <w:p>
      <w:pPr>
        <w:spacing w:after="0" w:line="193" w:lineRule="auto"/>
        <w:framePr w:w="4500" w:h="349" w:wrap="auto" w:vAnchor="page" w:hAnchor="page" w:x="1260" w:y="5585"/>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 SHARES</w:t>
      </w:r>
    </w:p>
    <w:p>
      <w:pPr>
        <w:spacing w:after="0" w:line="193" w:lineRule="auto"/>
        <w:framePr w:w="1340" w:h="146" w:wrap="auto" w:vAnchor="page" w:hAnchor="page" w:x="940" w:y="5990"/>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BENEFICIALLY</w:t>
      </w:r>
    </w:p>
    <w:p>
      <w:pPr>
        <w:spacing w:after="0" w:line="193" w:lineRule="auto"/>
        <w:framePr w:w="4080" w:h="146" w:wrap="auto" w:vAnchor="page" w:hAnchor="page" w:x="3900" w:y="5990"/>
        <w:rPr>
          <w:rFonts w:ascii="Courier New" w:cs="Courier New" w:eastAsia="Courier New" w:hAnsi="Courier New"/>
          <w:sz w:val="16"/>
          <w:szCs w:val="16"/>
          <w:color w:val="auto"/>
        </w:rPr>
      </w:pPr>
      <w:r>
        <w:rPr>
          <w:rFonts w:ascii="Courier New" w:cs="Courier New" w:eastAsia="Courier New" w:hAnsi="Courier New"/>
          <w:sz w:val="16"/>
          <w:szCs w:val="16"/>
          <w:color w:val="auto"/>
        </w:rPr>
        <w:t>2,737,525 shares, of which 883,644 are</w:t>
      </w:r>
    </w:p>
    <w:p>
      <w:pPr>
        <w:spacing w:after="0" w:line="193" w:lineRule="auto"/>
        <w:framePr w:w="1440" w:h="146" w:wrap="auto" w:vAnchor="page" w:hAnchor="page" w:x="840" w:y="6193"/>
        <w:rPr>
          <w:rFonts w:ascii="Courier New" w:cs="Courier New" w:eastAsia="Courier New" w:hAnsi="Courier New"/>
          <w:sz w:val="16"/>
          <w:szCs w:val="16"/>
          <w:color w:val="auto"/>
        </w:rPr>
      </w:pPr>
      <w:r>
        <w:rPr>
          <w:rFonts w:ascii="Courier New" w:cs="Courier New" w:eastAsia="Courier New" w:hAnsi="Courier New"/>
          <w:sz w:val="16"/>
          <w:szCs w:val="16"/>
          <w:color w:val="auto"/>
        </w:rPr>
        <w:t>OWNED BY EACH</w:t>
      </w:r>
    </w:p>
    <w:p>
      <w:pPr>
        <w:spacing w:after="0" w:line="193" w:lineRule="auto"/>
        <w:framePr w:w="4600" w:h="146" w:wrap="auto" w:vAnchor="page" w:hAnchor="page" w:x="3900" w:y="6193"/>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owned by AV IV-A and 1,853,881 are</w:t>
      </w:r>
    </w:p>
    <w:p>
      <w:pPr>
        <w:spacing w:after="0" w:line="193" w:lineRule="auto"/>
        <w:framePr w:w="1020" w:h="146" w:wrap="auto" w:vAnchor="page" w:hAnchor="page" w:x="1060" w:y="6395"/>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w:t>
      </w:r>
    </w:p>
    <w:p>
      <w:pPr>
        <w:spacing w:after="0" w:line="193" w:lineRule="auto"/>
        <w:framePr w:w="4080" w:h="146" w:wrap="auto" w:vAnchor="page" w:hAnchor="page" w:x="3900" w:y="6395"/>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owned by AV IV-B. AVP IV, the</w:t>
      </w:r>
    </w:p>
    <w:p>
      <w:pPr>
        <w:spacing w:after="0" w:line="193" w:lineRule="auto"/>
        <w:framePr w:w="720" w:h="146" w:wrap="auto" w:vAnchor="page" w:hAnchor="page" w:x="1260" w:y="6598"/>
        <w:rPr>
          <w:rFonts w:ascii="Courier New" w:cs="Courier New" w:eastAsia="Courier New" w:hAnsi="Courier New"/>
          <w:sz w:val="16"/>
          <w:szCs w:val="16"/>
          <w:color w:val="auto"/>
        </w:rPr>
      </w:pPr>
      <w:r>
        <w:rPr>
          <w:rFonts w:ascii="Courier New" w:cs="Courier New" w:eastAsia="Courier New" w:hAnsi="Courier New"/>
          <w:sz w:val="16"/>
          <w:szCs w:val="16"/>
          <w:color w:val="auto"/>
        </w:rPr>
        <w:t>PERSON</w:t>
      </w:r>
    </w:p>
    <w:p>
      <w:pPr>
        <w:spacing w:after="0" w:line="193" w:lineRule="auto"/>
        <w:framePr w:w="4600" w:h="146" w:wrap="auto" w:vAnchor="page" w:hAnchor="page" w:x="3900" w:y="6598"/>
        <w:rPr>
          <w:rFonts w:ascii="Courier New" w:cs="Courier New" w:eastAsia="Courier New" w:hAnsi="Courier New"/>
          <w:sz w:val="16"/>
          <w:szCs w:val="16"/>
          <w:color w:val="auto"/>
        </w:rPr>
      </w:pPr>
      <w:r>
        <w:rPr>
          <w:rFonts w:ascii="Courier New" w:cs="Courier New" w:eastAsia="Courier New" w:hAnsi="Courier New"/>
          <w:sz w:val="16"/>
          <w:szCs w:val="16"/>
          <w:color w:val="auto"/>
        </w:rPr>
        <w:t>general partner of AV IV-A and AV IV-B, may</w:t>
      </w:r>
    </w:p>
    <w:p>
      <w:pPr>
        <w:spacing w:after="0" w:line="225" w:lineRule="auto"/>
        <w:framePr w:w="500" w:h="146" w:wrap="auto" w:vAnchor="page" w:hAnchor="page" w:x="1360" w:y="6800"/>
        <w:rPr>
          <w:rFonts w:ascii="Courier New" w:cs="Courier New" w:eastAsia="Courier New" w:hAnsi="Courier New"/>
          <w:sz w:val="18"/>
          <w:szCs w:val="18"/>
          <w:color w:val="auto"/>
        </w:rPr>
      </w:pPr>
      <w:r>
        <w:rPr>
          <w:rFonts w:ascii="Courier New" w:cs="Courier New" w:eastAsia="Courier New" w:hAnsi="Courier New"/>
          <w:sz w:val="18"/>
          <w:szCs w:val="18"/>
          <w:color w:val="auto"/>
        </w:rPr>
        <w:t>WITH</w:t>
      </w:r>
    </w:p>
    <w:p>
      <w:pPr>
        <w:spacing w:after="0" w:line="225" w:lineRule="auto"/>
        <w:framePr w:w="4720" w:h="957" w:wrap="auto" w:vAnchor="page" w:hAnchor="page" w:x="3900" w:y="6800"/>
        <w:rPr>
          <w:rFonts w:ascii="Courier New" w:cs="Courier New" w:eastAsia="Courier New" w:hAnsi="Courier New"/>
          <w:sz w:val="18"/>
          <w:szCs w:val="18"/>
          <w:color w:val="auto"/>
        </w:rPr>
      </w:pPr>
      <w:r>
        <w:rPr>
          <w:rFonts w:ascii="Courier New" w:cs="Courier New" w:eastAsia="Courier New" w:hAnsi="Courier New"/>
          <w:sz w:val="18"/>
          <w:szCs w:val="18"/>
          <w:color w:val="auto"/>
        </w:rPr>
        <w:t>be deemed to have sole power to vote these shares, and Aragona, DeAngelis, Garvey and Wood, the general partners of AVP IV, may be deemed to have shared power to vote these shares.</w:t>
      </w:r>
    </w:p>
    <w:p>
      <w:pPr>
        <w:spacing w:after="0" w:line="193" w:lineRule="auto"/>
        <w:framePr w:w="5360" w:h="146" w:wrap="auto" w:vAnchor="page" w:hAnchor="page" w:x="3360" w:y="7813"/>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200" w:h="146" w:wrap="auto" w:vAnchor="page" w:hAnchor="page" w:x="3360" w:y="8016"/>
        <w:rPr>
          <w:rFonts w:ascii="Courier New" w:cs="Courier New" w:eastAsia="Courier New" w:hAnsi="Courier New"/>
          <w:sz w:val="16"/>
          <w:szCs w:val="16"/>
          <w:color w:val="auto"/>
        </w:rPr>
      </w:pPr>
      <w:r>
        <w:rPr>
          <w:rFonts w:ascii="Courier New" w:cs="Courier New" w:eastAsia="Courier New" w:hAnsi="Courier New"/>
          <w:sz w:val="16"/>
          <w:szCs w:val="16"/>
          <w:color w:val="auto"/>
        </w:rPr>
        <w:t>6</w:t>
      </w:r>
    </w:p>
    <w:p>
      <w:pPr>
        <w:spacing w:after="0" w:line="193" w:lineRule="auto"/>
        <w:framePr w:w="2080" w:h="146" w:wrap="auto" w:vAnchor="page" w:hAnchor="page" w:x="3900" w:y="8016"/>
        <w:rPr>
          <w:rFonts w:ascii="Courier New" w:cs="Courier New" w:eastAsia="Courier New" w:hAnsi="Courier New"/>
          <w:sz w:val="16"/>
          <w:szCs w:val="16"/>
          <w:color w:val="auto"/>
        </w:rPr>
      </w:pPr>
      <w:r>
        <w:rPr>
          <w:rFonts w:ascii="Courier New" w:cs="Courier New" w:eastAsia="Courier New" w:hAnsi="Courier New"/>
          <w:sz w:val="16"/>
          <w:szCs w:val="16"/>
          <w:color w:val="auto"/>
        </w:rPr>
        <w:t>SHARED VOTING POWER</w:t>
      </w:r>
    </w:p>
    <w:p>
      <w:pPr>
        <w:spacing w:after="0" w:line="193" w:lineRule="auto"/>
        <w:framePr w:w="2400" w:h="146" w:wrap="auto" w:vAnchor="page" w:hAnchor="page" w:x="3900" w:y="8421"/>
        <w:rPr>
          <w:rFonts w:ascii="Courier New" w:cs="Courier New" w:eastAsia="Courier New" w:hAnsi="Courier New"/>
          <w:sz w:val="16"/>
          <w:szCs w:val="16"/>
          <w:color w:val="auto"/>
        </w:rPr>
      </w:pPr>
      <w:r>
        <w:rPr>
          <w:rFonts w:ascii="Courier New" w:cs="Courier New" w:eastAsia="Courier New" w:hAnsi="Courier New"/>
          <w:sz w:val="16"/>
          <w:szCs w:val="16"/>
          <w:color w:val="auto"/>
        </w:rPr>
        <w:t>See response to row 5.</w:t>
      </w:r>
    </w:p>
    <w:p>
      <w:pPr>
        <w:spacing w:after="0" w:line="193" w:lineRule="auto"/>
        <w:framePr w:w="5360" w:h="146" w:wrap="auto" w:vAnchor="page" w:hAnchor="page" w:x="3360" w:y="8624"/>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200" w:h="146" w:wrap="auto" w:vAnchor="page" w:hAnchor="page" w:x="3360" w:y="8826"/>
        <w:rPr>
          <w:rFonts w:ascii="Courier New" w:cs="Courier New" w:eastAsia="Courier New" w:hAnsi="Courier New"/>
          <w:sz w:val="16"/>
          <w:szCs w:val="16"/>
          <w:color w:val="auto"/>
        </w:rPr>
      </w:pPr>
      <w:r>
        <w:rPr>
          <w:rFonts w:ascii="Courier New" w:cs="Courier New" w:eastAsia="Courier New" w:hAnsi="Courier New"/>
          <w:sz w:val="16"/>
          <w:szCs w:val="16"/>
          <w:color w:val="auto"/>
        </w:rPr>
        <w:t>7</w:t>
      </w:r>
    </w:p>
    <w:p>
      <w:pPr>
        <w:spacing w:after="0" w:line="193" w:lineRule="auto"/>
        <w:framePr w:w="2400" w:h="146" w:wrap="auto" w:vAnchor="page" w:hAnchor="page" w:x="3900" w:y="8826"/>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w:t>
      </w:r>
    </w:p>
    <w:p>
      <w:pPr>
        <w:spacing w:after="0" w:line="231" w:lineRule="auto"/>
        <w:framePr w:w="4820" w:h="1767" w:wrap="auto" w:vAnchor="page" w:hAnchor="page" w:x="3900" w:y="9231"/>
        <w:rPr>
          <w:rFonts w:ascii="Courier New" w:cs="Courier New" w:eastAsia="Courier New" w:hAnsi="Courier New"/>
          <w:sz w:val="18"/>
          <w:szCs w:val="18"/>
          <w:color w:val="auto"/>
        </w:rPr>
      </w:pPr>
      <w:r>
        <w:rPr>
          <w:rFonts w:ascii="Courier New" w:cs="Courier New" w:eastAsia="Courier New" w:hAnsi="Courier New"/>
          <w:sz w:val="18"/>
          <w:szCs w:val="18"/>
          <w:color w:val="auto"/>
        </w:rPr>
        <w:t>2,737,525 shares, of which 883,644 are directly owned by AV IV-A and 1,853,881 are directly owned by AV IV-B. AVP IV, the general partner of AV IV-A and AV IV-B, may be deemed to have sole power to dispose of these shares, and Aragona, DeAngelis, Garvey and Wood, the general partners of AVP IV, may be deemed to have shared power to dispose of these shares.</w:t>
      </w:r>
    </w:p>
    <w:p>
      <w:pPr>
        <w:spacing w:after="0" w:line="193" w:lineRule="auto"/>
        <w:framePr w:w="5360" w:h="146" w:wrap="auto" w:vAnchor="page" w:hAnchor="page" w:x="3360" w:y="11055"/>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3" w:lineRule="auto"/>
        <w:framePr w:w="200" w:h="146" w:wrap="auto" w:vAnchor="page" w:hAnchor="page" w:x="3360" w:y="11257"/>
        <w:rPr>
          <w:rFonts w:ascii="Courier New" w:cs="Courier New" w:eastAsia="Courier New" w:hAnsi="Courier New"/>
          <w:sz w:val="16"/>
          <w:szCs w:val="16"/>
          <w:color w:val="auto"/>
        </w:rPr>
      </w:pPr>
      <w:r>
        <w:rPr>
          <w:rFonts w:ascii="Courier New" w:cs="Courier New" w:eastAsia="Courier New" w:hAnsi="Courier New"/>
          <w:sz w:val="16"/>
          <w:szCs w:val="16"/>
          <w:color w:val="auto"/>
        </w:rPr>
        <w:t>8</w:t>
      </w:r>
    </w:p>
    <w:p>
      <w:pPr>
        <w:spacing w:after="0" w:line="193" w:lineRule="auto"/>
        <w:framePr w:w="2600" w:h="146" w:wrap="auto" w:vAnchor="page" w:hAnchor="page" w:x="3900" w:y="11257"/>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w:t>
      </w:r>
    </w:p>
    <w:p>
      <w:pPr>
        <w:spacing w:after="0" w:line="193" w:lineRule="auto"/>
        <w:framePr w:w="2400" w:h="146" w:wrap="auto" w:vAnchor="page" w:hAnchor="page" w:x="3900" w:y="11662"/>
        <w:rPr>
          <w:rFonts w:ascii="Courier New" w:cs="Courier New" w:eastAsia="Courier New" w:hAnsi="Courier New"/>
          <w:sz w:val="16"/>
          <w:szCs w:val="16"/>
          <w:color w:val="auto"/>
        </w:rPr>
      </w:pPr>
      <w:r>
        <w:rPr>
          <w:rFonts w:ascii="Courier New" w:cs="Courier New" w:eastAsia="Courier New" w:hAnsi="Courier New"/>
          <w:sz w:val="16"/>
          <w:szCs w:val="16"/>
          <w:color w:val="auto"/>
        </w:rPr>
        <w:t>See response to row 7.</w:t>
      </w:r>
    </w:p>
    <w:p>
      <w:pPr>
        <w:spacing w:after="0" w:line="193" w:lineRule="auto"/>
        <w:framePr w:w="8720" w:h="146" w:wrap="auto" w:vAnchor="page" w:hAnchor="page" w:x="200" w:y="11865"/>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200" w:h="146" w:wrap="auto" w:vAnchor="page" w:hAnchor="page" w:x="200" w:y="12067"/>
        <w:rPr>
          <w:rFonts w:ascii="Courier New" w:cs="Courier New" w:eastAsia="Courier New" w:hAnsi="Courier New"/>
          <w:sz w:val="16"/>
          <w:szCs w:val="16"/>
          <w:color w:val="auto"/>
        </w:rPr>
      </w:pPr>
      <w:r>
        <w:rPr>
          <w:rFonts w:ascii="Courier New" w:cs="Courier New" w:eastAsia="Courier New" w:hAnsi="Courier New"/>
          <w:sz w:val="16"/>
          <w:szCs w:val="16"/>
          <w:color w:val="auto"/>
        </w:rPr>
        <w:t>9</w:t>
      </w:r>
    </w:p>
    <w:p>
      <w:pPr>
        <w:spacing w:after="0" w:line="193" w:lineRule="auto"/>
        <w:framePr w:w="6400" w:h="146" w:wrap="auto" w:vAnchor="page" w:hAnchor="page" w:x="740" w:y="12067"/>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93" w:lineRule="auto"/>
        <w:framePr w:w="1020" w:h="146" w:wrap="auto" w:vAnchor="page" w:hAnchor="page" w:x="6640" w:y="12473"/>
        <w:rPr>
          <w:rFonts w:ascii="Courier New" w:cs="Courier New" w:eastAsia="Courier New" w:hAnsi="Courier New"/>
          <w:sz w:val="16"/>
          <w:szCs w:val="16"/>
          <w:color w:val="auto"/>
        </w:rPr>
      </w:pPr>
      <w:r>
        <w:rPr>
          <w:rFonts w:ascii="Courier New" w:cs="Courier New" w:eastAsia="Courier New" w:hAnsi="Courier New"/>
          <w:sz w:val="16"/>
          <w:szCs w:val="16"/>
          <w:color w:val="auto"/>
        </w:rPr>
        <w:t>2,737,525</w:t>
      </w:r>
    </w:p>
    <w:p>
      <w:pPr>
        <w:spacing w:after="0" w:line="193" w:lineRule="auto"/>
        <w:framePr w:w="8720" w:h="146" w:wrap="auto" w:vAnchor="page" w:hAnchor="page" w:x="200" w:y="12675"/>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7880" w:h="146" w:wrap="auto" w:vAnchor="page" w:hAnchor="page" w:x="200" w:y="12878"/>
        <w:rPr>
          <w:rFonts w:ascii="Courier New" w:cs="Courier New" w:eastAsia="Courier New" w:hAnsi="Courier New"/>
          <w:sz w:val="16"/>
          <w:szCs w:val="16"/>
          <w:color w:val="auto"/>
        </w:rPr>
      </w:pPr>
      <w:r>
        <w:rPr>
          <w:rFonts w:ascii="Courier New" w:cs="Courier New" w:eastAsia="Courier New" w:hAnsi="Courier New"/>
          <w:sz w:val="16"/>
          <w:szCs w:val="16"/>
          <w:color w:val="auto"/>
        </w:rPr>
        <w:t>10   CHECK BOX IF THE AGGREGATE AMOUNT IN ROW (9) EXCLUDES CERTAIN SHARES*</w:t>
      </w:r>
    </w:p>
    <w:p>
      <w:pPr>
        <w:spacing w:after="0" w:line="193" w:lineRule="auto"/>
        <w:framePr w:w="400" w:h="146" w:wrap="auto" w:vAnchor="page" w:hAnchor="page" w:x="7260" w:y="13283"/>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8720" w:h="146" w:wrap="auto" w:vAnchor="page" w:hAnchor="page" w:x="200" w:y="13485"/>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5560" w:h="146" w:wrap="auto" w:vAnchor="page" w:hAnchor="page" w:x="200" w:y="13688"/>
        <w:rPr>
          <w:rFonts w:ascii="Courier New" w:cs="Courier New" w:eastAsia="Courier New" w:hAnsi="Courier New"/>
          <w:sz w:val="16"/>
          <w:szCs w:val="16"/>
          <w:color w:val="auto"/>
        </w:rPr>
      </w:pPr>
      <w:r>
        <w:rPr>
          <w:rFonts w:ascii="Courier New" w:cs="Courier New" w:eastAsia="Courier New" w:hAnsi="Courier New"/>
          <w:sz w:val="16"/>
          <w:szCs w:val="16"/>
          <w:color w:val="auto"/>
        </w:rPr>
        <w:t>11   PERCENT OF CLASS REPRESENTED BY AMOUNT IN ROW 9</w:t>
      </w:r>
    </w:p>
    <w:p>
      <w:pPr>
        <w:spacing w:after="0" w:line="193" w:lineRule="auto"/>
        <w:framePr w:w="600" w:h="146" w:wrap="auto" w:vAnchor="page" w:hAnchor="page" w:x="7060" w:y="14093"/>
        <w:rPr>
          <w:rFonts w:ascii="Courier New" w:cs="Courier New" w:eastAsia="Courier New" w:hAnsi="Courier New"/>
          <w:sz w:val="16"/>
          <w:szCs w:val="16"/>
          <w:color w:val="auto"/>
        </w:rPr>
      </w:pPr>
      <w:r>
        <w:rPr>
          <w:rFonts w:ascii="Courier New" w:cs="Courier New" w:eastAsia="Courier New" w:hAnsi="Courier New"/>
          <w:sz w:val="16"/>
          <w:szCs w:val="16"/>
          <w:color w:val="auto"/>
        </w:rPr>
        <w:t>7.05%</w:t>
      </w:r>
    </w:p>
    <w:p>
      <w:pPr>
        <w:spacing w:after="0" w:line="193" w:lineRule="auto"/>
        <w:framePr w:w="8720" w:h="146" w:wrap="auto" w:vAnchor="page" w:hAnchor="page" w:x="200" w:y="14296"/>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3240" w:h="146" w:wrap="auto" w:vAnchor="page" w:hAnchor="page" w:x="200" w:y="14498"/>
        <w:rPr>
          <w:rFonts w:ascii="Courier New" w:cs="Courier New" w:eastAsia="Courier New" w:hAnsi="Courier New"/>
          <w:sz w:val="16"/>
          <w:szCs w:val="16"/>
          <w:color w:val="auto"/>
        </w:rPr>
      </w:pPr>
      <w:r>
        <w:rPr>
          <w:rFonts w:ascii="Courier New" w:cs="Courier New" w:eastAsia="Courier New" w:hAnsi="Courier New"/>
          <w:sz w:val="16"/>
          <w:szCs w:val="16"/>
          <w:color w:val="auto"/>
        </w:rPr>
        <w:t>12   TYPE OF REPORTING PERSON*</w:t>
      </w:r>
    </w:p>
    <w:p>
      <w:pPr>
        <w:spacing w:after="0" w:line="193" w:lineRule="auto"/>
        <w:framePr w:w="280" w:h="146" w:wrap="auto" w:vAnchor="page" w:hAnchor="page" w:x="7380" w:y="14904"/>
        <w:rPr>
          <w:rFonts w:ascii="Courier New" w:cs="Courier New" w:eastAsia="Courier New" w:hAnsi="Courier New"/>
          <w:sz w:val="16"/>
          <w:szCs w:val="16"/>
          <w:color w:val="auto"/>
        </w:rPr>
      </w:pPr>
      <w:r>
        <w:rPr>
          <w:rFonts w:ascii="Courier New" w:cs="Courier New" w:eastAsia="Courier New" w:hAnsi="Courier New"/>
          <w:sz w:val="16"/>
          <w:szCs w:val="16"/>
          <w:color w:val="auto"/>
        </w:rPr>
        <w:t>PN</w:t>
      </w:r>
    </w:p>
    <w:p>
      <w:pPr>
        <w:spacing w:after="0" w:line="193" w:lineRule="auto"/>
        <w:framePr w:w="8720" w:h="146" w:wrap="auto" w:vAnchor="page" w:hAnchor="page" w:x="200" w:y="15106"/>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4080" w:h="146" w:wrap="auto" w:vAnchor="page" w:hAnchor="page" w:x="2420" w:y="15511"/>
        <w:rPr>
          <w:rFonts w:ascii="Courier New" w:cs="Courier New" w:eastAsia="Courier New" w:hAnsi="Courier New"/>
          <w:sz w:val="16"/>
          <w:szCs w:val="16"/>
          <w:color w:val="auto"/>
        </w:rPr>
      </w:pPr>
      <w:r>
        <w:rPr>
          <w:rFonts w:ascii="Courier New" w:cs="Courier New" w:eastAsia="Courier New" w:hAnsi="Courier New"/>
          <w:sz w:val="16"/>
          <w:szCs w:val="16"/>
          <w:color w:val="auto"/>
        </w:rPr>
        <w:t>* SEE INSTRUCTIONS BEFORE FILLING OUT!</w:t>
      </w:r>
    </w:p>
    <w:p>
      <w:pPr>
        <w:spacing w:after="0" w:line="193" w:lineRule="auto"/>
        <w:framePr w:w="2940" w:h="146" w:wrap="auto" w:vAnchor="page" w:hAnchor="page" w:x="200" w:y="926"/>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93" w:lineRule="auto"/>
        <w:framePr w:w="2080" w:h="146" w:wrap="auto" w:vAnchor="page" w:hAnchor="page" w:x="200" w:y="1128"/>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00504W100</w:t>
      </w:r>
    </w:p>
    <w:p>
      <w:pPr>
        <w:spacing w:after="0" w:line="193" w:lineRule="auto"/>
        <w:framePr w:w="2940" w:h="146" w:wrap="auto" w:vAnchor="page" w:hAnchor="page" w:x="200" w:y="1331"/>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tbl>
      <w:tblPr>
        <w:tblLayout w:type="fixed"/>
        <w:tblInd w:w="292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100" w:type="dxa"/>
            <w:vAlign w:val="bottom"/>
          </w:tcPr>
          <w:p>
            <w:pPr>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4 of 15</w:t>
            </w:r>
          </w:p>
        </w:tc>
      </w:tr>
      <w:tr>
        <w:trPr>
          <w:trHeight w:val="203"/>
        </w:trPr>
        <w:tc>
          <w:tcPr>
            <w:tcW w:w="110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9019"/>
          </w:cols>
          <w:pgMar w:left="1440" w:top="919" w:right="1440"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00504W100</w:t>
            </w:r>
          </w:p>
        </w:tc>
        <w:tc>
          <w:tcPr>
            <w:tcW w:w="1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5 of 15</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1" w:lineRule="exact"/>
        <w:rPr>
          <w:rFonts w:ascii="Courier New" w:cs="Courier New" w:eastAsia="Courier New" w:hAnsi="Courier New"/>
          <w:sz w:val="16"/>
          <w:szCs w:val="16"/>
          <w:color w:val="auto"/>
        </w:rPr>
      </w:pPr>
    </w:p>
    <w:p>
      <w:pPr>
        <w:ind w:left="6020" w:hanging="429"/>
        <w:spacing w:after="0"/>
        <w:tabs>
          <w:tab w:leader="none" w:pos="60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Citizen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9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6"/>
              </w:rPr>
              <w:t>NUMBER OF</w:t>
            </w:r>
          </w:p>
        </w:tc>
        <w:tc>
          <w:tcPr>
            <w:tcW w:w="900" w:type="dxa"/>
            <w:vAlign w:val="bottom"/>
          </w:tcPr>
          <w:p>
            <w:pPr>
              <w:ind w:left="580"/>
              <w:spacing w:after="0"/>
              <w:rPr>
                <w:sz w:val="20"/>
                <w:szCs w:val="20"/>
                <w:color w:val="auto"/>
              </w:rPr>
            </w:pPr>
            <w:r>
              <w:rPr>
                <w:rFonts w:ascii="Courier New" w:cs="Courier New" w:eastAsia="Courier New" w:hAnsi="Courier New"/>
                <w:sz w:val="18"/>
                <w:szCs w:val="18"/>
                <w:color w:val="auto"/>
              </w:rPr>
              <w:t>5</w:t>
            </w: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9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2,737,525 shares, of which 883,644 are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directly owned by AV IV-A and 1,853,881 are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directly owned by AV IV-B. Aragona is a</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partner of AVP IV, the general</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partner of AV IV-A and AV IV-B, and may be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 to have shared power to vote these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2,737,525 shares, of which 883,644 are</w:t>
      </w:r>
    </w:p>
    <w:p>
      <w:pPr>
        <w:ind w:left="3700"/>
        <w:spacing w:after="0" w:line="238" w:lineRule="auto"/>
        <w:rPr>
          <w:sz w:val="20"/>
          <w:szCs w:val="20"/>
          <w:color w:val="auto"/>
        </w:rPr>
      </w:pPr>
      <w:r>
        <w:rPr>
          <w:rFonts w:ascii="Courier New" w:cs="Courier New" w:eastAsia="Courier New" w:hAnsi="Courier New"/>
          <w:sz w:val="18"/>
          <w:szCs w:val="18"/>
          <w:color w:val="auto"/>
        </w:rPr>
        <w:t>directly owned by AV IV-A and 1,853,881 are</w:t>
      </w:r>
    </w:p>
    <w:p>
      <w:pPr>
        <w:ind w:left="3700"/>
        <w:spacing w:after="0"/>
        <w:rPr>
          <w:sz w:val="20"/>
          <w:szCs w:val="20"/>
          <w:color w:val="auto"/>
        </w:rPr>
      </w:pPr>
      <w:r>
        <w:rPr>
          <w:rFonts w:ascii="Courier New" w:cs="Courier New" w:eastAsia="Courier New" w:hAnsi="Courier New"/>
          <w:sz w:val="18"/>
          <w:szCs w:val="18"/>
          <w:color w:val="auto"/>
        </w:rPr>
        <w:t>directly owned by AV IV-B. Aragona is a</w:t>
      </w:r>
    </w:p>
    <w:p>
      <w:pPr>
        <w:ind w:left="3700"/>
        <w:spacing w:after="0" w:line="237" w:lineRule="auto"/>
        <w:rPr>
          <w:sz w:val="20"/>
          <w:szCs w:val="20"/>
          <w:color w:val="auto"/>
        </w:rPr>
      </w:pPr>
      <w:r>
        <w:rPr>
          <w:rFonts w:ascii="Courier New" w:cs="Courier New" w:eastAsia="Courier New" w:hAnsi="Courier New"/>
          <w:sz w:val="18"/>
          <w:szCs w:val="18"/>
          <w:color w:val="auto"/>
        </w:rPr>
        <w:t>general partner of AVP IV, the general</w:t>
      </w:r>
    </w:p>
    <w:p>
      <w:pPr>
        <w:ind w:left="3700"/>
        <w:spacing w:after="0" w:line="238" w:lineRule="auto"/>
        <w:rPr>
          <w:sz w:val="20"/>
          <w:szCs w:val="20"/>
          <w:color w:val="auto"/>
        </w:rPr>
      </w:pPr>
      <w:r>
        <w:rPr>
          <w:rFonts w:ascii="Courier New" w:cs="Courier New" w:eastAsia="Courier New" w:hAnsi="Courier New"/>
          <w:sz w:val="18"/>
          <w:szCs w:val="18"/>
          <w:color w:val="auto"/>
        </w:rPr>
        <w:t>partner of AV IV-A and AV IV-B, and may be</w:t>
      </w:r>
    </w:p>
    <w:p>
      <w:pPr>
        <w:ind w:left="3700"/>
        <w:spacing w:after="0"/>
        <w:rPr>
          <w:sz w:val="20"/>
          <w:szCs w:val="20"/>
          <w:color w:val="auto"/>
        </w:rPr>
      </w:pPr>
      <w:r>
        <w:rPr>
          <w:rFonts w:ascii="Courier New" w:cs="Courier New" w:eastAsia="Courier New" w:hAnsi="Courier New"/>
          <w:sz w:val="18"/>
          <w:szCs w:val="18"/>
          <w:color w:val="auto"/>
        </w:rPr>
        <w:t>deemed to have shared power to dispose of</w:t>
      </w:r>
    </w:p>
    <w:p>
      <w:pPr>
        <w:ind w:left="3700"/>
        <w:spacing w:after="0" w:line="237" w:lineRule="auto"/>
        <w:rPr>
          <w:sz w:val="20"/>
          <w:szCs w:val="20"/>
          <w:color w:val="auto"/>
        </w:rPr>
      </w:pPr>
      <w:r>
        <w:rPr>
          <w:rFonts w:ascii="Courier New" w:cs="Courier New" w:eastAsia="Courier New" w:hAnsi="Courier New"/>
          <w:sz w:val="18"/>
          <w:szCs w:val="18"/>
          <w:color w:val="auto"/>
        </w:rPr>
        <w:t>these shares.</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2,737,525</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7.05%</w:t>
      </w:r>
    </w:p>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564"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00504W100</w:t>
            </w:r>
          </w:p>
        </w:tc>
        <w:tc>
          <w:tcPr>
            <w:tcW w:w="1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6 of 15</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1" w:lineRule="exact"/>
        <w:rPr>
          <w:rFonts w:ascii="Courier New" w:cs="Courier New" w:eastAsia="Courier New" w:hAnsi="Courier New"/>
          <w:sz w:val="16"/>
          <w:szCs w:val="16"/>
          <w:color w:val="auto"/>
        </w:rPr>
      </w:pPr>
    </w:p>
    <w:p>
      <w:pPr>
        <w:ind w:left="6020" w:hanging="429"/>
        <w:spacing w:after="0"/>
        <w:tabs>
          <w:tab w:leader="none" w:pos="602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Citizen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9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6"/>
              </w:rPr>
              <w:t>NUMBER OF</w:t>
            </w:r>
          </w:p>
        </w:tc>
        <w:tc>
          <w:tcPr>
            <w:tcW w:w="900" w:type="dxa"/>
            <w:vAlign w:val="bottom"/>
          </w:tcPr>
          <w:p>
            <w:pPr>
              <w:ind w:left="580"/>
              <w:spacing w:after="0"/>
              <w:rPr>
                <w:sz w:val="20"/>
                <w:szCs w:val="20"/>
                <w:color w:val="auto"/>
              </w:rPr>
            </w:pPr>
            <w:r>
              <w:rPr>
                <w:rFonts w:ascii="Courier New" w:cs="Courier New" w:eastAsia="Courier New" w:hAnsi="Courier New"/>
                <w:sz w:val="18"/>
                <w:szCs w:val="18"/>
                <w:color w:val="auto"/>
              </w:rPr>
              <w:t>5</w:t>
            </w: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9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2,737,525 shares, of which 883,644 are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directly owned by AV IV-A and 1,853,881 are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directly owned by AV IV-B. DeAngelis is a</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partner of AVP IV, the general</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partner of AV IV-A and AV IV-B, and may be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 to have shared power to vote these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2,737,525 shares, of which 883,644 are</w:t>
      </w:r>
    </w:p>
    <w:p>
      <w:pPr>
        <w:ind w:left="3700"/>
        <w:spacing w:after="0" w:line="238" w:lineRule="auto"/>
        <w:rPr>
          <w:sz w:val="20"/>
          <w:szCs w:val="20"/>
          <w:color w:val="auto"/>
        </w:rPr>
      </w:pPr>
      <w:r>
        <w:rPr>
          <w:rFonts w:ascii="Courier New" w:cs="Courier New" w:eastAsia="Courier New" w:hAnsi="Courier New"/>
          <w:sz w:val="18"/>
          <w:szCs w:val="18"/>
          <w:color w:val="auto"/>
        </w:rPr>
        <w:t>directly owned by AV IV-A and 1,853,881 are</w:t>
      </w:r>
    </w:p>
    <w:p>
      <w:pPr>
        <w:ind w:left="3700"/>
        <w:spacing w:after="0"/>
        <w:rPr>
          <w:sz w:val="20"/>
          <w:szCs w:val="20"/>
          <w:color w:val="auto"/>
        </w:rPr>
      </w:pPr>
      <w:r>
        <w:rPr>
          <w:rFonts w:ascii="Courier New" w:cs="Courier New" w:eastAsia="Courier New" w:hAnsi="Courier New"/>
          <w:sz w:val="18"/>
          <w:szCs w:val="18"/>
          <w:color w:val="auto"/>
        </w:rPr>
        <w:t>directly owned by AV IV-B. DeAngelis is a</w:t>
      </w:r>
    </w:p>
    <w:p>
      <w:pPr>
        <w:ind w:left="3700"/>
        <w:spacing w:after="0" w:line="237" w:lineRule="auto"/>
        <w:rPr>
          <w:sz w:val="20"/>
          <w:szCs w:val="20"/>
          <w:color w:val="auto"/>
        </w:rPr>
      </w:pPr>
      <w:r>
        <w:rPr>
          <w:rFonts w:ascii="Courier New" w:cs="Courier New" w:eastAsia="Courier New" w:hAnsi="Courier New"/>
          <w:sz w:val="18"/>
          <w:szCs w:val="18"/>
          <w:color w:val="auto"/>
        </w:rPr>
        <w:t>general partner of AVP IV, the general</w:t>
      </w:r>
    </w:p>
    <w:p>
      <w:pPr>
        <w:ind w:left="3700"/>
        <w:spacing w:after="0" w:line="238" w:lineRule="auto"/>
        <w:rPr>
          <w:sz w:val="20"/>
          <w:szCs w:val="20"/>
          <w:color w:val="auto"/>
        </w:rPr>
      </w:pPr>
      <w:r>
        <w:rPr>
          <w:rFonts w:ascii="Courier New" w:cs="Courier New" w:eastAsia="Courier New" w:hAnsi="Courier New"/>
          <w:sz w:val="18"/>
          <w:szCs w:val="18"/>
          <w:color w:val="auto"/>
        </w:rPr>
        <w:t>partner of AV IV-A and AV IV-B, and may be</w:t>
      </w:r>
    </w:p>
    <w:p>
      <w:pPr>
        <w:ind w:left="3700"/>
        <w:spacing w:after="0"/>
        <w:rPr>
          <w:sz w:val="20"/>
          <w:szCs w:val="20"/>
          <w:color w:val="auto"/>
        </w:rPr>
      </w:pPr>
      <w:r>
        <w:rPr>
          <w:rFonts w:ascii="Courier New" w:cs="Courier New" w:eastAsia="Courier New" w:hAnsi="Courier New"/>
          <w:sz w:val="18"/>
          <w:szCs w:val="18"/>
          <w:color w:val="auto"/>
        </w:rPr>
        <w:t>deemed to have shared power to dispose of</w:t>
      </w:r>
    </w:p>
    <w:p>
      <w:pPr>
        <w:ind w:left="3700"/>
        <w:spacing w:after="0" w:line="237" w:lineRule="auto"/>
        <w:rPr>
          <w:sz w:val="20"/>
          <w:szCs w:val="20"/>
          <w:color w:val="auto"/>
        </w:rPr>
      </w:pPr>
      <w:r>
        <w:rPr>
          <w:rFonts w:ascii="Courier New" w:cs="Courier New" w:eastAsia="Courier New" w:hAnsi="Courier New"/>
          <w:sz w:val="18"/>
          <w:szCs w:val="18"/>
          <w:color w:val="auto"/>
        </w:rPr>
        <w:t>these shares.</w:t>
      </w:r>
    </w:p>
    <w:p>
      <w:pPr>
        <w:spacing w:after="0" w:line="5"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2,737,525</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7.05%</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564"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00504W100</w:t>
            </w:r>
          </w:p>
        </w:tc>
        <w:tc>
          <w:tcPr>
            <w:tcW w:w="1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7 of 15</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1" w:lineRule="exact"/>
        <w:rPr>
          <w:rFonts w:ascii="Courier New" w:cs="Courier New" w:eastAsia="Courier New" w:hAnsi="Courier New"/>
          <w:sz w:val="16"/>
          <w:szCs w:val="16"/>
          <w:color w:val="auto"/>
        </w:rPr>
      </w:pPr>
    </w:p>
    <w:p>
      <w:pPr>
        <w:ind w:left="6020" w:hanging="429"/>
        <w:spacing w:after="0"/>
        <w:tabs>
          <w:tab w:leader="none" w:pos="602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Citizen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9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6"/>
              </w:rPr>
              <w:t>NUMBER OF</w:t>
            </w:r>
          </w:p>
        </w:tc>
        <w:tc>
          <w:tcPr>
            <w:tcW w:w="900" w:type="dxa"/>
            <w:vAlign w:val="bottom"/>
          </w:tcPr>
          <w:p>
            <w:pPr>
              <w:ind w:left="580"/>
              <w:spacing w:after="0"/>
              <w:rPr>
                <w:sz w:val="20"/>
                <w:szCs w:val="20"/>
                <w:color w:val="auto"/>
              </w:rPr>
            </w:pPr>
            <w:r>
              <w:rPr>
                <w:rFonts w:ascii="Courier New" w:cs="Courier New" w:eastAsia="Courier New" w:hAnsi="Courier New"/>
                <w:sz w:val="18"/>
                <w:szCs w:val="18"/>
                <w:color w:val="auto"/>
              </w:rPr>
              <w:t>5</w:t>
            </w: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0 shares</w:t>
            </w:r>
          </w:p>
        </w:tc>
      </w:tr>
      <w:tr>
        <w:trPr>
          <w:trHeight w:val="203"/>
        </w:trPr>
        <w:tc>
          <w:tcPr>
            <w:tcW w:w="19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2,737,525 shares, of which 883,644 are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directly owned by AV IV-A and 1,853,881 are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directly owned by AV IV-B. Garvey is a</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general partner of AVP IV, the general</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partner of AV IV-A and AV IV-B, and may be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 to have shared power to vote these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960" w:type="dxa"/>
            <w:vAlign w:val="bottom"/>
          </w:tcPr>
          <w:p>
            <w:pPr>
              <w:ind w:left="220"/>
              <w:spacing w:after="0"/>
              <w:rPr>
                <w:sz w:val="20"/>
                <w:szCs w:val="20"/>
                <w:color w:val="auto"/>
              </w:rPr>
            </w:pPr>
            <w:r>
              <w:rPr>
                <w:rFonts w:ascii="Courier New" w:cs="Courier New" w:eastAsia="Courier New" w:hAnsi="Courier New"/>
                <w:sz w:val="18"/>
                <w:szCs w:val="18"/>
                <w:color w:val="auto"/>
              </w:rPr>
              <w:t>0 shares</w:t>
            </w:r>
          </w:p>
        </w:tc>
      </w:tr>
      <w:tr>
        <w:trPr>
          <w:trHeight w:val="203"/>
        </w:trPr>
        <w:tc>
          <w:tcPr>
            <w:tcW w:w="1940" w:type="dxa"/>
            <w:vAlign w:val="bottom"/>
          </w:tcPr>
          <w:p>
            <w:pPr>
              <w:spacing w:after="0"/>
              <w:rPr>
                <w:sz w:val="17"/>
                <w:szCs w:val="17"/>
                <w:color w:val="auto"/>
              </w:rPr>
            </w:pPr>
          </w:p>
        </w:tc>
        <w:tc>
          <w:tcPr>
            <w:tcW w:w="586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w:t>
            </w:r>
          </w:p>
        </w:tc>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2,737,525 shares, of which 883,644 are</w:t>
      </w:r>
    </w:p>
    <w:p>
      <w:pPr>
        <w:ind w:left="3700"/>
        <w:spacing w:after="0" w:line="238" w:lineRule="auto"/>
        <w:rPr>
          <w:sz w:val="20"/>
          <w:szCs w:val="20"/>
          <w:color w:val="auto"/>
        </w:rPr>
      </w:pPr>
      <w:r>
        <w:rPr>
          <w:rFonts w:ascii="Courier New" w:cs="Courier New" w:eastAsia="Courier New" w:hAnsi="Courier New"/>
          <w:sz w:val="18"/>
          <w:szCs w:val="18"/>
          <w:color w:val="auto"/>
        </w:rPr>
        <w:t>directly owned by AV IV-A and 1,853,881 are</w:t>
      </w:r>
    </w:p>
    <w:p>
      <w:pPr>
        <w:ind w:left="3700"/>
        <w:spacing w:after="0"/>
        <w:rPr>
          <w:sz w:val="20"/>
          <w:szCs w:val="20"/>
          <w:color w:val="auto"/>
        </w:rPr>
      </w:pPr>
      <w:r>
        <w:rPr>
          <w:rFonts w:ascii="Courier New" w:cs="Courier New" w:eastAsia="Courier New" w:hAnsi="Courier New"/>
          <w:sz w:val="18"/>
          <w:szCs w:val="18"/>
          <w:color w:val="auto"/>
        </w:rPr>
        <w:t>directly owned by AV IV-B. Garvey is a</w:t>
      </w:r>
    </w:p>
    <w:p>
      <w:pPr>
        <w:ind w:left="3700"/>
        <w:spacing w:after="0" w:line="237" w:lineRule="auto"/>
        <w:rPr>
          <w:sz w:val="20"/>
          <w:szCs w:val="20"/>
          <w:color w:val="auto"/>
        </w:rPr>
      </w:pPr>
      <w:r>
        <w:rPr>
          <w:rFonts w:ascii="Courier New" w:cs="Courier New" w:eastAsia="Courier New" w:hAnsi="Courier New"/>
          <w:sz w:val="18"/>
          <w:szCs w:val="18"/>
          <w:color w:val="auto"/>
        </w:rPr>
        <w:t>general partner of AVP IV, the general</w:t>
      </w:r>
    </w:p>
    <w:p>
      <w:pPr>
        <w:ind w:left="3700"/>
        <w:spacing w:after="0" w:line="238" w:lineRule="auto"/>
        <w:rPr>
          <w:sz w:val="20"/>
          <w:szCs w:val="20"/>
          <w:color w:val="auto"/>
        </w:rPr>
      </w:pPr>
      <w:r>
        <w:rPr>
          <w:rFonts w:ascii="Courier New" w:cs="Courier New" w:eastAsia="Courier New" w:hAnsi="Courier New"/>
          <w:sz w:val="18"/>
          <w:szCs w:val="18"/>
          <w:color w:val="auto"/>
        </w:rPr>
        <w:t>partner of AV IV-A and AV IV-B, and may be</w:t>
      </w:r>
    </w:p>
    <w:p>
      <w:pPr>
        <w:ind w:left="3700"/>
        <w:spacing w:after="0"/>
        <w:rPr>
          <w:sz w:val="20"/>
          <w:szCs w:val="20"/>
          <w:color w:val="auto"/>
        </w:rPr>
      </w:pPr>
      <w:r>
        <w:rPr>
          <w:rFonts w:ascii="Courier New" w:cs="Courier New" w:eastAsia="Courier New" w:hAnsi="Courier New"/>
          <w:sz w:val="18"/>
          <w:szCs w:val="18"/>
          <w:color w:val="auto"/>
        </w:rPr>
        <w:t>deemed to have shared power to dispose of</w:t>
      </w:r>
    </w:p>
    <w:p>
      <w:pPr>
        <w:ind w:left="3700"/>
        <w:spacing w:after="0" w:line="237" w:lineRule="auto"/>
        <w:rPr>
          <w:sz w:val="20"/>
          <w:szCs w:val="20"/>
          <w:color w:val="auto"/>
        </w:rPr>
      </w:pPr>
      <w:r>
        <w:rPr>
          <w:rFonts w:ascii="Courier New" w:cs="Courier New" w:eastAsia="Courier New" w:hAnsi="Courier New"/>
          <w:sz w:val="18"/>
          <w:szCs w:val="18"/>
          <w:color w:val="auto"/>
        </w:rPr>
        <w:t>these shares.</w:t>
      </w:r>
    </w:p>
    <w:p>
      <w:pPr>
        <w:spacing w:after="0" w:line="5"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2,737,525</w:t>
      </w:r>
    </w:p>
    <w:p>
      <w:pPr>
        <w:spacing w:after="0" w:line="4"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7.05%</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919" w:right="1440" w:bottom="564"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00504W100</w:t>
            </w:r>
          </w:p>
        </w:tc>
        <w:tc>
          <w:tcPr>
            <w:tcW w:w="17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13G</w:t>
            </w:r>
          </w:p>
        </w:tc>
        <w:tc>
          <w:tcPr>
            <w:tcW w:w="34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Page 8 of 15</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tcPr>
          <w:p>
            <w:pPr>
              <w:spacing w:after="0"/>
              <w:rPr>
                <w:sz w:val="17"/>
                <w:szCs w:val="17"/>
                <w:color w:val="auto"/>
              </w:rPr>
            </w:pPr>
          </w:p>
        </w:tc>
        <w:tc>
          <w:tcPr>
            <w:tcW w:w="3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spacing w:after="0" w:line="201" w:lineRule="exact"/>
        <w:rPr>
          <w:rFonts w:ascii="Courier New" w:cs="Courier New" w:eastAsia="Courier New" w:hAnsi="Courier New"/>
          <w:sz w:val="16"/>
          <w:szCs w:val="16"/>
          <w:color w:val="auto"/>
        </w:rPr>
      </w:pPr>
    </w:p>
    <w:p>
      <w:pPr>
        <w:ind w:left="6020" w:hanging="429"/>
        <w:spacing w:after="0"/>
        <w:tabs>
          <w:tab w:leader="none" w:pos="6020" w:val="left"/>
        </w:tabs>
        <w:numPr>
          <w:ilvl w:val="1"/>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[X]</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U.S. Citizen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9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6"/>
              </w:rPr>
              <w:t>NUMBER OF</w:t>
            </w:r>
          </w:p>
        </w:tc>
        <w:tc>
          <w:tcPr>
            <w:tcW w:w="900" w:type="dxa"/>
            <w:vAlign w:val="bottom"/>
          </w:tcPr>
          <w:p>
            <w:pPr>
              <w:ind w:left="580"/>
              <w:spacing w:after="0"/>
              <w:rPr>
                <w:sz w:val="20"/>
                <w:szCs w:val="20"/>
                <w:color w:val="auto"/>
              </w:rPr>
            </w:pPr>
            <w:r>
              <w:rPr>
                <w:rFonts w:ascii="Courier New" w:cs="Courier New" w:eastAsia="Courier New" w:hAnsi="Courier New"/>
                <w:sz w:val="18"/>
                <w:szCs w:val="18"/>
                <w:color w:val="auto"/>
              </w:rPr>
              <w:t>5</w:t>
            </w: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SOLE VOTING POWER</w:t>
            </w:r>
          </w:p>
        </w:tc>
        <w:tc>
          <w:tcPr>
            <w:tcW w:w="2900" w:type="dxa"/>
            <w:vAlign w:val="bottom"/>
          </w:tcPr>
          <w:p>
            <w:pPr>
              <w:spacing w:after="0"/>
              <w:rPr>
                <w:sz w:val="17"/>
                <w:szCs w:val="17"/>
                <w:color w:val="auto"/>
              </w:rPr>
            </w:pP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0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27,581 shares, of</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 1,577 are directly</w:t>
            </w:r>
          </w:p>
        </w:tc>
      </w:tr>
      <w:tr>
        <w:trPr>
          <w:trHeight w:val="203"/>
        </w:trPr>
        <w:tc>
          <w:tcPr>
            <w:tcW w:w="19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6"/>
              </w:rPr>
              <w:t>OWNED BY EACH</w:t>
            </w:r>
          </w:p>
        </w:tc>
        <w:tc>
          <w:tcPr>
            <w:tcW w:w="90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owned by Wood and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26,004 shares are directly</w:t>
            </w:r>
          </w:p>
        </w:tc>
      </w:tr>
      <w:tr>
        <w:trPr>
          <w:trHeight w:val="203"/>
        </w:trPr>
        <w:tc>
          <w:tcPr>
            <w:tcW w:w="19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900" w:type="dxa"/>
            <w:vAlign w:val="bottom"/>
          </w:tcPr>
          <w:p>
            <w:pPr>
              <w:spacing w:after="0"/>
              <w:rPr>
                <w:sz w:val="17"/>
                <w:szCs w:val="17"/>
                <w:color w:val="auto"/>
              </w:rPr>
            </w:pP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owned by Silverton Partners, L.P.</w:t>
            </w:r>
          </w:p>
        </w:tc>
      </w:tr>
      <w:tr>
        <w:trPr>
          <w:trHeight w:val="203"/>
        </w:trPr>
        <w:tc>
          <w:tcPr>
            <w:tcW w:w="1940" w:type="dxa"/>
            <w:vAlign w:val="bottom"/>
          </w:tcPr>
          <w:p>
            <w:pPr>
              <w:jc w:val="center"/>
              <w:ind w:right="3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900" w:type="dxa"/>
            <w:vAlign w:val="bottom"/>
          </w:tcPr>
          <w:p>
            <w:pPr>
              <w:spacing w:after="0"/>
              <w:rPr>
                <w:sz w:val="17"/>
                <w:szCs w:val="17"/>
                <w:color w:val="auto"/>
              </w:rPr>
            </w:pP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("Silverton"), a Texas limited partnership,</w:t>
            </w:r>
          </w:p>
        </w:tc>
      </w:tr>
      <w:tr>
        <w:trPr>
          <w:trHeight w:val="203"/>
        </w:trPr>
        <w:tc>
          <w:tcPr>
            <w:tcW w:w="19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WITH</w:t>
            </w:r>
          </w:p>
        </w:tc>
        <w:tc>
          <w:tcPr>
            <w:tcW w:w="900" w:type="dxa"/>
            <w:vAlign w:val="bottom"/>
          </w:tcPr>
          <w:p>
            <w:pPr>
              <w:spacing w:after="0"/>
              <w:rPr>
                <w:sz w:val="17"/>
                <w:szCs w:val="17"/>
                <w:color w:val="auto"/>
              </w:rPr>
            </w:pP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and Wood, the sole general partner of</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Silverton, may be</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 to have sole power</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to vote these shares.</w:t>
            </w:r>
          </w:p>
        </w:tc>
      </w:tr>
      <w:tr>
        <w:trPr>
          <w:trHeight w:val="203"/>
        </w:trPr>
        <w:tc>
          <w:tcPr>
            <w:tcW w:w="1940" w:type="dxa"/>
            <w:vAlign w:val="bottom"/>
          </w:tcPr>
          <w:p>
            <w:pPr>
              <w:spacing w:after="0"/>
              <w:rPr>
                <w:sz w:val="17"/>
                <w:szCs w:val="17"/>
                <w:color w:val="auto"/>
              </w:rPr>
            </w:pPr>
          </w:p>
        </w:tc>
        <w:tc>
          <w:tcPr>
            <w:tcW w:w="58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w:t>
            </w: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405"/>
        </w:trPr>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2,737,525 shares,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of which 883,644 are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directly owned by</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 IV-A and 1,853,881 are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directly owned by</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 IV-B. Wood is a general</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partner of AVP IV, the general partner of AV</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IV-A and AV IV-B,</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may be deemed to have</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shared power to vote these shares.</w:t>
            </w:r>
          </w:p>
        </w:tc>
      </w:tr>
      <w:tr>
        <w:trPr>
          <w:trHeight w:val="203"/>
        </w:trPr>
        <w:tc>
          <w:tcPr>
            <w:tcW w:w="1940" w:type="dxa"/>
            <w:vAlign w:val="bottom"/>
          </w:tcPr>
          <w:p>
            <w:pPr>
              <w:spacing w:after="0"/>
              <w:rPr>
                <w:sz w:val="17"/>
                <w:szCs w:val="17"/>
                <w:color w:val="auto"/>
              </w:rPr>
            </w:pPr>
          </w:p>
        </w:tc>
        <w:tc>
          <w:tcPr>
            <w:tcW w:w="586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40" w:type="dxa"/>
            <w:vAlign w:val="bottom"/>
          </w:tcPr>
          <w:p>
            <w:pPr>
              <w:spacing w:after="0"/>
              <w:rPr>
                <w:sz w:val="17"/>
                <w:szCs w:val="17"/>
                <w:color w:val="auto"/>
              </w:rPr>
            </w:pPr>
          </w:p>
        </w:tc>
        <w:tc>
          <w:tcPr>
            <w:tcW w:w="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7</w:t>
            </w: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8"/>
                <w:szCs w:val="18"/>
                <w:color w:val="auto"/>
                <w:w w:val="99"/>
              </w:rPr>
              <w:t>27,581 shares, of</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which 1,577 are directly</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owned by Wood and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26,004 shares are directly</w:t>
            </w:r>
          </w:p>
        </w:tc>
      </w:tr>
      <w:tr>
        <w:trPr>
          <w:trHeight w:val="203"/>
        </w:trPr>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9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owned by Silverton, and Wood, the sole</w:t>
            </w:r>
          </w:p>
        </w:tc>
      </w:tr>
    </w:tbl>
    <w:p>
      <w:pPr>
        <w:ind w:left="3700"/>
        <w:spacing w:after="0" w:line="238" w:lineRule="auto"/>
        <w:rPr>
          <w:sz w:val="20"/>
          <w:szCs w:val="20"/>
          <w:color w:val="auto"/>
        </w:rPr>
      </w:pPr>
      <w:r>
        <w:rPr>
          <w:rFonts w:ascii="Courier New" w:cs="Courier New" w:eastAsia="Courier New" w:hAnsi="Courier New"/>
          <w:sz w:val="18"/>
          <w:szCs w:val="18"/>
          <w:color w:val="auto"/>
        </w:rPr>
        <w:t>general partner of Silverton, may be deemed</w:t>
      </w:r>
    </w:p>
    <w:p>
      <w:pPr>
        <w:ind w:left="3700"/>
        <w:spacing w:after="0"/>
        <w:rPr>
          <w:sz w:val="20"/>
          <w:szCs w:val="20"/>
          <w:color w:val="auto"/>
        </w:rPr>
      </w:pPr>
      <w:r>
        <w:rPr>
          <w:rFonts w:ascii="Courier New" w:cs="Courier New" w:eastAsia="Courier New" w:hAnsi="Courier New"/>
          <w:sz w:val="18"/>
          <w:szCs w:val="18"/>
          <w:color w:val="auto"/>
        </w:rPr>
        <w:t>to have sole power to dispose of these</w:t>
      </w:r>
    </w:p>
    <w:p>
      <w:pPr>
        <w:ind w:left="3700"/>
        <w:spacing w:after="0" w:line="237" w:lineRule="auto"/>
        <w:rPr>
          <w:sz w:val="20"/>
          <w:szCs w:val="20"/>
          <w:color w:val="auto"/>
        </w:rPr>
      </w:pPr>
      <w:r>
        <w:rPr>
          <w:rFonts w:ascii="Courier New" w:cs="Courier New" w:eastAsia="Courier New" w:hAnsi="Courier New"/>
          <w:sz w:val="18"/>
          <w:szCs w:val="18"/>
          <w:color w:val="auto"/>
        </w:rPr>
        <w:t>shares.</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ind w:left="3700" w:hanging="532"/>
        <w:spacing w:after="0"/>
        <w:tabs>
          <w:tab w:leader="none" w:pos="370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6" w:lineRule="exact"/>
        <w:rPr>
          <w:rFonts w:ascii="Courier New" w:cs="Courier New" w:eastAsia="Courier New" w:hAnsi="Courier New"/>
          <w:sz w:val="18"/>
          <w:szCs w:val="18"/>
          <w:color w:val="auto"/>
        </w:rPr>
      </w:pPr>
    </w:p>
    <w:p>
      <w:pPr>
        <w:ind w:left="3700" w:right="18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2,737,525 shares, of which 883,644 are directly owned by AV IV-A and 1,853,881 are directly owned by AV IV-B. Wood is a general partner of AVP IV, the general partner of AV IV-A and AV IV-B, and may be deemed to have shared power to dispose of these shares.</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6440"/>
        <w:spacing w:after="0"/>
        <w:rPr>
          <w:sz w:val="20"/>
          <w:szCs w:val="20"/>
          <w:color w:val="auto"/>
        </w:rPr>
      </w:pPr>
      <w:r>
        <w:rPr>
          <w:rFonts w:ascii="Courier New" w:cs="Courier New" w:eastAsia="Courier New" w:hAnsi="Courier New"/>
          <w:sz w:val="18"/>
          <w:szCs w:val="18"/>
          <w:color w:val="auto"/>
        </w:rPr>
        <w:t>2,765,106</w:t>
      </w:r>
    </w:p>
    <w:p>
      <w:pPr>
        <w:spacing w:after="0" w:line="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7.12%</w:t>
      </w:r>
    </w:p>
    <w:p>
      <w:pPr>
        <w:spacing w:after="0" w:line="4"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0" w:gutter="0" w:footer="0" w:header="0"/>
        </w:sectPr>
      </w:pPr>
    </w:p>
    <w:bookmarkStart w:id="8" w:name="page9"/>
    <w:bookmarkEnd w:id="8"/>
    <w:p>
      <w:pPr>
        <w:ind w:left="1020"/>
        <w:spacing w:after="0"/>
        <w:rPr>
          <w:sz w:val="20"/>
          <w:szCs w:val="20"/>
          <w:color w:val="auto"/>
        </w:rPr>
      </w:pPr>
      <w:r>
        <w:rPr>
          <w:rFonts w:ascii="Courier New" w:cs="Courier New" w:eastAsia="Courier New" w:hAnsi="Courier New"/>
          <w:sz w:val="16"/>
          <w:szCs w:val="16"/>
          <w:color w:val="auto"/>
        </w:rPr>
        <w:t>* SEE INSTRUCTIONS BEFORE FILLING OUT!</w:t>
      </w:r>
    </w:p>
    <w:p>
      <w:pPr>
        <w:sectPr>
          <w:pgSz w:w="11900" w:h="16838" w:orient="portrait"/>
          <w:cols w:equalWidth="0" w:num="1">
            <w:col w:w="9019"/>
          </w:cols>
          <w:pgMar w:left="1440" w:top="142"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9 of 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Active Power,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11525 Stonehollow Drive</w:t>
      </w:r>
    </w:p>
    <w:p>
      <w:pPr>
        <w:ind w:left="1160"/>
        <w:spacing w:after="0" w:line="238" w:lineRule="auto"/>
        <w:rPr>
          <w:sz w:val="20"/>
          <w:szCs w:val="20"/>
          <w:color w:val="auto"/>
        </w:rPr>
      </w:pPr>
      <w:r>
        <w:rPr>
          <w:rFonts w:ascii="Courier New" w:cs="Courier New" w:eastAsia="Courier New" w:hAnsi="Courier New"/>
          <w:sz w:val="18"/>
          <w:szCs w:val="18"/>
          <w:color w:val="auto"/>
        </w:rPr>
        <w:t>Suite 110</w:t>
      </w:r>
    </w:p>
    <w:p>
      <w:pPr>
        <w:ind w:left="1160"/>
        <w:spacing w:after="0"/>
        <w:rPr>
          <w:sz w:val="20"/>
          <w:szCs w:val="20"/>
          <w:color w:val="auto"/>
        </w:rPr>
      </w:pPr>
      <w:r>
        <w:rPr>
          <w:rFonts w:ascii="Courier New" w:cs="Courier New" w:eastAsia="Courier New" w:hAnsi="Courier New"/>
          <w:sz w:val="18"/>
          <w:szCs w:val="18"/>
          <w:color w:val="auto"/>
        </w:rPr>
        <w:t>Austin, TX 78758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07" w:lineRule="exact"/>
        <w:rPr>
          <w:sz w:val="20"/>
          <w:szCs w:val="20"/>
          <w:color w:val="auto"/>
        </w:rPr>
      </w:pPr>
    </w:p>
    <w:p>
      <w:pPr>
        <w:jc w:val="both"/>
        <w:ind w:left="1160" w:right="1779"/>
        <w:spacing w:after="0" w:line="237" w:lineRule="auto"/>
        <w:rPr>
          <w:sz w:val="20"/>
          <w:szCs w:val="20"/>
          <w:color w:val="auto"/>
        </w:rPr>
      </w:pPr>
      <w:r>
        <w:rPr>
          <w:rFonts w:ascii="Courier New" w:cs="Courier New" w:eastAsia="Courier New" w:hAnsi="Courier New"/>
          <w:sz w:val="18"/>
          <w:szCs w:val="18"/>
          <w:color w:val="auto"/>
        </w:rPr>
        <w:t>This Statement is filed by Austin Ventures IV-A, L.P., a Delaware limited partnership ("AV IV-A"), Austin Ventures IV-B, L.P., a Delaware limited partnership ("AV IV-B"), AV Partners IV, L.P., a Delaware limited partnership ("AVP IV"), Joseph C. Aragona ("Arogona"), Kenneth P. DeAngelis ("DeAngelis"), Jeffery C. Garvey ("Garvey) and William P. Wood ("Wood"), the general partners of AVP IV. The foregoing entities and individuals are collectively referred to as the "Reporting Persons."</w:t>
      </w:r>
    </w:p>
    <w:p>
      <w:pPr>
        <w:spacing w:after="0" w:line="212" w:lineRule="exact"/>
        <w:rPr>
          <w:sz w:val="20"/>
          <w:szCs w:val="20"/>
          <w:color w:val="auto"/>
        </w:rPr>
      </w:pPr>
    </w:p>
    <w:p>
      <w:pPr>
        <w:jc w:val="both"/>
        <w:ind w:left="1160" w:right="1779"/>
        <w:spacing w:after="0" w:line="237" w:lineRule="auto"/>
        <w:rPr>
          <w:sz w:val="20"/>
          <w:szCs w:val="20"/>
          <w:color w:val="auto"/>
        </w:rPr>
      </w:pPr>
      <w:r>
        <w:rPr>
          <w:rFonts w:ascii="Courier New" w:cs="Courier New" w:eastAsia="Courier New" w:hAnsi="Courier New"/>
          <w:sz w:val="18"/>
          <w:szCs w:val="18"/>
          <w:color w:val="auto"/>
        </w:rPr>
        <w:t>AVP IV, the general partner of AV IV-A and AV IV-B, may be deemed to have sole power to vote and sole power to dispose of shares of the issuer directly owned by AV IV-A and AV IV-B. Aragona, DeAngelis, Garvey and Wood are general partners of AVP IV and may be deemed to have shared power to vote and shared power to dispose of shares of the issuer directly owned by AV IV-A and AV IV-B.</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OFFICE</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address for each of the Reporting Persons is: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Austin Ventures</w:t>
      </w:r>
    </w:p>
    <w:p>
      <w:pPr>
        <w:ind w:left="1160"/>
        <w:spacing w:after="0" w:line="238" w:lineRule="auto"/>
        <w:rPr>
          <w:sz w:val="20"/>
          <w:szCs w:val="20"/>
          <w:color w:val="auto"/>
        </w:rPr>
      </w:pPr>
      <w:r>
        <w:rPr>
          <w:rFonts w:ascii="Courier New" w:cs="Courier New" w:eastAsia="Courier New" w:hAnsi="Courier New"/>
          <w:sz w:val="18"/>
          <w:szCs w:val="18"/>
          <w:color w:val="auto"/>
        </w:rPr>
        <w:t>701 N. Brazos St., Suite 1400</w:t>
      </w:r>
    </w:p>
    <w:p>
      <w:pPr>
        <w:ind w:left="1160"/>
        <w:spacing w:after="0"/>
        <w:rPr>
          <w:sz w:val="20"/>
          <w:szCs w:val="20"/>
          <w:color w:val="auto"/>
        </w:rPr>
      </w:pPr>
      <w:r>
        <w:rPr>
          <w:rFonts w:ascii="Courier New" w:cs="Courier New" w:eastAsia="Courier New" w:hAnsi="Courier New"/>
          <w:sz w:val="18"/>
          <w:szCs w:val="18"/>
          <w:color w:val="auto"/>
        </w:rPr>
        <w:t>Austin, Texas 78701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7" w:lineRule="exact"/>
        <w:rPr>
          <w:sz w:val="20"/>
          <w:szCs w:val="20"/>
          <w:color w:val="auto"/>
        </w:rPr>
      </w:pPr>
    </w:p>
    <w:p>
      <w:pPr>
        <w:jc w:val="both"/>
        <w:ind w:left="1160" w:right="1779"/>
        <w:spacing w:after="0" w:line="235" w:lineRule="auto"/>
        <w:rPr>
          <w:sz w:val="20"/>
          <w:szCs w:val="20"/>
          <w:color w:val="auto"/>
        </w:rPr>
      </w:pPr>
      <w:r>
        <w:rPr>
          <w:rFonts w:ascii="Courier New" w:cs="Courier New" w:eastAsia="Courier New" w:hAnsi="Courier New"/>
          <w:sz w:val="18"/>
          <w:szCs w:val="18"/>
          <w:color w:val="auto"/>
        </w:rPr>
        <w:t>AV IV-A, AV IV-B and AVP IV, are Delaware limited partnerships Aragona, DeAngelis, Garvey and Wood are United States citizens.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AND (E). TITLE OF CLASS OF SECURITIES AND 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w:t>
      </w:r>
    </w:p>
    <w:p>
      <w:pPr>
        <w:ind w:left="1160"/>
        <w:spacing w:after="0" w:line="238" w:lineRule="auto"/>
        <w:rPr>
          <w:sz w:val="20"/>
          <w:szCs w:val="20"/>
          <w:color w:val="auto"/>
        </w:rPr>
      </w:pPr>
      <w:r>
        <w:rPr>
          <w:rFonts w:ascii="Courier New" w:cs="Courier New" w:eastAsia="Courier New" w:hAnsi="Courier New"/>
          <w:sz w:val="18"/>
          <w:szCs w:val="18"/>
          <w:color w:val="auto"/>
        </w:rPr>
        <w:t>CUSIP # 00504W100</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1160" w:right="1779"/>
        <w:spacing w:after="0" w:line="236" w:lineRule="auto"/>
        <w:rPr>
          <w:sz w:val="20"/>
          <w:szCs w:val="20"/>
          <w:color w:val="auto"/>
        </w:rPr>
      </w:pPr>
      <w:r>
        <w:rPr>
          <w:rFonts w:ascii="Courier New" w:cs="Courier New" w:eastAsia="Courier New" w:hAnsi="Courier New"/>
          <w:sz w:val="18"/>
          <w:szCs w:val="18"/>
          <w:color w:val="auto"/>
        </w:rPr>
        <w:t>The following information with respect to the ownership of the Common Stock of the issuer by the persons filing this Statement is provided as of December 31, 2000:</w:t>
      </w:r>
    </w:p>
    <w:p>
      <w:pPr>
        <w:spacing w:after="0" w:line="203" w:lineRule="exact"/>
        <w:rPr>
          <w:sz w:val="20"/>
          <w:szCs w:val="20"/>
          <w:color w:val="auto"/>
        </w:rPr>
      </w:pPr>
    </w:p>
    <w:p>
      <w:pPr>
        <w:ind w:left="2000" w:hanging="412"/>
        <w:spacing w:after="0"/>
        <w:tabs>
          <w:tab w:leader="none" w:pos="20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2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Row 9 of cover page for each Reporting Person.</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ectPr>
          <w:pgSz w:w="11900" w:h="16838" w:orient="portrait"/>
          <w:cols w:equalWidth="0" w:num="1">
            <w:col w:w="10219"/>
          </w:cols>
          <w:pgMar w:left="240" w:top="919"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Page 10 of 15</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See Row 11 of cover page for each Reporting Person.</w:t>
      </w:r>
    </w:p>
    <w:p>
      <w:pPr>
        <w:spacing w:after="0" w:line="201" w:lineRule="exact"/>
        <w:rPr>
          <w:sz w:val="20"/>
          <w:szCs w:val="20"/>
          <w:color w:val="auto"/>
        </w:rPr>
      </w:pPr>
    </w:p>
    <w:p>
      <w:pPr>
        <w:ind w:left="2000" w:hanging="412"/>
        <w:spacing w:after="0"/>
        <w:tabs>
          <w:tab w:leader="none" w:pos="200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3280" w:hanging="849"/>
        <w:spacing w:after="0"/>
        <w:tabs>
          <w:tab w:leader="none" w:pos="32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rFonts w:ascii="Courier New" w:cs="Courier New" w:eastAsia="Courier New" w:hAnsi="Courier New"/>
          <w:sz w:val="18"/>
          <w:szCs w:val="18"/>
          <w:color w:val="auto"/>
        </w:rPr>
      </w:pPr>
    </w:p>
    <w:p>
      <w:pPr>
        <w:ind w:left="32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5 of cover page for each Reporting Person.</w:t>
      </w:r>
    </w:p>
    <w:p>
      <w:pPr>
        <w:spacing w:after="0" w:line="202" w:lineRule="exact"/>
        <w:rPr>
          <w:rFonts w:ascii="Courier New" w:cs="Courier New" w:eastAsia="Courier New" w:hAnsi="Courier New"/>
          <w:sz w:val="18"/>
          <w:szCs w:val="18"/>
          <w:color w:val="auto"/>
        </w:rPr>
      </w:pPr>
    </w:p>
    <w:p>
      <w:pPr>
        <w:ind w:left="3280" w:hanging="849"/>
        <w:spacing w:after="0"/>
        <w:tabs>
          <w:tab w:leader="none" w:pos="32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6" w:lineRule="exact"/>
        <w:rPr>
          <w:rFonts w:ascii="Courier New" w:cs="Courier New" w:eastAsia="Courier New" w:hAnsi="Courier New"/>
          <w:sz w:val="18"/>
          <w:szCs w:val="18"/>
          <w:color w:val="auto"/>
        </w:rPr>
      </w:pPr>
    </w:p>
    <w:p>
      <w:pPr>
        <w:ind w:left="32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6 of cover page for each Reporting Person.</w:t>
      </w:r>
    </w:p>
    <w:p>
      <w:pPr>
        <w:spacing w:after="0" w:line="208" w:lineRule="exact"/>
        <w:rPr>
          <w:rFonts w:ascii="Courier New" w:cs="Courier New" w:eastAsia="Courier New" w:hAnsi="Courier New"/>
          <w:sz w:val="18"/>
          <w:szCs w:val="18"/>
          <w:color w:val="auto"/>
        </w:rPr>
      </w:pPr>
    </w:p>
    <w:p>
      <w:pPr>
        <w:ind w:left="3280" w:right="1779" w:hanging="849"/>
        <w:spacing w:after="0" w:line="235" w:lineRule="auto"/>
        <w:tabs>
          <w:tab w:leader="none" w:pos="32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8" w:lineRule="exact"/>
        <w:rPr>
          <w:rFonts w:ascii="Courier New" w:cs="Courier New" w:eastAsia="Courier New" w:hAnsi="Courier New"/>
          <w:sz w:val="18"/>
          <w:szCs w:val="18"/>
          <w:color w:val="auto"/>
        </w:rPr>
      </w:pPr>
    </w:p>
    <w:p>
      <w:pPr>
        <w:ind w:left="32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of cover page for each Reporting Person.</w:t>
      </w:r>
    </w:p>
    <w:p>
      <w:pPr>
        <w:spacing w:after="0" w:line="208" w:lineRule="exact"/>
        <w:rPr>
          <w:rFonts w:ascii="Courier New" w:cs="Courier New" w:eastAsia="Courier New" w:hAnsi="Courier New"/>
          <w:sz w:val="18"/>
          <w:szCs w:val="18"/>
          <w:color w:val="auto"/>
        </w:rPr>
      </w:pPr>
    </w:p>
    <w:p>
      <w:pPr>
        <w:ind w:left="3280" w:right="1779" w:hanging="849"/>
        <w:spacing w:after="0" w:line="235" w:lineRule="auto"/>
        <w:tabs>
          <w:tab w:leader="none" w:pos="328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8" w:lineRule="exact"/>
        <w:rPr>
          <w:rFonts w:ascii="Courier New" w:cs="Courier New" w:eastAsia="Courier New" w:hAnsi="Courier New"/>
          <w:sz w:val="18"/>
          <w:szCs w:val="18"/>
          <w:color w:val="auto"/>
        </w:rPr>
      </w:pPr>
    </w:p>
    <w:p>
      <w:pPr>
        <w:ind w:left="328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of cover page for each Reporting Person.</w:t>
      </w:r>
    </w:p>
    <w:p>
      <w:pPr>
        <w:spacing w:after="0" w:line="200" w:lineRule="exact"/>
        <w:rPr>
          <w:sz w:val="20"/>
          <w:szCs w:val="20"/>
          <w:color w:val="auto"/>
        </w:rPr>
      </w:pPr>
    </w:p>
    <w:p>
      <w:pPr>
        <w:spacing w:after="0" w:line="20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jc w:val="both"/>
        <w:ind w:left="1160" w:right="1779"/>
        <w:spacing w:after="0" w:line="273" w:lineRule="auto"/>
        <w:rPr>
          <w:sz w:val="20"/>
          <w:szCs w:val="20"/>
          <w:color w:val="auto"/>
        </w:rPr>
      </w:pPr>
      <w:r>
        <w:rPr>
          <w:rFonts w:ascii="Courier New" w:cs="Courier New" w:eastAsia="Courier New" w:hAnsi="Courier New"/>
          <w:sz w:val="16"/>
          <w:szCs w:val="16"/>
          <w:color w:val="auto"/>
        </w:rPr>
        <w:t>Under certain circumstances set forth in the limited partnership agreements of AV IV-A, AV IV-B and AVP IV, the general and limited partners of each of such entities may be deemed to have the right to receive dividends from, or the proceeds from, the sale of shares of the issuer owned by each such entity of which they are a partner.</w:t>
      </w:r>
    </w:p>
    <w:p>
      <w:pPr>
        <w:spacing w:after="0" w:line="382" w:lineRule="exact"/>
        <w:rPr>
          <w:sz w:val="20"/>
          <w:szCs w:val="20"/>
          <w:color w:val="auto"/>
        </w:rPr>
      </w:pPr>
    </w:p>
    <w:p>
      <w:pPr>
        <w:spacing w:after="0"/>
        <w:tabs>
          <w:tab w:leader="none" w:pos="1140" w:val="left"/>
          <w:tab w:leader="none" w:pos="2840" w:val="left"/>
          <w:tab w:leader="none" w:pos="3360" w:val="left"/>
          <w:tab w:leader="none" w:pos="5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w:t>
        <w:tab/>
        <w:t>AND</w:t>
        <w:tab/>
        <w:t>CLASSIFICATION</w:t>
      </w:r>
      <w:r>
        <w:rPr>
          <w:sz w:val="20"/>
          <w:szCs w:val="20"/>
          <w:color w:val="auto"/>
        </w:rPr>
        <w:tab/>
      </w:r>
      <w:r>
        <w:rPr>
          <w:rFonts w:ascii="Courier New" w:cs="Courier New" w:eastAsia="Courier New" w:hAnsi="Courier New"/>
          <w:sz w:val="16"/>
          <w:szCs w:val="16"/>
          <w:color w:val="auto"/>
        </w:rPr>
        <w:t>OF THE SUBSIDIARY WHICH ACQUIRED</w:t>
      </w:r>
    </w:p>
    <w:p>
      <w:pPr>
        <w:ind w:left="1160"/>
        <w:spacing w:after="0" w:line="238" w:lineRule="auto"/>
        <w:rPr>
          <w:sz w:val="20"/>
          <w:szCs w:val="20"/>
          <w:color w:val="auto"/>
        </w:rPr>
      </w:pPr>
      <w:r>
        <w:rPr>
          <w:rFonts w:ascii="Courier New" w:cs="Courier New" w:eastAsia="Courier New" w:hAnsi="Courier New"/>
          <w:sz w:val="18"/>
          <w:szCs w:val="18"/>
          <w:color w:val="auto"/>
        </w:rPr>
        <w:t>THE SECURITY BEING REPORTED ON BY THE PARENT HOLDING COMPANY</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919"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Page 11 of 15</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2001</w:t>
      </w: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AUSTIN VENTURES IV-A, L.P., a Delaware Limited</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Partnership</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AV Partners IV, L.P., a Delaware Limited</w:t>
      </w:r>
    </w:p>
    <w:p>
      <w:pPr>
        <w:ind w:left="4020"/>
        <w:spacing w:after="0" w:line="238" w:lineRule="auto"/>
        <w:rPr>
          <w:sz w:val="20"/>
          <w:szCs w:val="20"/>
          <w:color w:val="auto"/>
        </w:rPr>
      </w:pPr>
      <w:r>
        <w:rPr>
          <w:rFonts w:ascii="Courier New" w:cs="Courier New" w:eastAsia="Courier New" w:hAnsi="Courier New"/>
          <w:sz w:val="18"/>
          <w:szCs w:val="18"/>
          <w:color w:val="auto"/>
        </w:rPr>
        <w:t>Partnership</w:t>
      </w:r>
    </w:p>
    <w:p>
      <w:pPr>
        <w:ind w:left="40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Kenneth P. DeAngelis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Kenneth P. DeAngelis</w:t>
      </w:r>
    </w:p>
    <w:p>
      <w:pPr>
        <w:ind w:left="402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AUSTIN VENTURES IV-B, L.P., a Delaware Limited</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Partnership</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AV Partners IV, L.P., a Delaware Limited</w:t>
      </w:r>
    </w:p>
    <w:p>
      <w:pPr>
        <w:ind w:left="4020"/>
        <w:spacing w:after="0" w:line="238" w:lineRule="auto"/>
        <w:rPr>
          <w:sz w:val="20"/>
          <w:szCs w:val="20"/>
          <w:color w:val="auto"/>
        </w:rPr>
      </w:pPr>
      <w:r>
        <w:rPr>
          <w:rFonts w:ascii="Courier New" w:cs="Courier New" w:eastAsia="Courier New" w:hAnsi="Courier New"/>
          <w:sz w:val="18"/>
          <w:szCs w:val="18"/>
          <w:color w:val="auto"/>
        </w:rPr>
        <w:t>Partnership</w:t>
      </w:r>
    </w:p>
    <w:p>
      <w:pPr>
        <w:ind w:left="40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Kenneth P. DeAngelis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Kenneth P. DeAngelis</w:t>
      </w:r>
    </w:p>
    <w:p>
      <w:pPr>
        <w:ind w:left="4020"/>
        <w:spacing w:after="0" w:line="238" w:lineRule="auto"/>
        <w:rPr>
          <w:sz w:val="20"/>
          <w:szCs w:val="20"/>
          <w:color w:val="auto"/>
        </w:rPr>
      </w:pPr>
      <w:r>
        <w:rPr>
          <w:rFonts w:ascii="Courier New" w:cs="Courier New" w:eastAsia="Courier New" w:hAnsi="Courier New"/>
          <w:sz w:val="18"/>
          <w:szCs w:val="18"/>
          <w:color w:val="auto"/>
        </w:rPr>
        <w:t>General Partner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AV PARTNERS IV, L.P.., a Delaware Limited</w:t>
      </w:r>
    </w:p>
    <w:p>
      <w:pPr>
        <w:ind w:left="3580"/>
        <w:spacing w:after="0" w:line="238" w:lineRule="auto"/>
        <w:rPr>
          <w:sz w:val="20"/>
          <w:szCs w:val="20"/>
          <w:color w:val="auto"/>
        </w:rPr>
      </w:pPr>
      <w:r>
        <w:rPr>
          <w:rFonts w:ascii="Courier New" w:cs="Courier New" w:eastAsia="Courier New" w:hAnsi="Courier New"/>
          <w:sz w:val="18"/>
          <w:szCs w:val="18"/>
          <w:color w:val="auto"/>
        </w:rPr>
        <w:t>Partnership</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Kenneth P. DeAngelis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Kenneth P. DeAngelis</w:t>
      </w:r>
    </w:p>
    <w:p>
      <w:pPr>
        <w:ind w:left="4020"/>
        <w:spacing w:after="0" w:line="238" w:lineRule="auto"/>
        <w:rPr>
          <w:sz w:val="20"/>
          <w:szCs w:val="20"/>
          <w:color w:val="auto"/>
        </w:rPr>
      </w:pPr>
      <w:r>
        <w:rPr>
          <w:rFonts w:ascii="Courier New" w:cs="Courier New" w:eastAsia="Courier New" w:hAnsi="Courier New"/>
          <w:sz w:val="18"/>
          <w:szCs w:val="18"/>
          <w:color w:val="auto"/>
        </w:rPr>
        <w:t>General Partner</w:t>
      </w:r>
    </w:p>
    <w:p>
      <w:pPr>
        <w:sectPr>
          <w:pgSz w:w="11900" w:h="16838" w:orient="portrait"/>
          <w:cols w:equalWidth="0" w:num="1">
            <w:col w:w="10219"/>
          </w:cols>
          <w:pgMar w:left="240" w:top="919" w:right="1440" w:bottom="1440" w:gutter="0" w:footer="0" w:header="0"/>
        </w:sectPr>
      </w:pPr>
    </w:p>
    <w:bookmarkStart w:id="12" w:name="page13"/>
    <w:bookmarkEnd w:id="12"/>
    <w:p>
      <w:pPr>
        <w:jc w:val="right"/>
        <w:ind w:right="1779"/>
        <w:spacing w:after="0"/>
        <w:rPr>
          <w:sz w:val="20"/>
          <w:szCs w:val="20"/>
          <w:color w:val="auto"/>
        </w:rPr>
      </w:pPr>
      <w:r>
        <w:rPr>
          <w:rFonts w:ascii="Courier New" w:cs="Courier New" w:eastAsia="Courier New" w:hAnsi="Courier New"/>
          <w:sz w:val="18"/>
          <w:szCs w:val="18"/>
          <w:color w:val="auto"/>
        </w:rPr>
        <w:t>Page 12 of 15</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JOSEPH C. ARAGONA</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Joseph C. Aragona</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Joseph C. Aragona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KENNETH P. DeANGELIS</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Kenneth P. DeAngelis</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Kenneth P. DeAngelis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JEFFERY C. GARVEY</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Jeffery C. Garvey</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Jeffery C. Garvey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WILLIAM P. WOOD</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William P. Wood</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William P. Wood</w:t>
      </w:r>
    </w:p>
    <w:p>
      <w:pPr>
        <w:sectPr>
          <w:pgSz w:w="11900" w:h="16838" w:orient="portrait"/>
          <w:cols w:equalWidth="0" w:num="1">
            <w:col w:w="9019"/>
          </w:cols>
          <w:pgMar w:left="1440" w:top="919" w:right="1440" w:bottom="1440" w:gutter="0" w:footer="0" w:header="0"/>
        </w:sectPr>
      </w:pPr>
    </w:p>
    <w:bookmarkStart w:id="13" w:name="page14"/>
    <w:bookmarkEnd w:id="13"/>
    <w:p>
      <w:pPr>
        <w:ind w:left="7060"/>
        <w:spacing w:after="0"/>
        <w:rPr>
          <w:sz w:val="20"/>
          <w:szCs w:val="20"/>
          <w:color w:val="auto"/>
        </w:rPr>
      </w:pPr>
      <w:r>
        <w:rPr>
          <w:rFonts w:ascii="Courier New" w:cs="Courier New" w:eastAsia="Courier New" w:hAnsi="Courier New"/>
          <w:sz w:val="16"/>
          <w:szCs w:val="16"/>
          <w:color w:val="auto"/>
        </w:rPr>
        <w:t>Page 13 of 15</w:t>
      </w:r>
    </w:p>
    <w:p>
      <w:pPr>
        <w:spacing w:after="0" w:line="200" w:lineRule="exact"/>
        <w:rPr>
          <w:sz w:val="20"/>
          <w:szCs w:val="20"/>
          <w:color w:val="auto"/>
        </w:rPr>
      </w:pP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 of Joint Filing</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Found on</w:t>
      </w:r>
    </w:p>
    <w:p>
      <w:pPr>
        <w:spacing w:after="0" w:line="238" w:lineRule="auto"/>
        <w:rPr>
          <w:sz w:val="20"/>
          <w:szCs w:val="20"/>
          <w:color w:val="auto"/>
        </w:rPr>
      </w:pPr>
      <w:r>
        <w:rPr>
          <w:rFonts w:ascii="Courier New" w:cs="Courier New" w:eastAsia="Courier New" w:hAnsi="Courier New"/>
          <w:sz w:val="18"/>
          <w:szCs w:val="18"/>
          <w:color w:val="auto"/>
        </w:rPr>
        <w:t>Sequentially</w:t>
      </w:r>
    </w:p>
    <w:p>
      <w:pPr>
        <w:spacing w:after="0"/>
        <w:rPr>
          <w:sz w:val="20"/>
          <w:szCs w:val="20"/>
          <w:color w:val="auto"/>
        </w:rPr>
      </w:pPr>
      <w:r>
        <w:rPr>
          <w:rFonts w:ascii="Courier New" w:cs="Courier New" w:eastAsia="Courier New" w:hAnsi="Courier New"/>
          <w:sz w:val="18"/>
          <w:szCs w:val="18"/>
          <w:color w:val="auto"/>
        </w:rPr>
        <w:t>Numbered Page</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3">
            <w:col w:w="1060" w:space="220"/>
            <w:col w:w="4860" w:space="720"/>
            <w:col w:w="3359"/>
          </w:cols>
          <w:pgMar w:left="240" w:top="925" w:right="1440" w:bottom="1440" w:gutter="0" w:footer="0" w:header="0"/>
          <w:type w:val="continuous"/>
        </w:sectPr>
      </w:pPr>
    </w:p>
    <w:bookmarkStart w:id="14" w:name="page15"/>
    <w:bookmarkEnd w:id="14"/>
    <w:p>
      <w:pPr>
        <w:jc w:val="right"/>
        <w:ind w:right="1779"/>
        <w:spacing w:after="0"/>
        <w:rPr>
          <w:sz w:val="20"/>
          <w:szCs w:val="20"/>
          <w:color w:val="auto"/>
        </w:rPr>
      </w:pPr>
      <w:r>
        <w:rPr>
          <w:rFonts w:ascii="Courier New" w:cs="Courier New" w:eastAsia="Courier New" w:hAnsi="Courier New"/>
          <w:sz w:val="18"/>
          <w:szCs w:val="18"/>
          <w:color w:val="auto"/>
        </w:rPr>
        <w:t>Page 14 of 15</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The undersigned hereby agree that a single Schedule 13G (or any amendment thereto) relating to the Common Stock of Active Power, Inc. shall be filed on behalf of each of the undersigned and that this Agreement shall be filed as an exhibit to such Schedule 13G.</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2001</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AV PARTNERS IV, L.P.,</w:t>
      </w:r>
    </w:p>
    <w:p>
      <w:pPr>
        <w:ind w:left="3580"/>
        <w:spacing w:after="0" w:line="238" w:lineRule="auto"/>
        <w:rPr>
          <w:sz w:val="20"/>
          <w:szCs w:val="20"/>
          <w:color w:val="auto"/>
        </w:rPr>
      </w:pPr>
      <w:r>
        <w:rPr>
          <w:rFonts w:ascii="Courier New" w:cs="Courier New" w:eastAsia="Courier New" w:hAnsi="Courier New"/>
          <w:sz w:val="18"/>
          <w:szCs w:val="18"/>
          <w:color w:val="auto"/>
        </w:rPr>
        <w:t>a Delaware Limited Partnership</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Kenneth P. DeAngelis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Kenneth P. DeAngelis, General Partner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AUSTIN VENTURES IV-A, L.P.,</w:t>
      </w:r>
    </w:p>
    <w:p>
      <w:pPr>
        <w:ind w:left="3580"/>
        <w:spacing w:after="0" w:line="238" w:lineRule="auto"/>
        <w:rPr>
          <w:sz w:val="20"/>
          <w:szCs w:val="20"/>
          <w:color w:val="auto"/>
        </w:rPr>
      </w:pPr>
      <w:r>
        <w:rPr>
          <w:rFonts w:ascii="Courier New" w:cs="Courier New" w:eastAsia="Courier New" w:hAnsi="Courier New"/>
          <w:sz w:val="18"/>
          <w:szCs w:val="18"/>
          <w:color w:val="auto"/>
        </w:rPr>
        <w:t>a Delaware Limited Partnership</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AV Partners IV, L.P.,</w:t>
      </w:r>
    </w:p>
    <w:p>
      <w:pPr>
        <w:ind w:left="4020"/>
        <w:spacing w:after="0" w:line="238" w:lineRule="auto"/>
        <w:rPr>
          <w:sz w:val="20"/>
          <w:szCs w:val="20"/>
          <w:color w:val="auto"/>
        </w:rPr>
      </w:pPr>
      <w:r>
        <w:rPr>
          <w:rFonts w:ascii="Courier New" w:cs="Courier New" w:eastAsia="Courier New" w:hAnsi="Courier New"/>
          <w:sz w:val="18"/>
          <w:szCs w:val="18"/>
          <w:color w:val="auto"/>
        </w:rPr>
        <w:t>a Delaware Limited Partnership</w:t>
      </w:r>
    </w:p>
    <w:p>
      <w:pPr>
        <w:ind w:left="40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Kenneth P. DeAngelis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Kenneth P. DeAngelis, General Partner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AUSTIN VENTURES IV-B, L.P.,</w:t>
      </w:r>
    </w:p>
    <w:p>
      <w:pPr>
        <w:ind w:left="3700"/>
        <w:spacing w:after="0" w:line="238" w:lineRule="auto"/>
        <w:rPr>
          <w:sz w:val="20"/>
          <w:szCs w:val="20"/>
          <w:color w:val="auto"/>
        </w:rPr>
      </w:pPr>
      <w:r>
        <w:rPr>
          <w:rFonts w:ascii="Courier New" w:cs="Courier New" w:eastAsia="Courier New" w:hAnsi="Courier New"/>
          <w:sz w:val="18"/>
          <w:szCs w:val="18"/>
          <w:color w:val="auto"/>
        </w:rPr>
        <w:t>a Delaware Limited Partnership</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AV Partners IV, L.P.,</w:t>
      </w:r>
    </w:p>
    <w:p>
      <w:pPr>
        <w:ind w:left="4020"/>
        <w:spacing w:after="0" w:line="238" w:lineRule="auto"/>
        <w:rPr>
          <w:sz w:val="20"/>
          <w:szCs w:val="20"/>
          <w:color w:val="auto"/>
        </w:rPr>
      </w:pPr>
      <w:r>
        <w:rPr>
          <w:rFonts w:ascii="Courier New" w:cs="Courier New" w:eastAsia="Courier New" w:hAnsi="Courier New"/>
          <w:sz w:val="18"/>
          <w:szCs w:val="18"/>
          <w:color w:val="auto"/>
        </w:rPr>
        <w:t>a Delaware Limited Partnership</w:t>
      </w:r>
    </w:p>
    <w:p>
      <w:pPr>
        <w:ind w:left="4020"/>
        <w:spacing w:after="0"/>
        <w:rPr>
          <w:sz w:val="20"/>
          <w:szCs w:val="20"/>
          <w:color w:val="auto"/>
        </w:rPr>
      </w:pPr>
      <w:r>
        <w:rPr>
          <w:rFonts w:ascii="Courier New" w:cs="Courier New" w:eastAsia="Courier New" w:hAnsi="Courier New"/>
          <w:sz w:val="18"/>
          <w:szCs w:val="18"/>
          <w:color w:val="auto"/>
        </w:rPr>
        <w:t>Its General Partner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w:t>
      </w:r>
    </w:p>
    <w:p>
      <w:pPr>
        <w:jc w:val="center"/>
        <w:ind w:right="79"/>
        <w:spacing w:after="0" w:line="238" w:lineRule="auto"/>
        <w:rPr>
          <w:sz w:val="20"/>
          <w:szCs w:val="20"/>
          <w:color w:val="auto"/>
        </w:rPr>
      </w:pPr>
      <w:r>
        <w:rPr>
          <w:rFonts w:ascii="Courier New" w:cs="Courier New" w:eastAsia="Courier New" w:hAnsi="Courier New"/>
          <w:sz w:val="18"/>
          <w:szCs w:val="18"/>
          <w:color w:val="auto"/>
        </w:rPr>
        <w:t>By: /s/ Kenneth P. DeAngelis</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Kenneth P. DeAngelis, General Partner</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Joseph C. Aragona</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Joseph C. Aragona</w:t>
      </w:r>
    </w:p>
    <w:p>
      <w:pPr>
        <w:sectPr>
          <w:pgSz w:w="11900" w:h="16838" w:orient="portrait"/>
          <w:cols w:equalWidth="0" w:num="1">
            <w:col w:w="10219"/>
          </w:cols>
          <w:pgMar w:left="240" w:top="919" w:right="1440" w:bottom="1440" w:gutter="0" w:footer="0" w:header="0"/>
        </w:sectPr>
      </w:pPr>
    </w:p>
    <w:bookmarkStart w:id="15" w:name="page16"/>
    <w:bookmarkEnd w:id="15"/>
    <w:p>
      <w:pPr>
        <w:jc w:val="right"/>
        <w:ind w:right="1779"/>
        <w:spacing w:after="0"/>
        <w:rPr>
          <w:sz w:val="20"/>
          <w:szCs w:val="20"/>
          <w:color w:val="auto"/>
        </w:rPr>
      </w:pPr>
      <w:r>
        <w:rPr>
          <w:rFonts w:ascii="Courier New" w:cs="Courier New" w:eastAsia="Courier New" w:hAnsi="Courier New"/>
          <w:sz w:val="18"/>
          <w:szCs w:val="18"/>
          <w:color w:val="auto"/>
        </w:rPr>
        <w:t>Page 15 of 15</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Kenneth P. DeAngelis</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Kenneth P. DeAngelis</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Jeffery C. Garvey</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Jeffery C. Garvey</w:t>
      </w:r>
    </w:p>
    <w:p>
      <w:pPr>
        <w:spacing w:after="0" w:line="200" w:lineRule="exact"/>
        <w:rPr>
          <w:sz w:val="20"/>
          <w:szCs w:val="20"/>
          <w:color w:val="auto"/>
        </w:rPr>
      </w:pPr>
    </w:p>
    <w:p>
      <w:pPr>
        <w:spacing w:after="0" w:line="204"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By: /s/ William P. Wood</w:t>
      </w:r>
    </w:p>
    <w:p>
      <w:pPr>
        <w:spacing w:after="0" w:line="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William P. Wood</w:t>
      </w:r>
    </w:p>
    <w:sectPr>
      <w:pgSz w:w="11900" w:h="16838" w:orient="portrait"/>
      <w:cols w:equalWidth="0" w:num="1">
        <w:col w:w="9019"/>
      </w:cols>
      <w:pgMar w:left="14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lvl w:ilvl="1">
      <w:lvlJc w:val="left"/>
      <w:lvlText w:val="%2"/>
      <w:numFmt w:val="upperLetter"/>
      <w:start w:val="1"/>
    </w:lvl>
  </w:abstractNum>
  <w:abstractNum w:abstractNumId="6">
    <w:nsid w:val="2901D82"/>
    <w:multiLevelType w:val="hybridMultilevel"/>
    <w:lvl w:ilvl="0">
      <w:lvlJc w:val="left"/>
      <w:lvlText w:val="-"/>
      <w:numFmt w:val="bullet"/>
      <w:start w:val="1"/>
    </w:lvl>
    <w:lvl w:ilvl="1">
      <w:lvlJc w:val="left"/>
      <w:lvlText w:val="(%2)"/>
      <w:numFmt w:val="lowerLetter"/>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7"/>
      <w:numFmt w:val="bullet"/>
      <w:start w:val="1"/>
    </w:lvl>
  </w:abstractNum>
  <w:abstractNum w:abstractNumId="9">
    <w:nsid w:val="1E7FF521"/>
    <w:multiLevelType w:val="hybridMultilevel"/>
    <w:lvl w:ilvl="0">
      <w:lvlJc w:val="left"/>
      <w:lvlText w:val="-"/>
      <w:numFmt w:val="bullet"/>
      <w:start w:val="1"/>
    </w:lvl>
    <w:lvl w:ilvl="1">
      <w:lvlJc w:val="left"/>
      <w:lvlText w:val="8"/>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lvl w:ilvl="1">
      <w:lvlJc w:val="left"/>
      <w:lvlText w:val="*"/>
      <w:numFmt w:val="bullet"/>
      <w:start w:val="1"/>
    </w:lvl>
  </w:abstractNum>
  <w:abstractNum w:abstractNumId="14">
    <w:nsid w:val="4516DDE9"/>
    <w:multiLevelType w:val="hybridMultilevel"/>
    <w:lvl w:ilvl="0">
      <w:lvlJc w:val="left"/>
      <w:lvlText w:val="-"/>
      <w:numFmt w:val="bullet"/>
      <w:start w:val="1"/>
    </w:lvl>
    <w:lvl w:ilvl="1">
      <w:lvlJc w:val="left"/>
      <w:lvlText w:val="%2"/>
      <w:numFmt w:val="upperLetter"/>
      <w:start w:val="1"/>
    </w:lvl>
  </w:abstractNum>
  <w:abstractNum w:abstractNumId="15">
    <w:nsid w:val="3006C83E"/>
    <w:multiLevelType w:val="hybridMultilevel"/>
    <w:lvl w:ilvl="0">
      <w:lvlJc w:val="left"/>
      <w:lvlText w:val="-"/>
      <w:numFmt w:val="bullet"/>
      <w:start w:val="1"/>
    </w:lvl>
    <w:lvl w:ilvl="1">
      <w:lvlJc w:val="left"/>
      <w:lvlText w:val="(%2)"/>
      <w:numFmt w:val="lowerLetter"/>
      <w:start w:val="1"/>
    </w:lvl>
  </w:abstractNum>
  <w:abstractNum w:abstractNumId="16">
    <w:nsid w:val="614FD4A1"/>
    <w:multiLevelType w:val="hybridMultilevel"/>
    <w:lvl w:ilvl="0">
      <w:lvlJc w:val="left"/>
      <w:lvlText w:val="7"/>
      <w:numFmt w:val="bullet"/>
      <w:start w:val="1"/>
    </w:lvl>
  </w:abstractNum>
  <w:abstractNum w:abstractNumId="17">
    <w:nsid w:val="419AC241"/>
    <w:multiLevelType w:val="hybridMultilevel"/>
    <w:lvl w:ilvl="0">
      <w:lvlJc w:val="left"/>
      <w:lvlText w:val="-"/>
      <w:numFmt w:val="bullet"/>
      <w:start w:val="1"/>
    </w:lvl>
    <w:lvl w:ilvl="1">
      <w:lvlJc w:val="left"/>
      <w:lvlText w:val="8"/>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lvl w:ilvl="1">
      <w:lvlJc w:val="left"/>
      <w:lvlText w:val="*"/>
      <w:numFmt w:val="bullet"/>
      <w:start w:val="1"/>
    </w:lvl>
  </w:abstractNum>
  <w:abstractNum w:abstractNumId="22">
    <w:nsid w:val="77465F01"/>
    <w:multiLevelType w:val="hybridMultilevel"/>
    <w:lvl w:ilvl="0">
      <w:lvlJc w:val="left"/>
      <w:lvlText w:val="-"/>
      <w:numFmt w:val="bullet"/>
      <w:start w:val="1"/>
    </w:lvl>
    <w:lvl w:ilvl="1">
      <w:lvlJc w:val="left"/>
      <w:lvlText w:val="%2"/>
      <w:numFmt w:val="upperLetter"/>
      <w:start w:val="1"/>
    </w:lvl>
  </w:abstractNum>
  <w:abstractNum w:abstractNumId="23">
    <w:nsid w:val="7724C67E"/>
    <w:multiLevelType w:val="hybridMultilevel"/>
    <w:lvl w:ilvl="0">
      <w:lvlJc w:val="left"/>
      <w:lvlText w:val="-"/>
      <w:numFmt w:val="bullet"/>
      <w:start w:val="1"/>
    </w:lvl>
    <w:lvl w:ilvl="1">
      <w:lvlJc w:val="left"/>
      <w:lvlText w:val="(%2)"/>
      <w:numFmt w:val="lowerLetter"/>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lvl w:ilvl="1">
      <w:lvlJc w:val="left"/>
      <w:lvlText w:val="*"/>
      <w:numFmt w:val="bullet"/>
      <w:start w:val="1"/>
    </w:lvl>
  </w:abstractNum>
  <w:abstractNum w:abstractNumId="29">
    <w:nsid w:val="580BD78F"/>
    <w:multiLevelType w:val="hybridMultilevel"/>
    <w:lvl w:ilvl="0">
      <w:lvlJc w:val="left"/>
      <w:lvlText w:val="-"/>
      <w:numFmt w:val="bullet"/>
      <w:start w:val="1"/>
    </w:lvl>
    <w:lvl w:ilvl="1">
      <w:lvlJc w:val="left"/>
      <w:lvlText w:val="%2"/>
      <w:numFmt w:val="upperLetter"/>
      <w:start w:val="1"/>
    </w:lvl>
  </w:abstractNum>
  <w:abstractNum w:abstractNumId="30">
    <w:nsid w:val="153EA438"/>
    <w:multiLevelType w:val="hybridMultilevel"/>
    <w:lvl w:ilvl="0">
      <w:lvlJc w:val="left"/>
      <w:lvlText w:val="-"/>
      <w:numFmt w:val="bullet"/>
      <w:start w:val="1"/>
    </w:lvl>
    <w:lvl w:ilvl="1">
      <w:lvlJc w:val="left"/>
      <w:lvlText w:val="(%2)"/>
      <w:numFmt w:val="lowerLetter"/>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lvl w:ilvl="1">
      <w:lvlJc w:val="left"/>
      <w:lvlText w:val="*"/>
      <w:numFmt w:val="bullet"/>
      <w:start w:val="1"/>
    </w:lvl>
  </w:abstractNum>
  <w:abstractNum w:abstractNumId="36">
    <w:nsid w:val="725A06FB"/>
    <w:multiLevelType w:val="hybridMultilevel"/>
    <w:lvl w:ilvl="0">
      <w:lvlJc w:val="left"/>
      <w:lvlText w:val="-"/>
      <w:numFmt w:val="bullet"/>
      <w:start w:val="1"/>
    </w:lvl>
    <w:lvl w:ilvl="1">
      <w:lvlJc w:val="left"/>
      <w:lvlText w:val="%2"/>
      <w:numFmt w:val="upperLetter"/>
      <w:start w:val="1"/>
    </w:lvl>
  </w:abstractNum>
  <w:abstractNum w:abstractNumId="37">
    <w:nsid w:val="2CD89A32"/>
    <w:multiLevelType w:val="hybridMultilevel"/>
    <w:lvl w:ilvl="0">
      <w:lvlJc w:val="left"/>
      <w:lvlText w:val="-"/>
      <w:numFmt w:val="bullet"/>
      <w:start w:val="1"/>
    </w:lvl>
    <w:lvl w:ilvl="1">
      <w:lvlJc w:val="left"/>
      <w:lvlText w:val="(%2)"/>
      <w:numFmt w:val="lowerLetter"/>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lvl w:ilvl="1">
      <w:lvlJc w:val="left"/>
      <w:lvlText w:val="*"/>
      <w:numFmt w:val="bullet"/>
      <w:start w:val="1"/>
    </w:lvl>
  </w:abstractNum>
  <w:abstractNum w:abstractNumId="43">
    <w:nsid w:val="38437FDB"/>
    <w:multiLevelType w:val="hybridMultilevel"/>
    <w:lvl w:ilvl="0">
      <w:lvlJc w:val="left"/>
      <w:lvlText w:val="-"/>
      <w:numFmt w:val="bullet"/>
      <w:start w:val="1"/>
    </w:lvl>
    <w:lvl w:ilvl="1">
      <w:lvlJc w:val="left"/>
      <w:lvlText w:val="%2"/>
      <w:numFmt w:val="upperLetter"/>
      <w:start w:val="1"/>
    </w:lvl>
  </w:abstractNum>
  <w:abstractNum w:abstractNumId="44">
    <w:nsid w:val="7644A45C"/>
    <w:multiLevelType w:val="hybridMultilevel"/>
    <w:lvl w:ilvl="0">
      <w:lvlJc w:val="left"/>
      <w:lvlText w:val="-"/>
      <w:numFmt w:val="bullet"/>
      <w:start w:val="1"/>
    </w:lvl>
    <w:lvl w:ilvl="1">
      <w:lvlJc w:val="left"/>
      <w:lvlText w:val="(%2)"/>
      <w:numFmt w:val="lowerLetter"/>
      <w:start w:val="1"/>
    </w:lvl>
  </w:abstractNum>
  <w:abstractNum w:abstractNumId="45">
    <w:nsid w:val="32FFF902"/>
    <w:multiLevelType w:val="hybridMultilevel"/>
    <w:lvl w:ilvl="0">
      <w:lvlJc w:val="left"/>
      <w:lvlText w:val="-"/>
      <w:numFmt w:val="bullet"/>
      <w:start w:val="1"/>
    </w:lvl>
    <w:lvl w:ilvl="1">
      <w:lvlJc w:val="left"/>
      <w:lvlText w:val="8"/>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2019-12-14T18:10:25Z</dcterms:created>
  <dcterms:modified xsi:type="dcterms:W3CDTF">2019-12-14T18:10:25Z</dcterms:modified>
</cp:coreProperties>
</file>