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2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Date of Report (Date of earliest event reported): June 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160"/>
          </w:cols>
          <w:pgMar w:left="240" w:top="355"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980"/>
          </w:cols>
          <w:pgMar w:left="240" w:top="355" w:right="49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of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2100"/>
          </w:cols>
          <w:pgMar w:left="240" w:top="355" w:right="499" w:bottom="1440" w:gutter="0" w:footer="0" w:header="0"/>
          <w:type w:val="continuous"/>
        </w:sectPr>
      </w:pPr>
    </w:p>
    <w:p>
      <w:pPr>
        <w:ind w:left="1260"/>
        <w:spacing w:after="0"/>
        <w:rPr>
          <w:sz w:val="20"/>
          <w:szCs w:val="20"/>
          <w:color w:val="auto"/>
        </w:rPr>
      </w:pPr>
      <w:r>
        <w:rPr>
          <w:rFonts w:ascii="Arial" w:cs="Arial" w:eastAsia="Arial" w:hAnsi="Arial"/>
          <w:sz w:val="16"/>
          <w:szCs w:val="16"/>
          <w:b w:val="1"/>
          <w:bCs w:val="1"/>
          <w:color w:val="auto"/>
        </w:rPr>
        <w:t>2128 W. Braker Lane, BK12, Austin,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78758</w:t>
      </w:r>
    </w:p>
    <w:p>
      <w:pPr>
        <w:spacing w:after="0" w:line="55" w:lineRule="exact"/>
        <w:rPr>
          <w:sz w:val="24"/>
          <w:szCs w:val="24"/>
          <w:color w:val="auto"/>
        </w:rPr>
      </w:pPr>
    </w:p>
    <w:p>
      <w:pPr>
        <w:sectPr>
          <w:pgSz w:w="11900" w:h="16838" w:orient="portrait"/>
          <w:cols w:equalWidth="0" w:num="2">
            <w:col w:w="7740" w:space="720"/>
            <w:col w:w="2700"/>
          </w:cols>
          <w:pgMar w:left="240" w:top="355" w:right="49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780"/>
          </w:cols>
          <w:pgMar w:left="240" w:top="355" w:right="499" w:bottom="1440" w:gutter="0" w:footer="0" w:header="0"/>
          <w:type w:val="continuous"/>
        </w:sectPr>
      </w:pPr>
    </w:p>
    <w:p>
      <w:pPr>
        <w:jc w:val="center"/>
        <w:ind w:right="-259"/>
        <w:spacing w:after="0"/>
        <w:rPr>
          <w:sz w:val="20"/>
          <w:szCs w:val="20"/>
          <w:color w:val="auto"/>
        </w:rPr>
      </w:pPr>
      <w:r>
        <w:rPr>
          <w:rFonts w:ascii="Arial" w:cs="Arial" w:eastAsia="Arial" w:hAnsi="Arial"/>
          <w:sz w:val="18"/>
          <w:szCs w:val="18"/>
          <w:b w:val="1"/>
          <w:bCs w:val="1"/>
          <w:color w:val="auto"/>
        </w:rPr>
        <w:t>(Registrant’s Telephone Number, Including Area Code) (512) 836-6464</w:t>
      </w:r>
    </w:p>
    <w:p>
      <w:pPr>
        <w:spacing w:after="0" w:line="17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355"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 Departure of Directors or Principal Officers; Election of Directors; Appointment of Principal Officers.</w:t>
      </w:r>
    </w:p>
    <w:p>
      <w:pPr>
        <w:spacing w:after="0" w:line="96" w:lineRule="exact"/>
        <w:rPr>
          <w:sz w:val="20"/>
          <w:szCs w:val="20"/>
          <w:color w:val="auto"/>
        </w:rPr>
      </w:pPr>
    </w:p>
    <w:p>
      <w:pPr>
        <w:ind w:right="80" w:firstLine="8"/>
        <w:spacing w:after="0" w:line="268"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1, 2006, the Board of Directors of Active Power, Inc. elected Jim Clishem as a Class II Director whose term shall expire at the 2008 Annual Meeting of Stockholders.</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is no arrangement or understanding between Mr. Clishem and any other persons pursuant to which Mr. Clishem was elected as a director. Mr. Clishem will not serve on any committees of the Board of Directors.</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Clishem, 49, has served as Active Power’s President and Chief Executive Officer since May 2006, as President and Chief Operating Officer since November 2005 and as Vice President of Business Development from May 2005 to November 2005. From August 2004 to May 2005, Mr. Clishem served as Vice President of Business Development for Peregrine Systems, a public enterprise software company where he focused primarily on global alliances. From October 1999 to January 2004, Mr. Clishem served as founder and Chief Executive Officer of Xodiax, a managed IT services business. Mr. Clishem remained the Chairman of Xodiax until July 2005. From August 1995 to September 1999, Mr. Clishem served as Vice President of Data Services for Broadwing Communications, LLC, and other entities later acquired by Broadwing. Mr. Clishem holds a BSEE and MSEE from the University of Louisville and an executive MBA from Southern Methodist University.</w:t>
      </w:r>
    </w:p>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Mr. Clishem will receive no additional compensation for his service on the Board. In connection with his employment as President and Chief Executive Officer of Active Power, Mr. Clishem receives the salary and benefits set forth in our Current Report on Form 8-K dated May 10, 2006, including an annual base salary of $300,000 and an annual bonus target under Active Power’s Executive Compensation Plan of 100% of his annual base salary.</w:t>
      </w:r>
    </w:p>
    <w:p>
      <w:pPr>
        <w:sectPr>
          <w:pgSz w:w="11900" w:h="16838" w:orient="portrait"/>
          <w:cols w:equalWidth="0" w:num="1">
            <w:col w:w="11400"/>
          </w:cols>
          <w:pgMar w:left="240" w:top="274" w:right="2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June 6, 2006</w:t>
      </w:r>
      <w:r>
        <w:rPr>
          <w:sz w:val="20"/>
          <w:szCs w:val="20"/>
          <w:color w:val="auto"/>
        </w:rPr>
        <w:tab/>
      </w:r>
      <w:r>
        <w:rPr>
          <w:rFonts w:ascii="Arial" w:cs="Arial" w:eastAsia="Arial" w:hAnsi="Arial"/>
          <w:sz w:val="16"/>
          <w:szCs w:val="16"/>
          <w:color w:val="auto"/>
        </w:rPr>
        <w:t>By: /s/ 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Penver</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and Chief Financial Officer</w:t>
      </w:r>
    </w:p>
    <w:sectPr>
      <w:pgSz w:w="11900" w:h="16838" w:orient="portrait"/>
      <w:cols w:equalWidth="0" w:num="1">
        <w:col w:w="10540"/>
      </w:cols>
      <w:pgMar w:left="240" w:top="274"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2019-12-14T18:12:10Z</dcterms:created>
  <dcterms:modified xsi:type="dcterms:W3CDTF">2019-12-14T18:12:10Z</dcterms:modified>
</cp:coreProperties>
</file>