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337185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80" w:right="1620" w:hanging="3859"/>
        <w:spacing w:after="0" w:line="266" w:lineRule="auto"/>
        <w:tabs>
          <w:tab w:leader="none" w:pos="47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4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 to ____________________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35"/>
        </w:trPr>
        <w:tc>
          <w:tcPr>
            <w:tcW w:w="4120" w:type="dxa"/>
            <w:vAlign w:val="bottom"/>
          </w:tcPr>
          <w:p>
            <w:pPr>
              <w:jc w:val="center"/>
              <w:ind w:right="1964"/>
              <w:spacing w:after="0" w:line="135"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20" w:type="dxa"/>
            <w:vAlign w:val="bottom"/>
          </w:tcPr>
          <w:p>
            <w:pPr>
              <w:jc w:val="center"/>
              <w:ind w:left="198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46"/>
        </w:trPr>
        <w:tc>
          <w:tcPr>
            <w:tcW w:w="4120" w:type="dxa"/>
            <w:vAlign w:val="bottom"/>
          </w:tcPr>
          <w:p>
            <w:pPr>
              <w:jc w:val="center"/>
              <w:ind w:right="1964"/>
              <w:spacing w:after="0" w:line="146"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line="146"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89"/>
        </w:trPr>
        <w:tc>
          <w:tcPr>
            <w:tcW w:w="4120" w:type="dxa"/>
            <w:vAlign w:val="bottom"/>
          </w:tcPr>
          <w:p>
            <w:pPr>
              <w:jc w:val="center"/>
              <w:ind w:right="1964"/>
              <w:spacing w:after="0" w:line="189" w:lineRule="exact"/>
              <w:rPr>
                <w:sz w:val="20"/>
                <w:szCs w:val="20"/>
                <w:color w:val="auto"/>
              </w:rPr>
            </w:pPr>
            <w:r>
              <w:rPr>
                <w:rFonts w:ascii="Times New Roman" w:cs="Times New Roman" w:eastAsia="Times New Roman" w:hAnsi="Times New Roman"/>
                <w:sz w:val="18"/>
                <w:szCs w:val="18"/>
                <w:b w:val="1"/>
                <w:bCs w:val="1"/>
                <w:color w:val="auto"/>
                <w:w w:val="98"/>
              </w:rPr>
              <w:t>4514 Cole Ave, Suite 1600</w:t>
            </w:r>
          </w:p>
        </w:tc>
        <w:tc>
          <w:tcPr>
            <w:tcW w:w="3020" w:type="dxa"/>
            <w:vAlign w:val="bottom"/>
          </w:tcPr>
          <w:p>
            <w:pPr>
              <w:jc w:val="right"/>
              <w:ind w:right="186"/>
              <w:spacing w:after="0" w:line="189" w:lineRule="exact"/>
              <w:rPr>
                <w:sz w:val="20"/>
                <w:szCs w:val="20"/>
                <w:color w:val="auto"/>
              </w:rPr>
            </w:pPr>
            <w:r>
              <w:rPr>
                <w:rFonts w:ascii="Times New Roman" w:cs="Times New Roman" w:eastAsia="Times New Roman" w:hAnsi="Times New Roman"/>
                <w:sz w:val="18"/>
                <w:szCs w:val="18"/>
                <w:b w:val="1"/>
                <w:bCs w:val="1"/>
                <w:color w:val="auto"/>
              </w:rPr>
              <w:t>75205</w:t>
            </w:r>
          </w:p>
        </w:tc>
      </w:tr>
      <w:tr>
        <w:trPr>
          <w:trHeight w:val="204"/>
        </w:trPr>
        <w:tc>
          <w:tcPr>
            <w:tcW w:w="4120" w:type="dxa"/>
            <w:vAlign w:val="bottom"/>
          </w:tcPr>
          <w:p>
            <w:pPr>
              <w:jc w:val="center"/>
              <w:ind w:right="1964"/>
              <w:spacing w:after="0" w:line="204" w:lineRule="exact"/>
              <w:rPr>
                <w:sz w:val="20"/>
                <w:szCs w:val="20"/>
                <w:color w:val="auto"/>
              </w:rPr>
            </w:pPr>
            <w:r>
              <w:rPr>
                <w:rFonts w:ascii="Times New Roman" w:cs="Times New Roman" w:eastAsia="Times New Roman" w:hAnsi="Times New Roman"/>
                <w:sz w:val="18"/>
                <w:szCs w:val="18"/>
                <w:b w:val="1"/>
                <w:bCs w:val="1"/>
                <w:color w:val="auto"/>
                <w:w w:val="97"/>
              </w:rPr>
              <w:t>Dallas, TX</w:t>
            </w:r>
          </w:p>
        </w:tc>
        <w:tc>
          <w:tcPr>
            <w:tcW w:w="3020" w:type="dxa"/>
            <w:vAlign w:val="bottom"/>
          </w:tcPr>
          <w:p>
            <w:pPr>
              <w:spacing w:after="0"/>
              <w:rPr>
                <w:sz w:val="17"/>
                <w:szCs w:val="17"/>
                <w:color w:val="auto"/>
              </w:rPr>
            </w:pP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4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r>
      <w:tr>
        <w:trPr>
          <w:trHeight w:val="141"/>
        </w:trPr>
        <w:tc>
          <w:tcPr>
            <w:tcW w:w="428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120" w:type="dxa"/>
            <w:vAlign w:val="bottom"/>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PX</w:t>
            </w:r>
          </w:p>
        </w:tc>
        <w:tc>
          <w:tcPr>
            <w:tcW w:w="120" w:type="dxa"/>
            <w:vAlign w:val="bottom"/>
          </w:tcPr>
          <w:p>
            <w:pPr>
              <w:spacing w:after="0"/>
              <w:rPr>
                <w:sz w:val="12"/>
                <w:szCs w:val="12"/>
                <w:color w:val="auto"/>
              </w:rPr>
            </w:pPr>
          </w:p>
        </w:tc>
        <w:tc>
          <w:tcPr>
            <w:tcW w:w="504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NYSE</w:t>
            </w:r>
          </w:p>
        </w:tc>
      </w:tr>
      <w:tr>
        <w:trPr>
          <w:trHeight w:val="175"/>
        </w:trPr>
        <w:tc>
          <w:tcPr>
            <w:tcW w:w="428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Series A Junior Participating Preferred Stock</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210"/>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Rights</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bl>
    <w:p>
      <w:pPr>
        <w:spacing w:after="0" w:line="194" w:lineRule="exact"/>
        <w:rPr>
          <w:sz w:val="24"/>
          <w:szCs w:val="24"/>
          <w:color w:val="auto"/>
        </w:rPr>
      </w:pPr>
    </w:p>
    <w:p>
      <w:pPr>
        <w:jc w:val="both"/>
        <w:ind w:right="20"/>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1" w:lineRule="exact"/>
        <w:rPr>
          <w:sz w:val="24"/>
          <w:szCs w:val="24"/>
          <w:color w:val="auto"/>
        </w:rPr>
      </w:pPr>
    </w:p>
    <w:p>
      <w:pPr>
        <w:spacing w:after="0" w:line="184" w:lineRule="exact"/>
        <w:tabs>
          <w:tab w:leader="none" w:pos="9160" w:val="left"/>
          <w:tab w:leader="none" w:pos="978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company. See the definitions of “large accelerated filer,” “accelerated filer,” “smaller reporting company,” and “emerging growth company” in Rule 12b-2 of the Exchange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60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140" w:type="dxa"/>
            <w:vAlign w:val="bottom"/>
          </w:tcPr>
          <w:p>
            <w:pP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60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0" w:type="dxa"/>
            <w:vAlign w:val="bottom"/>
          </w:tcPr>
          <w:p>
            <w:pP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6"/>
        </w:trPr>
        <w:tc>
          <w:tcPr>
            <w:tcW w:w="1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140" w:type="dxa"/>
            <w:vAlign w:val="bottom"/>
          </w:tcPr>
          <w:p>
            <w:pPr>
              <w:spacing w:after="0"/>
              <w:rPr>
                <w:sz w:val="24"/>
                <w:szCs w:val="24"/>
                <w:color w:val="auto"/>
              </w:rPr>
            </w:pPr>
          </w:p>
        </w:tc>
      </w:tr>
      <w:tr>
        <w:trPr>
          <w:trHeight w:val="215"/>
        </w:trPr>
        <w:tc>
          <w:tcPr>
            <w:tcW w:w="806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 xml:space="preserve">financial accounting standards provided pursuant to Section 13(a) of the Exchange Act. </w:t>
            </w:r>
            <w:r>
              <w:rPr>
                <w:rFonts w:ascii="MS PGothic" w:cs="MS PGothic" w:eastAsia="MS PGothic" w:hAnsi="MS PGothic"/>
                <w:sz w:val="16"/>
                <w:szCs w:val="16"/>
                <w:color w:val="auto"/>
              </w:rPr>
              <w:t>☐</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4"/>
        </w:trPr>
        <w:tc>
          <w:tcPr>
            <w:tcW w:w="1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w:t>
            </w:r>
          </w:p>
        </w:tc>
        <w:tc>
          <w:tcPr>
            <w:tcW w:w="140" w:type="dxa"/>
            <w:vAlign w:val="bottom"/>
          </w:tcPr>
          <w:p>
            <w:pPr>
              <w:spacing w:after="0"/>
              <w:rPr>
                <w:sz w:val="15"/>
                <w:szCs w:val="15"/>
                <w:color w:val="auto"/>
              </w:rPr>
            </w:pPr>
          </w:p>
        </w:tc>
      </w:tr>
      <w:tr>
        <w:trPr>
          <w:trHeight w:val="167"/>
        </w:trPr>
        <w:tc>
          <w:tcPr>
            <w:tcW w:w="1102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auto"/>
              </w:rPr>
              <w:t xml:space="preserve">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tc>
        <w:tc>
          <w:tcPr>
            <w:tcW w:w="140" w:type="dxa"/>
            <w:vAlign w:val="bottom"/>
          </w:tcPr>
          <w:p>
            <w:pPr>
              <w:spacing w:after="0"/>
              <w:rPr>
                <w:sz w:val="14"/>
                <w:szCs w:val="14"/>
                <w:color w:val="auto"/>
              </w:rPr>
            </w:pPr>
          </w:p>
        </w:tc>
      </w:tr>
      <w:tr>
        <w:trPr>
          <w:trHeight w:val="254"/>
        </w:trPr>
        <w:tc>
          <w:tcPr>
            <w:tcW w:w="806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296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140" w:type="dxa"/>
            <w:vAlign w:val="bottom"/>
          </w:tcPr>
          <w:p>
            <w:pPr>
              <w:spacing w:after="0"/>
              <w:rPr>
                <w:sz w:val="22"/>
                <w:szCs w:val="22"/>
                <w:color w:val="auto"/>
              </w:rPr>
            </w:pPr>
          </w:p>
        </w:tc>
      </w:tr>
    </w:tbl>
    <w:p>
      <w:pPr>
        <w:spacing w:after="0" w:line="150" w:lineRule="exact"/>
        <w:rPr>
          <w:sz w:val="24"/>
          <w:szCs w:val="24"/>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As of August 8, 2022, the registrant had 38,654,972 shares of the registrant's Class A common stock, par value $0.001, and 78,539,705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382905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538480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20" w:type="dxa"/>
            <w:vAlign w:val="bottom"/>
            <w:gridSpan w:val="7"/>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300" w:type="dxa"/>
            <w:vAlign w:val="bottom"/>
            <w:gridSpan w:val="22"/>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5"/>
                <w:szCs w:val="15"/>
                <w:color w:val="auto"/>
              </w:rPr>
            </w:pPr>
          </w:p>
        </w:tc>
        <w:tc>
          <w:tcPr>
            <w:tcW w:w="30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w:t>
            </w:r>
          </w:p>
        </w:tc>
        <w:tc>
          <w:tcPr>
            <w:tcW w:w="718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8"/>
              </w:rPr>
              <w:t>Consolidated Statements of Changes in</w:t>
            </w:r>
          </w:p>
        </w:tc>
        <w:tc>
          <w:tcPr>
            <w:tcW w:w="60" w:type="dxa"/>
            <w:vAlign w:val="bottom"/>
          </w:tcPr>
          <w:p>
            <w:pPr>
              <w:spacing w:after="0"/>
              <w:rPr>
                <w:sz w:val="15"/>
                <w:szCs w:val="15"/>
                <w:color w:val="auto"/>
              </w:rPr>
            </w:pPr>
          </w:p>
        </w:tc>
        <w:tc>
          <w:tcPr>
            <w:tcW w:w="64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Stockholders' Equity</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00" w:type="dxa"/>
            <w:vAlign w:val="bottom"/>
            <w:tcBorders>
              <w:top w:val="single" w:sz="8" w:color="0000FF"/>
            </w:tcBorders>
            <w:gridSpan w:val="5"/>
          </w:tcPr>
          <w:p>
            <w:pPr>
              <w:spacing w:after="0"/>
              <w:rPr>
                <w:sz w:val="15"/>
                <w:szCs w:val="15"/>
                <w:color w:val="auto"/>
              </w:rPr>
            </w:pPr>
          </w:p>
        </w:tc>
        <w:tc>
          <w:tcPr>
            <w:tcW w:w="2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394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w:t>
            </w:r>
          </w:p>
        </w:tc>
        <w:tc>
          <w:tcPr>
            <w:tcW w:w="20" w:type="dxa"/>
            <w:vAlign w:val="bottom"/>
            <w:tcBorders>
              <w:top w:val="single" w:sz="8" w:color="0000EE"/>
            </w:tcBorders>
          </w:tcPr>
          <w:p>
            <w:pPr>
              <w:spacing w:after="0"/>
              <w:rPr>
                <w:sz w:val="15"/>
                <w:szCs w:val="15"/>
                <w:color w:val="auto"/>
              </w:rPr>
            </w:pPr>
          </w:p>
        </w:tc>
        <w:tc>
          <w:tcPr>
            <w:tcW w:w="534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12"/>
          </w:tcPr>
          <w:p>
            <w:pPr>
              <w:spacing w:after="0"/>
              <w:rPr>
                <w:sz w:val="15"/>
                <w:szCs w:val="15"/>
                <w:color w:val="auto"/>
              </w:rPr>
            </w:pPr>
          </w:p>
        </w:tc>
        <w:tc>
          <w:tcPr>
            <w:tcW w:w="494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80" w:type="dxa"/>
            <w:vAlign w:val="bottom"/>
            <w:tcBorders>
              <w:bottom w:val="single" w:sz="8" w:color="0000FF"/>
            </w:tcBorders>
          </w:tcPr>
          <w:p>
            <w:pPr>
              <w:spacing w:after="0"/>
              <w:rPr>
                <w:sz w:val="15"/>
                <w:szCs w:val="15"/>
                <w:color w:val="auto"/>
              </w:rPr>
            </w:pPr>
          </w:p>
        </w:tc>
        <w:tc>
          <w:tcPr>
            <w:tcW w:w="440" w:type="dxa"/>
            <w:vAlign w:val="bottom"/>
            <w:gridSpan w:val="4"/>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4"/>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4"/>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7"/>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9"/>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55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P10, Inc.</w:t>
      </w: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5"/>
        </w:trPr>
        <w:tc>
          <w:tcPr>
            <w:tcW w:w="6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169"/>
        </w:trPr>
        <w:tc>
          <w:tcPr>
            <w:tcW w:w="6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40,916</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 receivable</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subsidiaries</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assets, net</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45,151</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 net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128,788</w:t>
            </w:r>
          </w:p>
        </w:tc>
        <w:tc>
          <w:tcPr>
            <w:tcW w:w="100" w:type="dxa"/>
            <w:vAlign w:val="bottom"/>
          </w:tcPr>
          <w:p>
            <w:pPr>
              <w:spacing w:after="0"/>
              <w:rPr>
                <w:sz w:val="18"/>
                <w:szCs w:val="18"/>
                <w:color w:val="auto"/>
              </w:rPr>
            </w:pPr>
          </w:p>
        </w:tc>
      </w:tr>
      <w:tr>
        <w:trPr>
          <w:trHeight w:val="236"/>
        </w:trPr>
        <w:tc>
          <w:tcPr>
            <w:tcW w:w="6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418,690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6440" w:type="dxa"/>
            <w:vAlign w:val="bottom"/>
          </w:tcPr>
          <w:p>
            <w:pPr>
              <w:ind w:left="38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654,914</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676,217</w:t>
            </w:r>
          </w:p>
        </w:tc>
        <w:tc>
          <w:tcPr>
            <w:tcW w:w="10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Due to related parties</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00" w:type="dxa"/>
            <w:vAlign w:val="bottom"/>
            <w:shd w:val="clear" w:color="auto" w:fill="CFF0FC"/>
          </w:tcPr>
          <w:p>
            <w:pPr>
              <w:spacing w:after="0"/>
              <w:rPr>
                <w:sz w:val="18"/>
                <w:szCs w:val="18"/>
                <w:color w:val="auto"/>
              </w:rPr>
            </w:pPr>
          </w:p>
        </w:tc>
      </w:tr>
      <w:tr>
        <w:trPr>
          <w:trHeight w:val="23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obligations</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212,496</w:t>
            </w:r>
          </w:p>
        </w:tc>
        <w:tc>
          <w:tcPr>
            <w:tcW w:w="100" w:type="dxa"/>
            <w:vAlign w:val="bottom"/>
          </w:tcPr>
          <w:p>
            <w:pPr>
              <w:spacing w:after="0"/>
              <w:rPr>
                <w:sz w:val="20"/>
                <w:szCs w:val="20"/>
                <w:color w:val="auto"/>
              </w:rPr>
            </w:pPr>
          </w:p>
        </w:tc>
      </w:tr>
      <w:tr>
        <w:trPr>
          <w:trHeight w:val="203"/>
        </w:trPr>
        <w:tc>
          <w:tcPr>
            <w:tcW w:w="6440" w:type="dxa"/>
            <w:vAlign w:val="bottom"/>
            <w:tcBorders>
              <w:top w:val="single" w:sz="8" w:color="CFF0FC"/>
            </w:tcBorders>
            <w:shd w:val="clear" w:color="auto" w:fill="CFF0FC"/>
          </w:tcPr>
          <w:p>
            <w:pPr>
              <w:ind w:left="3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252,624</w:t>
            </w:r>
          </w:p>
        </w:tc>
        <w:tc>
          <w:tcPr>
            <w:tcW w:w="3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38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281,053</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0"/>
        </w:trPr>
        <w:tc>
          <w:tcPr>
            <w:tcW w:w="64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Class A common stock, $0.001 par value; 510,000,000 shares authorized; 37,307,745</w:t>
            </w:r>
          </w:p>
        </w:tc>
        <w:tc>
          <w:tcPr>
            <w:tcW w:w="1400" w:type="dxa"/>
            <w:vAlign w:val="bottom"/>
            <w:gridSpan w:val="2"/>
          </w:tcPr>
          <w:p>
            <w:pPr>
              <w:jc w:val="right"/>
              <w:ind w:right="510"/>
              <w:spacing w:after="0" w:line="170" w:lineRule="exact"/>
              <w:rPr>
                <w:sz w:val="20"/>
                <w:szCs w:val="20"/>
                <w:color w:val="auto"/>
              </w:rPr>
            </w:pPr>
            <w:r>
              <w:rPr>
                <w:rFonts w:ascii="Times New Roman" w:cs="Times New Roman" w:eastAsia="Times New Roman" w:hAnsi="Times New Roman"/>
                <w:sz w:val="18"/>
                <w:szCs w:val="18"/>
                <w:color w:val="auto"/>
              </w:rPr>
              <w:t>issued and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840" w:type="dxa"/>
            <w:vAlign w:val="bottom"/>
            <w:gridSpan w:val="3"/>
          </w:tcPr>
          <w:p>
            <w:pPr>
              <w:ind w:left="200"/>
              <w:spacing w:after="0" w:line="189" w:lineRule="exact"/>
              <w:rPr>
                <w:sz w:val="20"/>
                <w:szCs w:val="20"/>
                <w:color w:val="auto"/>
              </w:rPr>
            </w:pPr>
            <w:r>
              <w:rPr>
                <w:rFonts w:ascii="Times New Roman" w:cs="Times New Roman" w:eastAsia="Times New Roman" w:hAnsi="Times New Roman"/>
                <w:sz w:val="18"/>
                <w:szCs w:val="18"/>
                <w:color w:val="auto"/>
              </w:rPr>
              <w:t>37,307,745 outstanding as of June 30, 2022, and 34,464,920 issued and 34,464,920 outstanding as</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December 31, 2021, respectively</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170"/>
        </w:trPr>
        <w:tc>
          <w:tcPr>
            <w:tcW w:w="7840" w:type="dxa"/>
            <w:vAlign w:val="bottom"/>
            <w:gridSpan w:val="3"/>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Class B common stock, $0.001 par value; 180,000,000 shares authorized; 79,885,002 shares</w:t>
            </w: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840" w:type="dxa"/>
            <w:vAlign w:val="bottom"/>
            <w:gridSpan w:val="3"/>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issued and 79,761,550 shares outstanding as of June 30, 2022, and 82,851,279 shares issued and</w:t>
            </w: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82,727,827 shares outstanding as of December 31, 2021, respectively</w:t>
            </w: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0"/>
                <w:szCs w:val="20"/>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(273 )</w:t>
            </w: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638,585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650,405</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(236,139 )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(255,085 )</w:t>
            </w:r>
          </w:p>
        </w:tc>
      </w:tr>
      <w:tr>
        <w:trPr>
          <w:trHeight w:val="209"/>
        </w:trPr>
        <w:tc>
          <w:tcPr>
            <w:tcW w:w="6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654,914</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676,217</w:t>
            </w:r>
          </w:p>
        </w:tc>
        <w:tc>
          <w:tcPr>
            <w:tcW w:w="10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-1899920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to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3"/>
                <w:szCs w:val="13"/>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89,478</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(140 )</w:t>
            </w: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30,971</w:t>
            </w:r>
          </w:p>
        </w:tc>
        <w:tc>
          <w:tcPr>
            <w:tcW w:w="2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62,649</w:t>
            </w:r>
          </w:p>
        </w:tc>
        <w:tc>
          <w:tcPr>
            <w:tcW w:w="24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implied on notes payable to sellers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(219 )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(434 )</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(1,525 )</w:t>
            </w: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(5,245 )</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(2,910 )</w:t>
            </w: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(10,500 )</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(734 )</w:t>
            </w: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(5,207 )</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(1,790 )</w:t>
            </w: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(10,389 )</w:t>
            </w: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26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24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(3,879 )</w:t>
            </w: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(734 )</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(6,634 )</w:t>
            </w: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(1,395 )</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2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Less: preferred dividends attributable to redeemable</w:t>
            </w:r>
          </w:p>
        </w:tc>
        <w:tc>
          <w:tcPr>
            <w:tcW w:w="260" w:type="dxa"/>
            <w:vAlign w:val="bottom"/>
          </w:tcPr>
          <w:p>
            <w:pPr>
              <w:spacing w:after="0"/>
              <w:rPr>
                <w:sz w:val="14"/>
                <w:szCs w:val="14"/>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(495 )</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(989 )</w:t>
            </w:r>
          </w:p>
        </w:tc>
        <w:tc>
          <w:tcPr>
            <w:tcW w:w="0" w:type="dxa"/>
            <w:vAlign w:val="bottom"/>
          </w:tcPr>
          <w:p>
            <w:pPr>
              <w:spacing w:after="0"/>
              <w:rPr>
                <w:sz w:val="1"/>
                <w:szCs w:val="1"/>
                <w:color w:val="auto"/>
              </w:rPr>
            </w:pPr>
          </w:p>
        </w:tc>
      </w:tr>
      <w:tr>
        <w:trPr>
          <w:trHeight w:val="221"/>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P10</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paid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121,259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-3972560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-3972560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-3972560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-3972560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-2867660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-2867660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-2867660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-2867660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-2028825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-2028825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-2028825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-1446530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-1446530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-1446530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-1043940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-1026795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-1043940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-1026795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-1043940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-1026795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7"/>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Common Stock - Class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500" w:type="dxa"/>
            <w:vAlign w:val="bottom"/>
            <w:gridSpan w:val="5"/>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 - Class 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7"/>
            <w:vMerge w:val="continue"/>
          </w:tcPr>
          <w:p>
            <w:pPr>
              <w:spacing w:after="0"/>
              <w:rPr>
                <w:sz w:val="12"/>
                <w:szCs w:val="12"/>
                <w:color w:val="auto"/>
              </w:rPr>
            </w:pPr>
          </w:p>
        </w:tc>
        <w:tc>
          <w:tcPr>
            <w:tcW w:w="1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Accumulat</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500" w:type="dxa"/>
            <w:vAlign w:val="bottom"/>
            <w:tcBorders>
              <w:bottom w:val="single" w:sz="8" w:color="auto"/>
            </w:tcBorders>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gridSpan w:val="4"/>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5"/>
                <w:szCs w:val="15"/>
                <w:color w:val="auto"/>
              </w:rPr>
            </w:pPr>
          </w:p>
        </w:tc>
        <w:tc>
          <w:tcPr>
            <w:tcW w:w="700" w:type="dxa"/>
            <w:vAlign w:val="bottom"/>
            <w:gridSpan w:val="2"/>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ed</w:t>
            </w: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rs'</w:t>
            </w:r>
          </w:p>
        </w:tc>
        <w:tc>
          <w:tcPr>
            <w:tcW w:w="0" w:type="dxa"/>
            <w:vAlign w:val="bottom"/>
          </w:tcPr>
          <w:p>
            <w:pPr>
              <w:spacing w:after="0"/>
              <w:rPr>
                <w:sz w:val="1"/>
                <w:szCs w:val="1"/>
                <w:color w:val="auto"/>
              </w:rPr>
            </w:pPr>
          </w:p>
        </w:tc>
      </w:tr>
      <w:tr>
        <w:trPr>
          <w:trHeight w:val="125"/>
        </w:trPr>
        <w:tc>
          <w:tcPr>
            <w:tcW w:w="2060" w:type="dxa"/>
            <w:vAlign w:val="bottom"/>
          </w:tcPr>
          <w:p>
            <w:pPr>
              <w:spacing w:after="0"/>
              <w:rPr>
                <w:sz w:val="10"/>
                <w:szCs w:val="10"/>
                <w:color w:val="auto"/>
              </w:rPr>
            </w:pPr>
          </w:p>
        </w:tc>
        <w:tc>
          <w:tcPr>
            <w:tcW w:w="5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700" w:type="dxa"/>
            <w:vAlign w:val="bottom"/>
            <w:gridSpan w:val="2"/>
            <w:vMerge w:val="restart"/>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0"/>
                <w:szCs w:val="10"/>
                <w:color w:val="auto"/>
              </w:rPr>
            </w:pP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60" w:type="dxa"/>
            <w:vAlign w:val="bottom"/>
            <w:vMerge w:val="continue"/>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324,310</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(264,259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 attributable to P10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62,464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324,734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(262,044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income attributable to P10</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62,464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600" w:type="dxa"/>
            <w:vAlign w:val="bottom"/>
            <w:gridSpan w:val="3"/>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(273 ) $</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325,302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(260,066 ) $</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7"/>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Common Stock - Class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2"/>
                <w:szCs w:val="12"/>
                <w:color w:val="auto"/>
              </w:rPr>
            </w:pPr>
          </w:p>
        </w:tc>
        <w:tc>
          <w:tcPr>
            <w:tcW w:w="1500" w:type="dxa"/>
            <w:vAlign w:val="bottom"/>
            <w:gridSpan w:val="5"/>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 - Class 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7"/>
            <w:vMerge w:val="continue"/>
          </w:tcPr>
          <w:p>
            <w:pPr>
              <w:spacing w:after="0"/>
              <w:rPr>
                <w:sz w:val="12"/>
                <w:szCs w:val="12"/>
                <w:color w:val="auto"/>
              </w:rPr>
            </w:pPr>
          </w:p>
        </w:tc>
        <w:tc>
          <w:tcPr>
            <w:tcW w:w="1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53"/>
              <w:spacing w:after="0" w:line="138"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82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Stockholde</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500" w:type="dxa"/>
            <w:vAlign w:val="bottom"/>
            <w:tcBorders>
              <w:bottom w:val="single" w:sz="8" w:color="auto"/>
            </w:tcBorders>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gridSpan w:val="4"/>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5"/>
                <w:szCs w:val="15"/>
                <w:color w:val="auto"/>
              </w:rPr>
            </w:pPr>
          </w:p>
        </w:tc>
        <w:tc>
          <w:tcPr>
            <w:tcW w:w="700" w:type="dxa"/>
            <w:vAlign w:val="bottom"/>
            <w:gridSpan w:val="2"/>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ed</w:t>
            </w: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rs'</w:t>
            </w:r>
          </w:p>
        </w:tc>
        <w:tc>
          <w:tcPr>
            <w:tcW w:w="0" w:type="dxa"/>
            <w:vAlign w:val="bottom"/>
          </w:tcPr>
          <w:p>
            <w:pPr>
              <w:spacing w:after="0"/>
              <w:rPr>
                <w:sz w:val="1"/>
                <w:szCs w:val="1"/>
                <w:color w:val="auto"/>
              </w:rPr>
            </w:pPr>
          </w:p>
        </w:tc>
      </w:tr>
      <w:tr>
        <w:trPr>
          <w:trHeight w:val="125"/>
        </w:trPr>
        <w:tc>
          <w:tcPr>
            <w:tcW w:w="2060" w:type="dxa"/>
            <w:vAlign w:val="bottom"/>
          </w:tcPr>
          <w:p>
            <w:pPr>
              <w:spacing w:after="0"/>
              <w:rPr>
                <w:sz w:val="10"/>
                <w:szCs w:val="10"/>
                <w:color w:val="auto"/>
              </w:rPr>
            </w:pPr>
          </w:p>
        </w:tc>
        <w:tc>
          <w:tcPr>
            <w:tcW w:w="5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700" w:type="dxa"/>
            <w:vAlign w:val="bottom"/>
            <w:gridSpan w:val="2"/>
            <w:vMerge w:val="restart"/>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0"/>
                <w:szCs w:val="10"/>
                <w:color w:val="auto"/>
              </w:rPr>
            </w:pP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0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34,464</w:t>
            </w:r>
          </w:p>
        </w:tc>
        <w:tc>
          <w:tcPr>
            <w:tcW w:w="240" w:type="dxa"/>
            <w:vAlign w:val="bottom"/>
            <w:gridSpan w:val="2"/>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40" w:type="dxa"/>
            <w:vAlign w:val="bottom"/>
            <w:gridSpan w:val="2"/>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82,727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20" w:type="dxa"/>
            <w:vAlign w:val="bottom"/>
            <w:gridSpan w:val="2"/>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650,405</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(255,085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395,164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offering costs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(70 )</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(70 )</w:t>
            </w:r>
          </w:p>
        </w:tc>
        <w:tc>
          <w:tcPr>
            <w:tcW w:w="0" w:type="dxa"/>
            <w:vAlign w:val="bottom"/>
          </w:tcPr>
          <w:p>
            <w:pPr>
              <w:spacing w:after="0"/>
              <w:rPr>
                <w:sz w:val="1"/>
                <w:szCs w:val="1"/>
                <w:color w:val="auto"/>
              </w:rPr>
            </w:pPr>
          </w:p>
        </w:tc>
      </w:tr>
      <w:tr>
        <w:trPr>
          <w:trHeight w:val="175"/>
        </w:trPr>
        <w:tc>
          <w:tcPr>
            <w:tcW w:w="2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 attributable to P10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60" w:type="dxa"/>
            <w:vAlign w:val="bottom"/>
            <w:shd w:val="clear" w:color="auto" w:fill="CFF0FC"/>
          </w:tcPr>
          <w:p>
            <w:pPr>
              <w:ind w:left="200"/>
              <w:spacing w:after="0" w:line="136" w:lineRule="exact"/>
              <w:rPr>
                <w:sz w:val="20"/>
                <w:szCs w:val="20"/>
                <w:color w:val="auto"/>
              </w:rPr>
            </w:pPr>
            <w:r>
              <w:rPr>
                <w:rFonts w:ascii="Times New Roman" w:cs="Times New Roman" w:eastAsia="Times New Roman" w:hAnsi="Times New Roman"/>
                <w:sz w:val="13"/>
                <w:szCs w:val="13"/>
                <w:color w:val="auto"/>
              </w:rPr>
              <w:t>Exchange of Class B common</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20" w:type="dxa"/>
            <w:vAlign w:val="bottom"/>
            <w:gridSpan w:val="4"/>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(1,220 )</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500" w:type="dxa"/>
            <w:vAlign w:val="bottom"/>
            <w:gridSpan w:val="3"/>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stock for Class A common stock</w:t>
            </w:r>
          </w:p>
        </w:tc>
        <w:tc>
          <w:tcPr>
            <w:tcW w:w="56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920" w:type="dxa"/>
            <w:vAlign w:val="bottom"/>
            <w:gridSpan w:val="4"/>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3"/>
            <w:vMerge w:val="continue"/>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Settlement of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(12,466 )</w:t>
            </w:r>
          </w:p>
        </w:tc>
        <w:tc>
          <w:tcPr>
            <w:tcW w:w="120" w:type="dxa"/>
            <w:vAlign w:val="bottom"/>
          </w:tcPr>
          <w:p>
            <w:pPr>
              <w:spacing w:after="0"/>
              <w:rPr>
                <w:sz w:val="15"/>
                <w:szCs w:val="15"/>
                <w:color w:val="auto"/>
              </w:rPr>
            </w:pP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(12,466 )</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35,686</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81,507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639,384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(247,293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391,935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income attributable to P10</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11,154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6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Exchange of Class B common</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(1,622 )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vMerge w:val="restart"/>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 for Class A common stock</w:t>
            </w: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Dividends declared</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75"/>
        </w:trPr>
        <w:tc>
          <w:tcPr>
            <w:tcW w:w="2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Dividends paid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(3,515 )</w:t>
            </w:r>
          </w:p>
        </w:tc>
        <w:tc>
          <w:tcPr>
            <w:tcW w:w="120" w:type="dxa"/>
            <w:vAlign w:val="bottom"/>
          </w:tcPr>
          <w:p>
            <w:pPr>
              <w:spacing w:after="0"/>
              <w:rPr>
                <w:sz w:val="15"/>
                <w:szCs w:val="15"/>
                <w:color w:val="auto"/>
              </w:rPr>
            </w:pP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(3,515 )</w:t>
            </w:r>
          </w:p>
        </w:tc>
        <w:tc>
          <w:tcPr>
            <w:tcW w:w="0" w:type="dxa"/>
            <w:vAlign w:val="bottom"/>
          </w:tcPr>
          <w:p>
            <w:pPr>
              <w:spacing w:after="0"/>
              <w:rPr>
                <w:sz w:val="1"/>
                <w:szCs w:val="1"/>
                <w:color w:val="auto"/>
              </w:rPr>
            </w:pPr>
          </w:p>
        </w:tc>
      </w:tr>
      <w:tr>
        <w:trPr>
          <w:trHeight w:val="209"/>
        </w:trPr>
        <w:tc>
          <w:tcPr>
            <w:tcW w:w="20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37,308</w:t>
            </w: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79,885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2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638,585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(236,139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402,290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-2602230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-2585085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-2602230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-2585085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-2602230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-2585085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-2602230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-2585085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-2602230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-2585085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-2602230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-2585085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-2602230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-2585085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-2602230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-2585085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-2602230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-2585085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-2602230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-2585085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-2602230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-2585085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-2353945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-2353945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-2353945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-2353945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-2353945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-2353945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-2353945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-2353945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-2353945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-2353945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-812800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-795655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-812800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-795655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-812800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-795655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-812800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-795655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-812800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-795655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-812800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-795655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-812800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-795655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-812800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-795655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-812800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-795655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-812800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-795655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-144780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-144780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-144780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-24765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-144780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-24765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-144780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-144780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-144780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-144780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-144780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-144780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to Consolidated Financial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88"/>
        </w:trPr>
        <w:tc>
          <w:tcPr>
            <w:tcW w:w="8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2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660" w:type="dxa"/>
            <w:vAlign w:val="bottom"/>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unconsolidated subsidiaries</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(1,110 )</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tax expense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(13 )</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Post close purchase price adjustment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(3,816 )</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(3,453 )</w:t>
            </w:r>
          </w:p>
        </w:tc>
        <w:tc>
          <w:tcPr>
            <w:tcW w:w="0" w:type="dxa"/>
            <w:vAlign w:val="bottom"/>
          </w:tcPr>
          <w:p>
            <w:pPr>
              <w:spacing w:after="0"/>
              <w:rPr>
                <w:sz w:val="1"/>
                <w:szCs w:val="1"/>
                <w:color w:val="auto"/>
              </w:rPr>
            </w:pPr>
          </w:p>
        </w:tc>
      </w:tr>
      <w:tr>
        <w:trPr>
          <w:trHeight w:val="216"/>
        </w:trPr>
        <w:tc>
          <w:tcPr>
            <w:tcW w:w="8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(11,259 )</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(1,820 )</w:t>
            </w: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0" w:type="dxa"/>
            <w:vAlign w:val="bottom"/>
          </w:tcPr>
          <w:p>
            <w:pPr>
              <w:spacing w:after="0"/>
              <w:rPr>
                <w:sz w:val="1"/>
                <w:szCs w:val="1"/>
                <w:color w:val="auto"/>
              </w:rPr>
            </w:pPr>
          </w:p>
        </w:tc>
      </w:tr>
      <w:tr>
        <w:trPr>
          <w:trHeight w:val="216"/>
        </w:trPr>
        <w:tc>
          <w:tcPr>
            <w:tcW w:w="8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(1,996 )</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(1,458 )</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0" w:type="dxa"/>
            <w:vAlign w:val="bottom"/>
          </w:tcPr>
          <w:p>
            <w:pPr>
              <w:spacing w:after="0"/>
              <w:rPr>
                <w:sz w:val="1"/>
                <w:szCs w:val="1"/>
                <w:color w:val="auto"/>
              </w:rPr>
            </w:pPr>
          </w:p>
        </w:tc>
      </w:tr>
      <w:tr>
        <w:trPr>
          <w:trHeight w:val="216"/>
        </w:trPr>
        <w:tc>
          <w:tcPr>
            <w:tcW w:w="8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(825 )</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(430 )</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6"/>
        </w:trPr>
        <w:tc>
          <w:tcPr>
            <w:tcW w:w="8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(1,752 )</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0" w:type="dxa"/>
            <w:vAlign w:val="bottom"/>
          </w:tcPr>
          <w:p>
            <w:pPr>
              <w:spacing w:after="0"/>
              <w:rPr>
                <w:sz w:val="1"/>
                <w:szCs w:val="1"/>
                <w:color w:val="auto"/>
              </w:rPr>
            </w:pPr>
          </w:p>
        </w:tc>
      </w:tr>
      <w:tr>
        <w:trPr>
          <w:trHeight w:val="209"/>
        </w:trPr>
        <w:tc>
          <w:tcPr>
            <w:tcW w:w="86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2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 receivable</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(266 )</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note receivable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in unconsolidated subsidiaries</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(2,637 )</w:t>
            </w:r>
          </w:p>
        </w:tc>
        <w:tc>
          <w:tcPr>
            <w:tcW w:w="0" w:type="dxa"/>
            <w:vAlign w:val="bottom"/>
          </w:tcPr>
          <w:p>
            <w:pPr>
              <w:spacing w:after="0"/>
              <w:rPr>
                <w:sz w:val="1"/>
                <w:szCs w:val="1"/>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investments in unconsolidated subsidiaries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Software capitalization</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(87 )</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Post-closing payments for Enhanced working capital</w:t>
            </w:r>
          </w:p>
        </w:tc>
        <w:tc>
          <w:tcPr>
            <w:tcW w:w="22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(1,519 )</w:t>
            </w: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(634 )</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8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(320 )</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debt obligations</w:t>
            </w:r>
          </w:p>
        </w:tc>
        <w:tc>
          <w:tcPr>
            <w:tcW w:w="22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on debt obligations</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(25,000 )</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(10,266 )</w:t>
            </w:r>
          </w:p>
        </w:tc>
        <w:tc>
          <w:tcPr>
            <w:tcW w:w="0" w:type="dxa"/>
            <w:vAlign w:val="bottom"/>
          </w:tcPr>
          <w:p>
            <w:pPr>
              <w:spacing w:after="0"/>
              <w:rPr>
                <w:sz w:val="1"/>
                <w:szCs w:val="1"/>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preferred stock dividends</w:t>
            </w:r>
          </w:p>
        </w:tc>
        <w:tc>
          <w:tcPr>
            <w:tcW w:w="22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settlement of stock options</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(12,466 )</w:t>
            </w:r>
          </w:p>
        </w:tc>
        <w:tc>
          <w:tcPr>
            <w:tcW w:w="4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(3,515 )</w:t>
            </w:r>
          </w:p>
        </w:tc>
        <w:tc>
          <w:tcPr>
            <w:tcW w:w="4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(8 )</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(18,138 )</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660" w:type="dxa"/>
            <w:vAlign w:val="bottom"/>
            <w:shd w:val="clear" w:color="auto" w:fill="CFF0FC"/>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beginning</w:t>
            </w:r>
          </w:p>
        </w:tc>
        <w:tc>
          <w:tcPr>
            <w:tcW w:w="22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43,482</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866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end of</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28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-2045970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-658495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-264795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to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4"/>
                <w:szCs w:val="14"/>
                <w:color w:val="auto"/>
              </w:rPr>
            </w:pPr>
          </w:p>
        </w:tc>
      </w:tr>
      <w:tr>
        <w:trPr>
          <w:trHeight w:val="188"/>
        </w:trPr>
        <w:tc>
          <w:tcPr>
            <w:tcW w:w="8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8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8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09"/>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66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cash paid for income taxes</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428</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8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OPERATING, INVESTING AND FINANCING ACTIVITIES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right-of-use assets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lease liabilities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8"/>
                <w:szCs w:val="18"/>
                <w:color w:val="auto"/>
              </w:rPr>
            </w:pPr>
          </w:p>
        </w:tc>
      </w:tr>
      <w:tr>
        <w:trPr>
          <w:trHeight w:val="216"/>
        </w:trPr>
        <w:tc>
          <w:tcPr>
            <w:tcW w:w="8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capex for leasehold improvements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6"/>
        </w:trPr>
        <w:tc>
          <w:tcPr>
            <w:tcW w:w="8660" w:type="dxa"/>
            <w:vAlign w:val="bottom"/>
            <w:shd w:val="clear" w:color="auto" w:fill="CFF0FC"/>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8"/>
        </w:trPr>
        <w:tc>
          <w:tcPr>
            <w:tcW w:w="8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Pr>
          <w:p>
            <w:pPr>
              <w:spacing w:after="0"/>
              <w:rPr>
                <w:sz w:val="18"/>
                <w:szCs w:val="18"/>
                <w:color w:val="auto"/>
              </w:rPr>
            </w:pPr>
          </w:p>
        </w:tc>
      </w:tr>
      <w:tr>
        <w:trPr>
          <w:trHeight w:val="216"/>
        </w:trPr>
        <w:tc>
          <w:tcPr>
            <w:tcW w:w="8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-1574800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-1557655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-170815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to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1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including the convertible preferred units of P10 Intermediate, as defined below, were converted into common stock of P10. The offering and reorganization included a reverse stock split of P10 Holdings common stock on a 0.7-for-1 basis pursuant to which every outstanding share of common stock decreased to 0.7 shares. The number of shares have been retrospectively adjusted within these financial statements to reflect this stock split. The reorganization was considered a transaction between entities under common control. As a result, the consolidated financial statements for periods prior to the reorganization and IPO are the consolidated financial statements of P10 Holdings as the predecessor to P10 for accounting and reporting purposes.</w:t>
      </w:r>
    </w:p>
    <w:p>
      <w:pPr>
        <w:spacing w:after="0" w:line="19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5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8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and P10 Advisors, LLC ("P10 Advisors").</w:t>
      </w:r>
    </w:p>
    <w:p>
      <w:pPr>
        <w:spacing w:after="0" w:line="6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9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Five Points is a registered investment advisor with the United States Securities and Exchange Commission.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6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(collectively,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See Note 3 for additional information on these acquisitions.</w:t>
      </w:r>
    </w:p>
    <w:p>
      <w:pPr>
        <w:spacing w:after="0" w:line="18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June 2022, we formed P10 Advisors, a fully consolidated subsidiary, to manage investment opportunities that are sourced across the P10 platform but do not fit within an existing investment mandate.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1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six months ended June 30, 2022 are not necessarily indicative of the results to be expected for the full year ending December 31, 2022.</w:t>
      </w:r>
    </w:p>
    <w:p>
      <w:pPr>
        <w:spacing w:after="0" w:line="19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Certain entities in which the Company holds an interest are investment companies that follow specialized accounting rules under U.S. GAAP and reflect their investments at estimated fair value. Accordingly, the carrying value of the Company’s equity method investments in such entities retains the specialized accounting treatment.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1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6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0"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Holdco, RCP 2, RCP 3, TrueBridge, Bonaccord, and Hark. The assets and liabilities of the consolidated VIEs are presented on a gross basis in the Consolidated Balance Sheets. As a result of the reorganization, it was determined that P10 Intermediate no longer qualifies as a VIE, but would still be consolidated under the voting interest model. This change has been retrospectively adjusted. See Note 7 for more information on both consolidated and unconsolidated VIEs.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P10 Intermediate, Five Points, P10 Advisors and ECG are concluded to be consolidated subsidiaries of P10 under the voting interest model.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within the Consolidated Financial Statements to conform prior periods with current period presentation.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1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June 30, 2022, and December 31, 2021, cash equivalents include money market funds of $7.5 million and $10.7 million, respectively, which approximates fair value. The Company maintains its cash balances at various financial institutions, which may periodically exceed the Federal Deposit Insurance Corporation (“FDIC”) insured limits. The Company believes it is not exposed to any significant credit risk on cash.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0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Restricted cash as of June 30, 2022 and December 31, 2021 was primarily cash that is restricted due to certain deposits being held by the Company for its customers.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The Company considers accounts receivable to be fully collectible; accordingly, no allowance for doubtful accounts has been established as of June 30, 2022 and December 31, 2021. If accounts are subsequently determined to be uncollectible, they will be expensed in the period that determination is made.</w:t>
      </w:r>
    </w:p>
    <w:p>
      <w:pPr>
        <w:spacing w:after="0" w:line="1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Additionally, fees owed to the Company for the advisory agreement entered into upon the closing of the acquisitions of ECG and ECP ("Advisory Agreement") where ECG provides advisory services to Enhanced PC are reflected in due from related parties on the Consolidated Balance Sheets. These amounts are expected to be fully collectible.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Receivable</w:t>
      </w:r>
    </w:p>
    <w:p>
      <w:pPr>
        <w:spacing w:after="0" w:line="10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Note receivable is equal to contractual amounts owed from a signed, secured promissory note with Bonaccord. In addition to contractual amounts, borrowers are obligated to pay interest on outstanding amounts. The Company considers the note receivable to be fully collectible; accordingly, no allowance for doubtful accounts has been established as of June 30, 2022 or December 31, 2021. If accounts are subsequently determined to be uncollectible, they will be expensed in the period that determination is made.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07"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spacing w:after="0" w:line="17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For certain entities in which the Company does not have significant influence and fair value is not readily determinable, we value these investments under the measurement alternative. Financial Accounting Standards Board (“FASB”) Accounting Standards Codification (“ASC”) 825</w:t>
      </w:r>
      <w:r>
        <w:rPr>
          <w:rFonts w:ascii="Times New Roman" w:cs="Times New Roman" w:eastAsia="Times New Roman" w:hAnsi="Times New Roman"/>
          <w:sz w:val="18"/>
          <w:szCs w:val="18"/>
          <w:i w:val="1"/>
          <w:iCs w:val="1"/>
          <w:color w:val="auto"/>
        </w:rPr>
        <w:t>,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requires equity securities to be recorded at cost and adjusted to fair value at each reporting period. However, the guidance allows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alternative, which is to record the investments at cost, less impairment, if any, and subsequently adjust for observable price changes of identical or similar investments of the same issuer.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162" w:lineRule="exact"/>
        <w:rPr>
          <w:sz w:val="20"/>
          <w:szCs w:val="20"/>
          <w:color w:val="auto"/>
        </w:rPr>
      </w:pPr>
    </w:p>
    <w:tbl>
      <w:tblPr>
        <w:tblLayout w:type="fixed"/>
        <w:tblInd w:w="2720" w:type="dxa"/>
        <w:tblCellMar>
          <w:top w:w="0" w:type="dxa"/>
          <w:left w:w="0" w:type="dxa"/>
          <w:bottom w:w="0" w:type="dxa"/>
          <w:right w:w="0" w:type="dxa"/>
        </w:tblCellMar>
      </w:tblP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7 - 10 years</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1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15"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lease qualifies as a short-term lease, the Company evaluates the lease term and the purchase option in the same manner as all other leases.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1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June 30, 2022, goodwill recorded on our Consolidated Balance Sheets relates to the acquisitions of RCP 2, RCP 3, Five Points, TrueBridge, Enhanced, Bonaccord, and Hark. As of June 30, 2022, the intangible assets are comprised of indefinite-lived intangible assets and finite-lived intangible assets related to the acquisitions of RCP 2, RCP 3, Five Points, TrueBridge, Enhanced, Bonaccord and Hark.</w:t>
      </w:r>
    </w:p>
    <w:p>
      <w:pPr>
        <w:spacing w:after="0" w:line="17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difference is recorded as an impairment (not to exceed the carrying amount of goodwill).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1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June 30, 2022 and December 31, 2021, contingent consideration recorded relates to the acquisitions of Hark and Bonaccord on the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1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we used the following valuation techniques to measure fair value for assets and there were no changes to these methodologies during the periods presented:</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3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 dealer quotations, and other methods by which all significant inputs were observable at the measurement date.</w:t>
      </w:r>
    </w:p>
    <w:p>
      <w:pPr>
        <w:spacing w:after="0" w:line="5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14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prepaid assets, accounts payable, accounts receivable and due from related parties approximate fair values due to the short-term maturities of these instruments. The fair value of the credit and guarantee facility approximates the carrying value based on the interest rates which approximate current market rates. The Company has a contingent consideration liability related to the acquisitions of Hark and Bonaccord that is measured at fair value and is remeasured on a recurring basis. See Note 11 for additional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is the customer in a contractual arrangement will be made on a contract-by-contract basis, the customer will generally be the investment fund for the Company’s significant management and advisory contracts.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21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7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and referral fees.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certain opportunities.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1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2"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stand-alone tax rules as applicable.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See Note 17 for additional information. Prior to the IPO, redeemable noncontrolling interests represented third party and related party interests in the Company's consolidated subsidiary, P10 Intermediate. Prior to the conversion of the redeemable convertible preferred shares issued by P10 Intermediate to class B shares, the numerator in the computation of diluted EPS was impacted by the redeemable convertible preferred shares. Under the if converted method, diluted EPS reflects a reduction in earnings that P10 would recognize by owning a smaller percentage of P10 Intermediate when the preferred shares are assumed to be converted.</w:t>
      </w:r>
    </w:p>
    <w:p>
      <w:pPr>
        <w:spacing w:after="0" w:line="19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32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RSUs and RSAs stock compensation expense are recorded ratably over the vesting period at the fair market value on the grant date. Stock option compensation cost is estimated at the grant date based on the fair-value of the award, which is determined using the Black Scholes option valuation model and is recognized as an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Forfeitures are recognized as they occur.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1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The Company operates as an integrated private markets solution provider and a single operating segment. According to ASC 280, </w:t>
      </w:r>
      <w:r>
        <w:rPr>
          <w:rFonts w:ascii="Times New Roman" w:cs="Times New Roman" w:eastAsia="Times New Roman" w:hAnsi="Times New Roman"/>
          <w:sz w:val="18"/>
          <w:szCs w:val="18"/>
          <w:i w:val="1"/>
          <w:iCs w:val="1"/>
          <w:color w:val="auto"/>
        </w:rPr>
        <w:t>Disclosures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Segments of an Enterprise and Related Information</w:t>
      </w:r>
      <w:r>
        <w:rPr>
          <w:rFonts w:ascii="Times New Roman" w:cs="Times New Roman" w:eastAsia="Times New Roman" w:hAnsi="Times New Roman"/>
          <w:sz w:val="18"/>
          <w:szCs w:val="18"/>
          <w:color w:val="auto"/>
        </w:rPr>
        <w:t>, operating segments are defined as components of an enterprise for which separate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is evaluated regularly by the chief operating decision maker(s) in deciding how to allocate resources and in assessing performance.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21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200"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7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general, administrative and other on our Consolidated Statements of Operations.</w:t>
      </w:r>
    </w:p>
    <w:p>
      <w:pPr>
        <w:spacing w:after="0" w:line="1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line="229" w:lineRule="exact"/>
        <w:rPr>
          <w:sz w:val="20"/>
          <w:szCs w:val="20"/>
          <w:color w:val="auto"/>
        </w:rPr>
      </w:pPr>
    </w:p>
    <w:p>
      <w:pPr>
        <w:jc w:val="both"/>
        <w:ind w:right="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The Company adopted ASU No.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w:t>
      </w:r>
      <w:r>
        <w:rPr>
          <w:rFonts w:ascii="Times New Roman" w:cs="Times New Roman" w:eastAsia="Times New Roman" w:hAnsi="Times New Roman"/>
          <w:sz w:val="18"/>
          <w:szCs w:val="18"/>
          <w:i w:val="1"/>
          <w:iCs w:val="1"/>
          <w:color w:val="auto"/>
        </w:rPr>
        <w:t>: Disclosure Framework - Simplifying the Accounting for Income Taxes</w:t>
      </w:r>
      <w:r>
        <w:rPr>
          <w:rFonts w:ascii="Times New Roman" w:cs="Times New Roman" w:eastAsia="Times New Roman" w:hAnsi="Times New Roman"/>
          <w:sz w:val="18"/>
          <w:szCs w:val="18"/>
          <w:color w:val="auto"/>
        </w:rPr>
        <w:t>, on January 1, 2021, which simplified the accounting for income taxes by removing certain exceptions to the general principles of Topic 740 and clarifying and amending existing guidance. The adoption of this standard did not have a material impact on our financial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0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(“ASU 2016-13”). ASU 2016-13 provides amendments to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 We are evaluating the effects of these amendments on our financial reporting.</w:t>
      </w:r>
    </w:p>
    <w:p>
      <w:pPr>
        <w:spacing w:after="0" w:line="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October 28, 2021, the FASB issued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 We are evaluating the effects of these amendments on our financial reporting.</w:t>
      </w:r>
    </w:p>
    <w:p>
      <w:pPr>
        <w:spacing w:after="0" w:line="8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On June 30, 2022, the FASB issued ASU No. 2022-03, </w:t>
      </w:r>
      <w:r>
        <w:rPr>
          <w:rFonts w:ascii="Times New Roman" w:cs="Times New Roman" w:eastAsia="Times New Roman" w:hAnsi="Times New Roman"/>
          <w:sz w:val="18"/>
          <w:szCs w:val="18"/>
          <w:i w:val="1"/>
          <w:iCs w:val="1"/>
          <w:color w:val="auto"/>
        </w:rPr>
        <w:t>Fair Value Measurement of Equity Securities Subject to Contractual Sale Restrictions</w:t>
      </w:r>
      <w:r>
        <w:rPr>
          <w:rFonts w:ascii="Times New Roman" w:cs="Times New Roman" w:eastAsia="Times New Roman" w:hAnsi="Times New Roman"/>
          <w:sz w:val="18"/>
          <w:szCs w:val="18"/>
          <w:color w:val="auto"/>
        </w:rPr>
        <w:t xml:space="preserve"> ("ASU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Times New Roman" w:cs="Times New Roman" w:eastAsia="Times New Roman" w:hAnsi="Times New Roman"/>
          <w:sz w:val="18"/>
          <w:szCs w:val="18"/>
          <w:color w:val="auto"/>
        </w:rPr>
        <w:t>ments also clarify that an entity cannot, as a separate unit of account, recognize and measure a contractual sale restriction. The guidance is effective for fiscal years beginning after December 15, 2023. We are evaluating the effects of these amendments on our financial reporting.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Bonaccord</w:t>
      </w:r>
    </w:p>
    <w:p>
      <w:pPr>
        <w:spacing w:after="0" w:line="10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September 30, 2021, the Company completed the purchase of Bonaccord for total consideration of $56.4 million, which includes cash and contingent consideration. Bonaccord is engaged in the business of acquiring minority interests in alternative asset management companies focused on private market strategies which may include private equity, private client, real estate, and real asset strategies. The acquisition was accounted for as a business combination under the acquisition method of accounting pursuant to ASC 805.</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consideration paid:</w:t>
      </w:r>
    </w:p>
    <w:p>
      <w:pPr>
        <w:spacing w:after="0" w:line="205"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r>
      <w:tr>
        <w:trPr>
          <w:trHeight w:val="20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38,927</w:t>
            </w:r>
          </w:p>
        </w:tc>
        <w:tc>
          <w:tcPr>
            <w:tcW w:w="40" w:type="dxa"/>
            <w:vAlign w:val="bottom"/>
            <w:shd w:val="clear" w:color="auto" w:fill="CFF0FC"/>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40" w:type="dxa"/>
            <w:vAlign w:val="bottom"/>
          </w:tcPr>
          <w:p>
            <w:pPr>
              <w:spacing w:after="0"/>
              <w:rPr>
                <w:sz w:val="18"/>
                <w:szCs w:val="18"/>
                <w:color w:val="auto"/>
              </w:rPr>
            </w:pPr>
          </w:p>
        </w:tc>
      </w:tr>
      <w:tr>
        <w:trPr>
          <w:trHeight w:val="249"/>
        </w:trPr>
        <w:tc>
          <w:tcPr>
            <w:tcW w:w="5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56,362</w:t>
            </w:r>
          </w:p>
        </w:tc>
        <w:tc>
          <w:tcPr>
            <w:tcW w:w="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total of $35.0 million of the cash consideration was financed through an amendment to the term loan under the Facility with HPS Investment Partners, LLC ("HPS"). The additional draw had the same terms as the existing Facility, including the maturity date.</w:t>
      </w:r>
    </w:p>
    <w:p>
      <w:pPr>
        <w:spacing w:after="0" w:line="1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Included in total consideration is $17.4 million of contingent consideration, representing the fair value of expected future payments on the date of the acquisition. The amount ultimately owed to the sellers is based on achieving specific fundraising targets and any amounts paid to the sellers will be paid by October 2027, at which point the contingent consideration expires. Total contingent consideration payments will not exceed $20.0 million.</w:t>
      </w:r>
    </w:p>
    <w:p>
      <w:pPr>
        <w:spacing w:after="0" w:line="16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fair value was derived from an analysis of the option pricing model and the scenario based model. The assumptions used in the analysis are inherently subjective; therefore, the ultimate amount of the liability may differ materially from the current estimate. As of June 30, 2022, the estimated fair value of the remaining contingent consideration totaled $19.1 million, with the increase since acquisition driven primarily by changes in the Company's borrowing rate due to the debt refinancing. See Note 11 for more details.</w:t>
      </w:r>
    </w:p>
    <w:p>
      <w:pPr>
        <w:spacing w:after="0" w:line="17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At the time of the acquisition, the Company entered into a Notice of Restricted Stock Units with certain employees of Bonaccord for 1,113,637 Restricted Stock Units ("Bonaccord Units") to be allocated and granted to employees at a later date for meeting certain performance metrics. The Bonaccord Units may not be transferred, sold, pledged, exchanged, assigned or otherwise encumbered or disposed of by any grantee until it has become vested. As of June 30, 2022, certain performance metrics have been met however, no units have been allocated to specific employees. Therefore, no expense has been recorded in the Consolidated Statements of Operations.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the Company incurred a total of $0.7 million of acquisition-related expenses. Of the total acquisition-related expenses, $0.2 million and $0.2 million were recorded during the three and six months ended June 30, 2022 and $0 and $0 for the three and six months ended June 30, 2021, respectively. These costs are included in professional fees on the Consolidated Statements of Operations.</w:t>
      </w:r>
    </w:p>
    <w:p>
      <w:pPr>
        <w:spacing w:after="0" w:line="6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provisional fair value of the net assets acquired as of the acquisition date:</w:t>
      </w:r>
    </w:p>
    <w:p>
      <w:pPr>
        <w:spacing w:after="0" w:line="205"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40" w:type="dxa"/>
            <w:vAlign w:val="bottom"/>
            <w:shd w:val="clear" w:color="auto" w:fill="CFF0FC"/>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40" w:type="dxa"/>
            <w:vAlign w:val="bottom"/>
          </w:tcPr>
          <w:p>
            <w:pPr>
              <w:spacing w:after="0"/>
              <w:rPr>
                <w:sz w:val="18"/>
                <w:szCs w:val="18"/>
                <w:color w:val="auto"/>
              </w:rPr>
            </w:pPr>
          </w:p>
        </w:tc>
      </w:tr>
      <w:tr>
        <w:trPr>
          <w:trHeight w:val="249"/>
        </w:trPr>
        <w:tc>
          <w:tcPr>
            <w:tcW w:w="5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40" w:type="dxa"/>
            <w:vAlign w:val="bottom"/>
            <w:tcBorders>
              <w:bottom w:val="single" w:sz="8" w:color="CFF0FC"/>
            </w:tcBorders>
            <w:shd w:val="clear" w:color="auto" w:fill="CFF0FC"/>
          </w:tcPr>
          <w:p>
            <w:pPr>
              <w:spacing w:after="0"/>
              <w:rPr>
                <w:sz w:val="21"/>
                <w:szCs w:val="21"/>
                <w:color w:val="auto"/>
              </w:rPr>
            </w:pPr>
          </w:p>
        </w:tc>
      </w:tr>
      <w:tr>
        <w:trPr>
          <w:trHeight w:val="196"/>
        </w:trPr>
        <w:tc>
          <w:tcPr>
            <w:tcW w:w="5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40" w:type="dxa"/>
            <w:vAlign w:val="bottom"/>
            <w:shd w:val="clear" w:color="auto" w:fill="CFF0FC"/>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42,936</w:t>
            </w:r>
          </w:p>
        </w:tc>
        <w:tc>
          <w:tcPr>
            <w:tcW w:w="40" w:type="dxa"/>
            <w:vAlign w:val="bottom"/>
          </w:tcPr>
          <w:p>
            <w:pPr>
              <w:spacing w:after="0"/>
              <w:rPr>
                <w:sz w:val="18"/>
                <w:szCs w:val="18"/>
                <w:color w:val="auto"/>
              </w:rPr>
            </w:pPr>
          </w:p>
        </w:tc>
      </w:tr>
      <w:tr>
        <w:trPr>
          <w:trHeight w:val="249"/>
        </w:trPr>
        <w:tc>
          <w:tcPr>
            <w:tcW w:w="5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56,362</w:t>
            </w:r>
          </w:p>
        </w:tc>
        <w:tc>
          <w:tcPr>
            <w:tcW w:w="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-1052830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-1035685</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-753110</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provisional fair value of the identifiable intangible assets acquired:</w:t>
      </w:r>
    </w:p>
    <w:p>
      <w:pPr>
        <w:spacing w:after="0" w:line="205" w:lineRule="exact"/>
        <w:rPr>
          <w:sz w:val="20"/>
          <w:szCs w:val="20"/>
          <w:color w:val="auto"/>
        </w:rPr>
      </w:pPr>
    </w:p>
    <w:tbl>
      <w:tblPr>
        <w:tblLayout w:type="fixed"/>
        <w:tblInd w:w="158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7"/>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Value of management and advisory contracts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of trade name</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-170815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Bonaccord assumed a Strategic Alliance Agreement ("SAA"), providing a third-party the right to receive 15% of the net management fee earnings, which includes the management fees minus applicable expenses, for Bonaccord Fund I ("Fund I") and any subsequent fund, paid quarterly, in exchange for funding certain amounts of capital commitments to the fund. See Note 5 for more information.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goodwill recorded as part of the acquisition includes the expected benefits that management believes will result from the acquisition, including the Company’s build out of its investment product offering. Approximately $42.9 million of goodwill is expected to be deductible for tax purposes.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Hark</w:t>
      </w:r>
    </w:p>
    <w:p>
      <w:pPr>
        <w:spacing w:after="0" w:line="10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On September 30, 2021, the Company completed the purchase of Hark for total consideration of $7.2 million, which includes $5.0 million of cash and $2.2 million of estimated contingent consideration, with the fair value based on the scenario based method. The acquisition was accounted for as a business combination under the acquisition method of accounting pursuant to ASC 805.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T</w:t>
      </w:r>
      <w:r>
        <w:rPr>
          <w:rFonts w:ascii="Times New Roman" w:cs="Times New Roman" w:eastAsia="Times New Roman" w:hAnsi="Times New Roman"/>
          <w:sz w:val="18"/>
          <w:szCs w:val="18"/>
          <w:color w:val="231F20"/>
        </w:rPr>
        <w:t>he provisional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value consisted of $2.5 million in net assets and $4.7 million in goodwill. The total contingent consideration payment will not exceed $5.4 million.</w:t>
      </w:r>
    </w:p>
    <w:p>
      <w:pPr>
        <w:spacing w:after="0" w:line="17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At the time of the acquisition, the Company entered into a Notice of Restricted Stock Units with an employee, which grants 95,455 Restricted Stock Units ("Hark Units") for meeting a certain performance metric. The Hark Units may not be transferred, sold, pledged, exchanged, assigned or otherwise encumbered or disposed of by any grantee until they have become vested. As of June 30, 2022, no Hark Units have vested and no expense has been recorded in the Consolidated Statements of Operations as we have not determined that the achievement of the performance metric is probable.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p>
      <w:pPr>
        <w:spacing w:after="0" w:line="1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pacing w:after="0" w:line="1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technology acquired was estimated using the relief from royalty method. Significant inputs to the valuation model include a royalty rate, an estimated life and a discount rate.</w:t>
      </w:r>
    </w:p>
    <w:p>
      <w:pPr>
        <w:spacing w:after="0" w:line="1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management and advisory contracts, trade names and the acquired technology all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 The technology will be amortized on a straight-line basis.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w:t>
      </w:r>
    </w:p>
    <w:p>
      <w:pPr>
        <w:spacing w:after="0" w:line="10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following unaudited pro forma condensed consolidated results of operations of the Company assumes the acquisition of Bonaccord was completed on January 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7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75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75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9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80,874</w:t>
            </w:r>
          </w:p>
        </w:tc>
        <w:tc>
          <w:tcPr>
            <w:tcW w:w="100" w:type="dxa"/>
            <w:vAlign w:val="bottom"/>
            <w:shd w:val="clear" w:color="auto" w:fill="CFF0FC"/>
          </w:tcPr>
          <w:p>
            <w:pPr>
              <w:spacing w:after="0"/>
              <w:rPr>
                <w:sz w:val="18"/>
                <w:szCs w:val="18"/>
                <w:color w:val="auto"/>
              </w:rPr>
            </w:pP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P10</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Pro forma adjustments include revenue and net income of the acquired business for each period. Other pro forma adjustments include intangible amortization expense and interest expense based on debt issued or repaid in connection with the acquisition as if the acquisition was completed on January 1, 2021.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presents revenues disaggregated by product offering:</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r>
      <w:tr>
        <w:trPr>
          <w:trHeight w:val="188"/>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6"/>
                <w:szCs w:val="16"/>
                <w:color w:val="auto"/>
              </w:rPr>
            </w:pPr>
          </w:p>
        </w:tc>
      </w:tr>
      <w:tr>
        <w:trPr>
          <w:trHeight w:val="174"/>
        </w:trPr>
        <w:tc>
          <w:tcPr>
            <w:tcW w:w="5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89,478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66,090</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r>
      <w:tr>
        <w:trPr>
          <w:trHeight w:val="216"/>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46,738</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66,756</w:t>
            </w:r>
          </w:p>
        </w:tc>
        <w:tc>
          <w:tcPr>
            <w:tcW w:w="10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-170815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-170815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-170815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Strategic Alliance Expense</w:t>
      </w:r>
    </w:p>
    <w:p>
      <w:pPr>
        <w:spacing w:after="0" w:line="10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Bonaccord acquisition, Bonaccord assumed a SAA. This SAA provides the third-party the right to receive 15% of the net management fee earnings, which includes the management fees minus applicable expenses, for Fund I and subsequent funds, paid quarterly, in exchange for funding certain amounts of capital commitments to the fund. Net management fee earnings the third-party has the right to receive is based on the total capital committed.</w:t>
      </w:r>
    </w:p>
    <w:p>
      <w:pPr>
        <w:spacing w:after="0" w:line="176"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Within 60 days following the final closing of the next fund, Bonaccord Fund II ("Fund II"), the third-party has the opportunity to acquire, at the price at the time of the original acquisition, equity interests in Bonaccord based on the amount of</w:t>
      </w: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commitment made. For each $5.0 million, up to a maximum of $250.0 million in irrevocable capital commitments to Fund II, the third-party can acquire 10 basis points up to a maximum of 5% equity. The maximum commitment requirement has been met as of June 30, 2022 with the first close of Fund II. If executed, the purchase price shall be reduced by the amount of management fee distributions which the third-party would have been paid as of the initial closing of Fund II. Similar terms apply for Fund III with the exception that the third-party can acquire 9.8 basis points for every $5.0 million committed up to 4.9%. This commitment has not yet been met as of June 30, 2022 as Fund III has not yet had its final close.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 For the three and six months ended June 30, 2022, the strategic alliance expense reported was $0.2 million and $0.3 million, respectively. In the three and six months ended June 30, 2021, there was no strategic alliance expense. This is reported on the Consolidated Statements of Operations as strategic alliance expense in operating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Note Receivable</w:t>
      </w:r>
    </w:p>
    <w:p>
      <w:pPr>
        <w:spacing w:after="0" w:line="10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Company's note receivable consists of an Advance Agreement and Secured Promissory Note that was executed on September 30, 2021 between the Company and BCP Partners Holdings, LP ("BCP") to lend funds to certain employees to be used to pay general partner commitments to certain funds managed by Bonaccord. This agreement provides for a note to BCP for $5.0 million, of which $2.8 million was drawn as of June 30, 2022 with a maturity date of September 30, 2031. The note will earn interest at the greater of (i) the applicable federal rate that must be charged to avoid imputation of interest under Section 1274(d) of the U.S. Internal Revenue Code and (ii) 5.5%. Interest will be paid on December 31st of each year commencing December 31, 2021, with any unpaid accrued interest being capitalized and added to the outstanding principal balance. There was no cash paid for interest as of December 31, 2021 and the outstanding balance was capitalized to the note receivable. Principal payments will be made periodically as mandatorily required payments from available cash flows at BCP. As of June 30, 2022 and December 31, 2021, the outstanding balance was $2.8 million and $2.6 million, respectively. The Company recognized interest income of $0.1 million and $0.1 million for the three and six months ended June 30, 2022. The Company recognized no interest income for the three and six months ended June 30, 2021, as the note did not yet exist. This is presented in other revenue on the Consolidated Statement of Operations.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Variable Interest Entities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0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consolidates certain VIEs for which it is the primary beneficiary. VIEs consist of certain operating entities not wholly owned by the Company and include Holdco, RCP 2, RCP 3, TrueBridge, Hark and Bonaccord. See Note 2 for more information on the Company’s accounting policies related to the consolidation of VIEs. The assets of the consolidated VIEs totaled $400.6 million and $413.2 million as of June 30, 2022 and December 31, 2021, respectively. The liabilities of the consolidated VIEs totaled $48.5 million and $53.6 million as of June 30, 2022 and December 31, 2021, respectively. The assets of our consolidated VIE’s are owned by those entities and not generally available to satisfy P10’s obligations, and the liabilities of our consolidated VIE’s are obligations of those entities, and their creditors do not generally have recourse to the assets of P10.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Unconsolidated Subsidiaries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equity method investments primarily related to ECG’s tax credit finance and asset management activities.</w:t>
      </w:r>
    </w:p>
    <w:p>
      <w:pPr>
        <w:spacing w:after="0" w:line="16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As of June 30, 2022, investment in unconsolidated subsidiaries totaled $2.3 million, of which $2.1 million related to ECG’s asset management businesses and $0.2 million related to ECG’s tax credit finance businesses. As of December 31, 2021, investment in unconsolidated subsidiaries totaled $1.8 million, of which $1.6 million related to ECG’s asset management businesses and $0.2 million related to ECG’s tax credit finance businesses.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Management</w:t>
      </w:r>
    </w:p>
    <w:p>
      <w:pPr>
        <w:spacing w:after="0" w:line="1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ECG manages some of its alternative asset management funds through various unconsolidated subsidiaries and records these investments under the equity method of accounting. ECG recorded its share of income in the amount of $0.8 million and $1.1 million for the three and six months ended June 30, 2022 and $0.3 million and $0.5 million for the three and six months ended June 30, 2021, respectively. For the three and six months ended June 30, 2022, ECG made $0 and $0 capital contributions and received distributions of $0.6 million and $0.7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Credit Finance</w:t>
      </w:r>
    </w:p>
    <w:p>
      <w:pPr>
        <w:spacing w:after="0" w:line="11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above. For the three and six months ended June 30, 2022, ECG made $0 and $0 of capital contributions and received distributions of $0 and $0,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49"/>
        </w:trPr>
        <w:tc>
          <w:tcPr>
            <w:tcW w:w="5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09"/>
        </w:trPr>
        <w:tc>
          <w:tcPr>
            <w:tcW w:w="5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(465 )</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(471 )</w:t>
            </w:r>
          </w:p>
        </w:tc>
      </w:tr>
      <w:tr>
        <w:trPr>
          <w:trHeight w:val="249"/>
        </w:trPr>
        <w:tc>
          <w:tcPr>
            <w:tcW w:w="5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Changes in goodwill for the six months ended June 30, 2022 is as follows:</w:t>
      </w:r>
    </w:p>
    <w:p>
      <w:pPr>
        <w:spacing w:after="0" w:line="20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-116840</wp:posOffset>
            </wp:positionV>
            <wp:extent cx="427291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72915" cy="137160"/>
                    </a:xfrm>
                    <a:prstGeom prst="rect">
                      <a:avLst/>
                    </a:prstGeom>
                    <a:noFill/>
                  </pic:spPr>
                </pic:pic>
              </a:graphicData>
            </a:graphic>
          </wp:anchor>
        </w:drawing>
      </w:r>
    </w:p>
    <w:p>
      <w:pPr>
        <w:spacing w:after="0" w:line="1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Purchase price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5715</wp:posOffset>
            </wp:positionV>
            <wp:extent cx="4272915"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72915" cy="145415"/>
                    </a:xfrm>
                    <a:prstGeom prst="rect">
                      <a:avLst/>
                    </a:prstGeom>
                    <a:noFill/>
                  </pic:spPr>
                </pic:pic>
              </a:graphicData>
            </a:graphic>
          </wp:anchor>
        </w:drawing>
      </w:r>
    </w:p>
    <w:p>
      <w:pPr>
        <w:ind w:left="2280"/>
        <w:spacing w:after="0"/>
        <w:rPr>
          <w:sz w:val="20"/>
          <w:szCs w:val="20"/>
          <w:color w:val="auto"/>
        </w:rPr>
      </w:pPr>
      <w:r>
        <w:rPr>
          <w:rFonts w:ascii="Times New Roman" w:cs="Times New Roman" w:eastAsia="Times New Roman" w:hAnsi="Times New Roman"/>
          <w:sz w:val="18"/>
          <w:szCs w:val="18"/>
          <w:color w:val="auto"/>
        </w:rPr>
        <w:t>Increase from acquisitions</w:t>
      </w:r>
    </w:p>
    <w:p>
      <w:pPr>
        <w:spacing w:after="0" w:line="4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Balance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6" w:hanging="606"/>
        <w:spacing w:after="0"/>
        <w:tabs>
          <w:tab w:leader="none" w:pos="6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418,701</w:t>
      </w:r>
    </w:p>
    <w:p>
      <w:pPr>
        <w:spacing w:after="0" w:line="27" w:lineRule="exact"/>
        <w:rPr>
          <w:rFonts w:ascii="Times New Roman" w:cs="Times New Roman" w:eastAsia="Times New Roman" w:hAnsi="Times New Roman"/>
          <w:sz w:val="18"/>
          <w:szCs w:val="18"/>
          <w:color w:val="auto"/>
        </w:rPr>
      </w:pPr>
    </w:p>
    <w:p>
      <w:pPr>
        <w:ind w:left="9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(11 )</w:t>
      </w:r>
    </w:p>
    <w:p>
      <w:pPr>
        <w:spacing w:after="0" w:line="31" w:lineRule="exact"/>
        <w:rPr>
          <w:rFonts w:ascii="Times New Roman" w:cs="Times New Roman" w:eastAsia="Times New Roman" w:hAnsi="Times New Roman"/>
          <w:sz w:val="18"/>
          <w:szCs w:val="18"/>
          <w:color w:val="auto"/>
        </w:rPr>
      </w:pPr>
    </w:p>
    <w:p>
      <w:pPr>
        <w:ind w:left="11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6" w:hanging="606"/>
        <w:spacing w:after="0"/>
        <w:tabs>
          <w:tab w:leader="none" w:pos="6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13970</wp:posOffset>
            </wp:positionV>
            <wp:extent cx="770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0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31115</wp:posOffset>
            </wp:positionV>
            <wp:extent cx="770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7014" w:space="720"/>
            <w:col w:w="3506"/>
          </w:cols>
          <w:pgMar w:left="320" w:top="117" w:right="339" w:bottom="1440" w:gutter="0" w:footer="0" w:header="0"/>
          <w:type w:val="continuous"/>
        </w:sectPr>
      </w:pP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consists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29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17,350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80" w:type="dxa"/>
            <w:vAlign w:val="bottom"/>
          </w:tcPr>
          <w:p>
            <w:pPr>
              <w:spacing w:after="0"/>
              <w:rPr>
                <w:sz w:val="19"/>
                <w:szCs w:val="19"/>
                <w:color w:val="auto"/>
              </w:rPr>
            </w:pPr>
          </w:p>
        </w:tc>
      </w:tr>
      <w:tr>
        <w:trPr>
          <w:trHeight w:val="216"/>
        </w:trPr>
        <w:tc>
          <w:tcPr>
            <w:tcW w:w="4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21,440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(2,589 )</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151,166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(72,189 )</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78,977</w:t>
            </w:r>
          </w:p>
        </w:tc>
        <w:tc>
          <w:tcPr>
            <w:tcW w:w="80" w:type="dxa"/>
            <w:vAlign w:val="bottom"/>
            <w:shd w:val="clear" w:color="auto" w:fill="CFF0FC"/>
          </w:tcPr>
          <w:p>
            <w:pPr>
              <w:spacing w:after="0"/>
              <w:rPr>
                <w:sz w:val="19"/>
                <w:szCs w:val="19"/>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(965 )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8"/>
                <w:szCs w:val="18"/>
                <w:color w:val="auto"/>
              </w:rPr>
            </w:pPr>
          </w:p>
        </w:tc>
      </w:tr>
      <w:tr>
        <w:trPr>
          <w:trHeight w:val="209"/>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174,904</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(75,743</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99,161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192,284</w:t>
            </w:r>
          </w:p>
        </w:tc>
        <w:tc>
          <w:tcPr>
            <w:tcW w:w="24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(75,743 )</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116,541</w:t>
            </w:r>
          </w:p>
        </w:tc>
        <w:tc>
          <w:tcPr>
            <w:tcW w:w="8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35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40" w:type="dxa"/>
            <w:vAlign w:val="bottom"/>
          </w:tcPr>
          <w:p>
            <w:pPr>
              <w:spacing w:after="0"/>
              <w:rPr>
                <w:sz w:val="19"/>
                <w:szCs w:val="19"/>
                <w:color w:val="auto"/>
              </w:rPr>
            </w:pPr>
          </w:p>
        </w:tc>
        <w:tc>
          <w:tcPr>
            <w:tcW w:w="4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80" w:type="dxa"/>
            <w:vAlign w:val="bottom"/>
          </w:tcPr>
          <w:p>
            <w:pPr>
              <w:spacing w:after="0"/>
              <w:rPr>
                <w:sz w:val="19"/>
                <w:szCs w:val="19"/>
                <w:color w:val="auto"/>
              </w:rPr>
            </w:pPr>
          </w:p>
        </w:tc>
      </w:tr>
      <w:tr>
        <w:trPr>
          <w:trHeight w:val="216"/>
        </w:trPr>
        <w:tc>
          <w:tcPr>
            <w:tcW w:w="4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(1,785 )</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151,166</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(60,934 )</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90,232</w:t>
            </w:r>
          </w:p>
        </w:tc>
        <w:tc>
          <w:tcPr>
            <w:tcW w:w="80" w:type="dxa"/>
            <w:vAlign w:val="bottom"/>
            <w:shd w:val="clear" w:color="auto" w:fill="CFF0FC"/>
          </w:tcPr>
          <w:p>
            <w:pPr>
              <w:spacing w:after="0"/>
              <w:rPr>
                <w:sz w:val="19"/>
                <w:szCs w:val="19"/>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(6,639 )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8"/>
                <w:szCs w:val="18"/>
                <w:color w:val="auto"/>
              </w:rPr>
            </w:pPr>
          </w:p>
        </w:tc>
      </w:tr>
      <w:tr>
        <w:trPr>
          <w:trHeight w:val="209"/>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180,766</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(69,358</w:t>
            </w:r>
          </w:p>
        </w:tc>
        <w:tc>
          <w:tcPr>
            <w:tcW w:w="22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198,146</w:t>
            </w:r>
          </w:p>
        </w:tc>
        <w:tc>
          <w:tcPr>
            <w:tcW w:w="40" w:type="dxa"/>
            <w:vAlign w:val="bottom"/>
          </w:tcPr>
          <w:p>
            <w:pPr>
              <w:spacing w:after="0"/>
              <w:rPr>
                <w:sz w:val="18"/>
                <w:szCs w:val="18"/>
                <w:color w:val="auto"/>
              </w:rPr>
            </w:pPr>
          </w:p>
        </w:tc>
        <w:tc>
          <w:tcPr>
            <w:tcW w:w="4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(69,358 )</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128,788</w:t>
            </w:r>
          </w:p>
        </w:tc>
        <w:tc>
          <w:tcPr>
            <w:tcW w:w="8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-2978785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-2978785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-2978785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-2105660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-2105660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-2105660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-1043940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-1043940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-1043940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-170815</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-170815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-170815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7 - 16 years and are being amortized in line with pattern in which the economic benefits that are expected to occur. Technology is amortized on a straight-line basis over 4 years. The amortization expense for each of the next five years and thereafter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2260" w:type="dxa"/>
            <w:vAlign w:val="bottom"/>
          </w:tcPr>
          <w:p>
            <w:pPr>
              <w:spacing w:after="0"/>
              <w:rPr>
                <w:sz w:val="18"/>
                <w:szCs w:val="18"/>
                <w:color w:val="auto"/>
              </w:rPr>
            </w:pPr>
          </w:p>
        </w:tc>
      </w:tr>
      <w:tr>
        <w:trPr>
          <w:trHeight w:val="249"/>
        </w:trPr>
        <w:tc>
          <w:tcPr>
            <w:tcW w:w="2260" w:type="dxa"/>
            <w:vAlign w:val="bottom"/>
          </w:tcPr>
          <w:p>
            <w:pPr>
              <w:spacing w:after="0"/>
              <w:rPr>
                <w:sz w:val="21"/>
                <w:szCs w:val="21"/>
                <w:color w:val="auto"/>
              </w:rPr>
            </w:pPr>
          </w:p>
        </w:tc>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amortization</w:t>
            </w:r>
          </w:p>
        </w:tc>
        <w:tc>
          <w:tcPr>
            <w:tcW w:w="3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99,161</w:t>
            </w:r>
          </w:p>
        </w:tc>
        <w:tc>
          <w:tcPr>
            <w:tcW w:w="2260" w:type="dxa"/>
            <w:vAlign w:val="bottom"/>
          </w:tcPr>
          <w:p>
            <w:pPr>
              <w:spacing w:after="0"/>
              <w:rPr>
                <w:sz w:val="21"/>
                <w:szCs w:val="21"/>
                <w:color w:val="auto"/>
              </w:rPr>
            </w:pPr>
          </w:p>
        </w:tc>
      </w:tr>
      <w:tr>
        <w:trPr>
          <w:trHeight w:val="346"/>
        </w:trPr>
        <w:tc>
          <w:tcPr>
            <w:tcW w:w="2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60" w:type="dxa"/>
            <w:vAlign w:val="bottom"/>
          </w:tcPr>
          <w:p>
            <w:pPr>
              <w:jc w:val="right"/>
              <w:ind w:right="2079"/>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16"/>
        </w:trPr>
        <w:tc>
          <w:tcPr>
            <w:tcW w:w="22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-470535</wp:posOffset>
            </wp:positionV>
            <wp:extent cx="342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-453390</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3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00" w:type="dxa"/>
            <w:vAlign w:val="bottom"/>
          </w:tcPr>
          <w:p>
            <w:pPr>
              <w:spacing w:after="0"/>
              <w:rPr>
                <w:sz w:val="18"/>
                <w:szCs w:val="18"/>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18"/>
                <w:szCs w:val="18"/>
                <w:color w:val="auto"/>
              </w:rPr>
            </w:pPr>
          </w:p>
        </w:tc>
      </w:tr>
      <w:tr>
        <w:trPr>
          <w:trHeight w:val="249"/>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300" w:type="dxa"/>
            <w:vAlign w:val="bottom"/>
            <w:tcBorders>
              <w:top w:val="single" w:sz="8" w:color="auto"/>
              <w:bottom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-24765</wp:posOffset>
            </wp:positionV>
            <wp:extent cx="3639185" cy="5905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39185" cy="59055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00" w:type="dxa"/>
            <w:vAlign w:val="bottom"/>
          </w:tcPr>
          <w:p>
            <w:pPr>
              <w:spacing w:after="0"/>
              <w:rPr>
                <w:sz w:val="18"/>
                <w:szCs w:val="18"/>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Pr>
          <w:p>
            <w:pPr>
              <w:spacing w:after="0"/>
              <w:rPr>
                <w:sz w:val="18"/>
                <w:szCs w:val="18"/>
                <w:color w:val="auto"/>
              </w:rPr>
            </w:pPr>
          </w:p>
        </w:tc>
      </w:tr>
      <w:tr>
        <w:trPr>
          <w:trHeight w:val="249"/>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300" w:type="dxa"/>
            <w:vAlign w:val="bottom"/>
            <w:tcBorders>
              <w:top w:val="single" w:sz="8" w:color="auto"/>
              <w:bottom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-24765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liabilities presented in the tables above, there were no changes in fair value hierarchy levels during the periods ended June 30, 2022 and December 31, 2021.</w:t>
      </w:r>
    </w:p>
    <w:p>
      <w:pPr>
        <w:sectPr>
          <w:pgSz w:w="11900" w:h="16838" w:orient="portrait"/>
          <w:cols w:equalWidth="0" w:num="1">
            <w:col w:w="11240"/>
          </w:cols>
          <w:pgMar w:left="320" w:top="117" w:right="339" w:bottom="1440" w:gutter="0" w:footer="0" w:header="0"/>
        </w:sect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changes in the fair value of Level III financial instruments are set forth below:</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60" w:type="dxa"/>
            <w:vAlign w:val="bottom"/>
          </w:tcPr>
          <w:p>
            <w:pPr>
              <w:spacing w:after="0"/>
              <w:rPr>
                <w:sz w:val="17"/>
                <w:szCs w:val="17"/>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191"/>
        </w:trPr>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22,963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593</w:t>
            </w:r>
          </w:p>
        </w:tc>
        <w:tc>
          <w:tcPr>
            <w:tcW w:w="6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6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(727 )</w:t>
            </w:r>
          </w:p>
        </w:tc>
      </w:tr>
      <w:tr>
        <w:trPr>
          <w:trHeight w:val="209"/>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6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80" w:space="720"/>
            <w:col w:w="3540"/>
          </w:cols>
          <w:pgMar w:left="320" w:top="117" w:right="339" w:bottom="1440" w:gutter="0" w:footer="0" w:header="0"/>
          <w:type w:val="continuous"/>
        </w:sectPr>
      </w:pPr>
    </w:p>
    <w:p>
      <w:pPr>
        <w:spacing w:after="0" w:line="2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fair value of the contingent consideration liability represents the fair value of future payments upon satisfaction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3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revolving credit facility state tax credits</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state tax credits, net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100" w:type="dxa"/>
            <w:vAlign w:val="bottom"/>
          </w:tcPr>
          <w:p>
            <w:pPr>
              <w:spacing w:after="0"/>
              <w:rPr>
                <w:sz w:val="18"/>
                <w:szCs w:val="18"/>
                <w:color w:val="auto"/>
              </w:rPr>
            </w:pP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90,900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(2,615 )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(2,981 )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gridSpan w:val="2"/>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63,285</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87,919</w:t>
            </w:r>
          </w:p>
        </w:tc>
        <w:tc>
          <w:tcPr>
            <w:tcW w:w="80" w:type="dxa"/>
            <w:vAlign w:val="bottom"/>
            <w:tcBorders>
              <w:top w:val="single" w:sz="8" w:color="CFF0FC"/>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124,628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obligations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187,913</w:t>
            </w:r>
          </w:p>
        </w:tc>
        <w:tc>
          <w:tcPr>
            <w:tcW w:w="100" w:type="dxa"/>
            <w:vAlign w:val="bottom"/>
          </w:tcPr>
          <w:p>
            <w:pPr>
              <w:spacing w:after="0"/>
              <w:rPr>
                <w:sz w:val="18"/>
                <w:szCs w:val="18"/>
                <w:color w:val="auto"/>
              </w:rPr>
            </w:pP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212,496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table below summarizes the terms of the debt obligations.</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7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93"/>
              <w:spacing w:after="0" w:line="13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20" w:type="dxa"/>
            <w:vAlign w:val="bottom"/>
          </w:tcPr>
          <w:p>
            <w:pPr>
              <w:spacing w:after="0"/>
              <w:rPr>
                <w:sz w:val="12"/>
                <w:szCs w:val="12"/>
                <w:color w:val="auto"/>
              </w:rPr>
            </w:pPr>
          </w:p>
        </w:tc>
        <w:tc>
          <w:tcPr>
            <w:tcW w:w="860" w:type="dxa"/>
            <w:vAlign w:val="bottom"/>
            <w:gridSpan w:val="3"/>
          </w:tcPr>
          <w:p>
            <w:pPr>
              <w:jc w:val="right"/>
              <w:ind w:right="5"/>
              <w:spacing w:after="0" w:line="13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2"/>
                <w:szCs w:val="12"/>
                <w:color w:val="auto"/>
              </w:rPr>
            </w:pPr>
          </w:p>
        </w:tc>
        <w:tc>
          <w:tcPr>
            <w:tcW w:w="840" w:type="dxa"/>
            <w:vAlign w:val="bottom"/>
            <w:gridSpan w:val="4"/>
          </w:tcPr>
          <w:p>
            <w:pPr>
              <w:jc w:val="right"/>
              <w:ind w:right="116"/>
              <w:spacing w:after="0" w:line="13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820" w:type="dxa"/>
            <w:vAlign w:val="bottom"/>
            <w:gridSpan w:val="4"/>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220" w:type="dxa"/>
            <w:vAlign w:val="bottom"/>
          </w:tcPr>
          <w:p>
            <w:pPr>
              <w:spacing w:after="0"/>
              <w:rPr>
                <w:sz w:val="12"/>
                <w:szCs w:val="12"/>
                <w:color w:val="auto"/>
              </w:rPr>
            </w:pPr>
          </w:p>
        </w:tc>
        <w:tc>
          <w:tcPr>
            <w:tcW w:w="1320" w:type="dxa"/>
            <w:vAlign w:val="bottom"/>
            <w:gridSpan w:val="3"/>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Average Interest</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Facility Size</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5"/>
                <w:szCs w:val="15"/>
                <w:color w:val="auto"/>
              </w:rPr>
            </w:pPr>
          </w:p>
        </w:tc>
        <w:tc>
          <w:tcPr>
            <w:tcW w:w="840" w:type="dxa"/>
            <w:vAlign w:val="bottom"/>
            <w:gridSpan w:val="4"/>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Available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20" w:type="dxa"/>
            <w:vAlign w:val="bottom"/>
          </w:tcPr>
          <w:p>
            <w:pPr>
              <w:spacing w:after="0"/>
              <w:rPr>
                <w:sz w:val="15"/>
                <w:szCs w:val="15"/>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0" w:type="dxa"/>
            <w:vAlign w:val="bottom"/>
          </w:tcPr>
          <w:p>
            <w:pPr>
              <w:spacing w:after="0"/>
              <w:rPr>
                <w:sz w:val="1"/>
                <w:szCs w:val="1"/>
                <w:color w:val="auto"/>
              </w:rPr>
            </w:pPr>
          </w:p>
        </w:tc>
      </w:tr>
      <w:tr>
        <w:trPr>
          <w:trHeight w:val="17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90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12/22/2025</w:t>
            </w:r>
          </w:p>
        </w:tc>
        <w:tc>
          <w:tcPr>
            <w:tcW w:w="1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22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22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124,628</w:t>
            </w:r>
          </w:p>
        </w:tc>
        <w:tc>
          <w:tcPr>
            <w:tcW w:w="22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3840" w:type="dxa"/>
            <w:vAlign w:val="bottom"/>
            <w:gridSpan w:val="2"/>
          </w:tcPr>
          <w:p>
            <w:pPr>
              <w:ind w:left="3060"/>
              <w:spacing w:after="0"/>
              <w:rPr>
                <w:sz w:val="20"/>
                <w:szCs w:val="20"/>
                <w:color w:val="auto"/>
              </w:rPr>
            </w:pPr>
            <w:r>
              <w:rPr>
                <w:rFonts w:ascii="Times New Roman" w:cs="Times New Roman" w:eastAsia="Times New Roman" w:hAnsi="Times New Roman"/>
                <w:sz w:val="13"/>
                <w:szCs w:val="13"/>
                <w:color w:val="auto"/>
              </w:rPr>
              <w:t>12/22/2025</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65,900</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59,100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63,285</w:t>
            </w:r>
          </w:p>
        </w:tc>
        <w:tc>
          <w:tcPr>
            <w:tcW w:w="1540" w:type="dxa"/>
            <w:vAlign w:val="bottom"/>
            <w:gridSpan w:val="4"/>
          </w:tcPr>
          <w:p>
            <w:pPr>
              <w:ind w:left="1160"/>
              <w:spacing w:after="0"/>
              <w:rPr>
                <w:sz w:val="20"/>
                <w:szCs w:val="20"/>
                <w:color w:val="auto"/>
              </w:rPr>
            </w:pPr>
            <w:r>
              <w:rPr>
                <w:rFonts w:ascii="Times New Roman" w:cs="Times New Roman" w:eastAsia="Times New Roman" w:hAnsi="Times New Roman"/>
                <w:sz w:val="13"/>
                <w:szCs w:val="13"/>
                <w:color w:val="auto"/>
                <w:w w:val="97"/>
              </w:rPr>
              <w:t>2.62 %</w:t>
            </w:r>
          </w:p>
        </w:tc>
        <w:tc>
          <w:tcPr>
            <w:tcW w:w="0" w:type="dxa"/>
            <w:vAlign w:val="bottom"/>
          </w:tcPr>
          <w:p>
            <w:pPr>
              <w:spacing w:after="0"/>
              <w:rPr>
                <w:sz w:val="1"/>
                <w:szCs w:val="1"/>
                <w:color w:val="auto"/>
              </w:rPr>
            </w:pPr>
          </w:p>
        </w:tc>
      </w:tr>
      <w:tr>
        <w:trPr>
          <w:trHeight w:val="208"/>
        </w:trPr>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9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190,900</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59,100</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187,913</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-2225675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-2225675</wp:posOffset>
            </wp:positionV>
            <wp:extent cx="425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-1943100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-1943100</wp:posOffset>
            </wp:positionV>
            <wp:extent cx="425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-1369060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-1369060</wp:posOffset>
            </wp:positionV>
            <wp:extent cx="425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-24765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-7620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Refinancing</w:t>
      </w:r>
    </w:p>
    <w:p>
      <w:pPr>
        <w:spacing w:after="0" w:line="121"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On December 22, 2021, the Company extinguished its debt outstanding with HPS, as described below in the Credit and Guaranty Facility section and simultaneously entered into a new credit agreement with JP Morgan Chase Bank, N.A. ("JP Morgan") in order to gain more favorable interest terms. The Company used the proceeds from the new credit agreement with JP Morgan not only to repay the outstanding balance with HPS but also to repay the notes payable to sellers as described below in the Notes Payable to Sellers section.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State Tax Credits</w:t>
      </w:r>
    </w:p>
    <w:p>
      <w:pPr>
        <w:spacing w:after="0" w:line="107"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Enhanced State Tax Credit Fund III, LLC, a subsidiary of ECG, had a $10 million revolving credit facility with a regional financial institution restricted solely for the purchase of allocable state tax credits from various state tax credit incentive programs. The facility bore interest at 0.25% above the Prime Rate and matured on June 15, 2022. The facility was not renewed upon maturity. There was no outstanding balance nor any interest incurred as of June 30, 2022 and December 31, 2021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to Sellers</w:t>
      </w:r>
    </w:p>
    <w:p>
      <w:pPr>
        <w:spacing w:after="0" w:line="121" w:lineRule="exact"/>
        <w:rPr>
          <w:sz w:val="20"/>
          <w:szCs w:val="20"/>
          <w:color w:val="auto"/>
        </w:rPr>
      </w:pPr>
    </w:p>
    <w:p>
      <w:pPr>
        <w:jc w:val="both"/>
        <w:ind w:right="20" w:firstLine="509"/>
        <w:spacing w:after="0" w:line="273" w:lineRule="auto"/>
        <w:rPr>
          <w:sz w:val="20"/>
          <w:szCs w:val="20"/>
          <w:color w:val="auto"/>
        </w:rPr>
      </w:pPr>
      <w:r>
        <w:rPr>
          <w:rFonts w:ascii="Times New Roman" w:cs="Times New Roman" w:eastAsia="Times New Roman" w:hAnsi="Times New Roman"/>
          <w:sz w:val="18"/>
          <w:szCs w:val="18"/>
          <w:color w:val="auto"/>
        </w:rPr>
        <w:t>On October 5, 2017, the Company issued Secured Promissory Notes Payable (“2017 Seller Notes”) in the amount of $81.3 million to the owners of RCP 2 in connection with the acquisition of that entity. The 2017 Seller Notes were set to mature on January 15, 2025. On December 23, 2021, the Company used the proceeds from the new credit agreement with JP Morgan to repay the outstanding balance of the 2017 Sellers Notes.</w:t>
      </w:r>
    </w:p>
    <w:p>
      <w:pPr>
        <w:spacing w:after="0" w:line="170" w:lineRule="exact"/>
        <w:rPr>
          <w:sz w:val="20"/>
          <w:szCs w:val="20"/>
          <w:color w:val="auto"/>
        </w:rPr>
      </w:pPr>
    </w:p>
    <w:p>
      <w:pPr>
        <w:jc w:val="both"/>
        <w:ind w:right="20" w:firstLine="509"/>
        <w:spacing w:after="0" w:line="273" w:lineRule="auto"/>
        <w:rPr>
          <w:sz w:val="20"/>
          <w:szCs w:val="20"/>
          <w:color w:val="auto"/>
        </w:rPr>
      </w:pPr>
      <w:r>
        <w:rPr>
          <w:rFonts w:ascii="Times New Roman" w:cs="Times New Roman" w:eastAsia="Times New Roman" w:hAnsi="Times New Roman"/>
          <w:sz w:val="18"/>
          <w:szCs w:val="18"/>
          <w:color w:val="auto"/>
        </w:rPr>
        <w:t>On January 3, 2018, the Company issued Secured Promissory Notes Payable (“2018 Seller Notes”) in the amount of $22.1 million to the owners of RCP 3 in connection with the acquisition of that entity. The 2018 Seller Notes were set to mature on January 15, 2025. On December 23, 2021, the Company used the proceeds from the new credit agreement with JP Morgan to repay the outstanding balance of the 2018 Sellers Notes.</w:t>
      </w:r>
    </w:p>
    <w:p>
      <w:pPr>
        <w:spacing w:after="0" w:line="184"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On January 3, 2018, the Company issued tax amortization benefits in the amount of $48.4 million (“TAB Payments”) to the owners of RCP 3 in connection with the acquisition of that entity. The TAB Payments were set to mature on April 15,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2023. On December 23, 2021, the Company used the proceeds from the new credit agreement with JP Morgan to repay the outstanding balance of the TAB Payments.</w:t>
      </w:r>
    </w:p>
    <w:p>
      <w:pPr>
        <w:spacing w:after="0" w:line="17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2017 Seller Notes, the 2018 Seller Notes and the TAB Payments are collectively referred to as “Notes payable to sellers” on our Consolidated Financial Statements.</w:t>
      </w:r>
    </w:p>
    <w:p>
      <w:pPr>
        <w:spacing w:after="0" w:line="176"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8"/>
          <w:szCs w:val="18"/>
          <w:color w:val="auto"/>
        </w:rPr>
        <w:t>Non-cash interest expense was recorded on a periodic basis for the Notes Payable to Sellers. During the three and six months ended June 30, 2022, we recorded $0 and $0, respectively, and for the three and six months ended June 30, 2021, we recorded $0.1 million and $0.4 million, respectively, in interest expense related to the TAB Payments.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Guaranty Facility</w:t>
      </w:r>
    </w:p>
    <w:p>
      <w:pPr>
        <w:spacing w:after="0" w:line="24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Company’s subsidiary, Holdco, entered into the Credit and Guaranty Facility (the "Facility") with HPS as administrative agent and collateral agent on October 7, 2017. The Facility initially provided for a $130.0 million senior secured credit facility in order to refinance the existing debt obligations of RCP Advisors and provide for the financing to repay the Seller Notes due resulting from the acquisition of RCP Advisors. The Facility provided for a $125 million five-year term, subject to certain EBITDA levels and conditions, and a $5 million one-year line of credit. The line of credit was repaid and subsequently expired during 2018. Holdco was permitted to draw up to $125 million in aggregate on the term loan in tranches through July 31, 2019.</w:t>
      </w:r>
    </w:p>
    <w:p>
      <w:pPr>
        <w:spacing w:after="0" w:line="179"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8"/>
          <w:szCs w:val="18"/>
          <w:color w:val="auto"/>
        </w:rPr>
        <w:t>On October 2, 2020 and December 14, 2020, in connection with the acquisitions of TrueBridge and Enhanced, the term loan under the Facility was amended adding an additional $91.4 million and $68.0 million to the Facility, respectively.</w:t>
      </w:r>
    </w:p>
    <w:p>
      <w:pPr>
        <w:spacing w:after="0" w:line="148"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8"/>
          <w:szCs w:val="18"/>
          <w:color w:val="auto"/>
        </w:rPr>
        <w:t>On September 30, 2021, in connection with the acquisition of Bonaccord, the term loan under the Facility was amended adding an additional $35.0 million to the Facility.</w:t>
      </w:r>
    </w:p>
    <w:p>
      <w:pPr>
        <w:spacing w:after="0" w:line="148"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8"/>
          <w:szCs w:val="18"/>
          <w:color w:val="auto"/>
        </w:rPr>
        <w:t>On October 28, 2021, a payment of $88.6 million was made, which included an optional repayment of $86.8 million, required prepayment penalty of $1.2 million, and an accrued interest payment of $0.6 million.</w:t>
      </w:r>
    </w:p>
    <w:p>
      <w:pPr>
        <w:spacing w:after="0" w:line="148"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8"/>
          <w:szCs w:val="18"/>
          <w:color w:val="auto"/>
        </w:rPr>
        <w:t>On December 22, 2021, the remaining principal balance of $200 million was repaid using the proceeds of the new credit facility with JP Morgan. In accordance with the Facility, the Company also paid the remaining accrued interest balance of $2.1 million and an early extinguishment fee of $3.7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22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w:t>
      </w:r>
    </w:p>
    <w:p>
      <w:pPr>
        <w:spacing w:after="0" w:line="1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9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typical of such financing transactions, and specific financial covenants which require P10 to maintain a minimum leverage ratio. As of June 30, 2022, P10 was in compliance with its financial covenants required under the facility. In February 2022, the Company repaid $25 million of the principal balance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outstanding on the revolving credit facility. As of June 30, 2022, the balance drawn on the revolving credit facility is $65.9 million and on the term loan, the balance is $125.0 million. The balance as of December 31, 2021 was $90.9 million on the revolving credit facility and $125 million on the term loan. For the three and six months ended June 30, 2022 $1.3 million and $2.5 million of interest expense was incurred, respectively. For the three and six months ended June 30, 2021, $0 and $0 of interest expense was incurred,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Payable</w:t>
      </w:r>
    </w:p>
    <w:p>
      <w:pPr>
        <w:spacing w:after="0" w:line="107"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18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w w:val="99"/>
              </w:rPr>
              <w:t>Future principal maturities of debt as of June 30, 2022 are as follows: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5440" w:type="dxa"/>
            <w:vAlign w:val="bottom"/>
            <w:shd w:val="clear" w:color="auto" w:fill="CFF0FC"/>
          </w:tcPr>
          <w:p>
            <w:pPr>
              <w:jc w:val="right"/>
              <w:ind w:right="4970"/>
              <w:spacing w:after="0"/>
              <w:rPr>
                <w:sz w:val="20"/>
                <w:szCs w:val="20"/>
                <w:color w:val="auto"/>
              </w:rPr>
            </w:pPr>
            <w:r>
              <w:rPr>
                <w:rFonts w:ascii="Times New Roman" w:cs="Times New Roman" w:eastAsia="Times New Roman" w:hAnsi="Times New Roman"/>
                <w:sz w:val="18"/>
                <w:szCs w:val="18"/>
                <w:color w:val="auto"/>
                <w:w w:val="99"/>
              </w:rPr>
              <w:t>2022</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jc w:val="right"/>
              <w:ind w:right="4970"/>
              <w:spacing w:after="0"/>
              <w:rPr>
                <w:sz w:val="20"/>
                <w:szCs w:val="20"/>
                <w:color w:val="auto"/>
              </w:rPr>
            </w:pPr>
            <w:r>
              <w:rPr>
                <w:rFonts w:ascii="Times New Roman" w:cs="Times New Roman" w:eastAsia="Times New Roman" w:hAnsi="Times New Roman"/>
                <w:sz w:val="18"/>
                <w:szCs w:val="18"/>
                <w:color w:val="auto"/>
                <w:w w:val="99"/>
              </w:rPr>
              <w:t>2023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jc w:val="right"/>
              <w:ind w:right="4970"/>
              <w:spacing w:after="0"/>
              <w:rPr>
                <w:sz w:val="20"/>
                <w:szCs w:val="20"/>
                <w:color w:val="auto"/>
              </w:rPr>
            </w:pPr>
            <w:r>
              <w:rPr>
                <w:rFonts w:ascii="Times New Roman" w:cs="Times New Roman" w:eastAsia="Times New Roman" w:hAnsi="Times New Roman"/>
                <w:sz w:val="18"/>
                <w:szCs w:val="18"/>
                <w:color w:val="auto"/>
                <w:w w:val="99"/>
              </w:rPr>
              <w:t>2024</w:t>
            </w: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Borders>
              <w:bottom w:val="single" w:sz="8" w:color="CFF0FC"/>
            </w:tcBorders>
          </w:tcPr>
          <w:p>
            <w:pPr>
              <w:jc w:val="right"/>
              <w:ind w:right="4970"/>
              <w:spacing w:after="0"/>
              <w:rPr>
                <w:sz w:val="20"/>
                <w:szCs w:val="20"/>
                <w:color w:val="auto"/>
              </w:rPr>
            </w:pPr>
            <w:r>
              <w:rPr>
                <w:rFonts w:ascii="Times New Roman" w:cs="Times New Roman" w:eastAsia="Times New Roman" w:hAnsi="Times New Roman"/>
                <w:sz w:val="18"/>
                <w:szCs w:val="18"/>
                <w:color w:val="auto"/>
                <w:w w:val="99"/>
              </w:rPr>
              <w:t>2025</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178,400</w:t>
            </w:r>
          </w:p>
        </w:tc>
        <w:tc>
          <w:tcPr>
            <w:tcW w:w="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40" w:type="dxa"/>
            <w:vAlign w:val="bottom"/>
          </w:tcPr>
          <w:p>
            <w:pPr>
              <w:spacing w:after="0"/>
              <w:rPr>
                <w:sz w:val="21"/>
                <w:szCs w:val="21"/>
                <w:color w:val="auto"/>
              </w:rPr>
            </w:pPr>
          </w:p>
        </w:tc>
        <w:tc>
          <w:tcPr>
            <w:tcW w:w="54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190,900</w:t>
            </w:r>
          </w:p>
        </w:tc>
        <w:tc>
          <w:tcPr>
            <w:tcW w:w="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-170815</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0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Debt issuance costs are offset against the Revolving Credit Facility State Tax Credits, the Credit and Guaranty Facility, and the Revolver Facility and Term Loan. Unamortized debt issuance costs for the Credit and Guaranty Facility as of June 30, 2022 and December 31, 2021 were $0 and $0, respectively. Unamortized debt issuance costs for the Revolving Credit Facility State Tax Credits as of June 30, 2022 and December 31, 2021 were $0 and $8 thousand, respectively. Unamortized debt issuance costs for the Revolver Facility and Term Loan as of June 30, 2022 and December 31, 2021 were $3.0 million and $3.4 million, respectively. This is included in debt obligations on the consolidated balance sheets.</w:t>
      </w:r>
    </w:p>
    <w:p>
      <w:pPr>
        <w:spacing w:after="0" w:line="19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Amortization expense related to debt issuance costs totaled $0.2 million and $0.4 million for the three and six months ended June 30, 2022 and $0.7 million and $1.4 million for the three and six months ended June 30, 2021, respectively, and are included within interest expense, net on the accompanying Consolidated Statements of Operations. During the six months ended June 30, 2022 and June 30, 2021, we recorded $0.1 million and $0.1 million in debt issuance costs, respectively, which is included in debt obligations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21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P10 has paid $0.1 million and $0.1 million in rent to 210 Capital, LLC for the six months ended June 30, 2022 and June 30, 2021, respectively.</w:t>
      </w:r>
    </w:p>
    <w:p>
      <w:pPr>
        <w:spacing w:after="0" w:line="16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Effective April 1, 2020, P10 Intermediate paid a quarterly management fee of $250 thousand to Keystone Capital XXX, LLC, which was the holder of the Series B preferred shares issued by P10 Intermediate in connection with the acquisition of Five Points. As a result of that agreement, P10 Intermediate paid $0.1 million and $0.5 million for the six months ended June 30, 2022 and June 30, 2021, respectively. This management fee was terminated effective October 20, 2021 when the Company's redeemable noncontrolling interest was converted to Class B shares in connection with the Company's IPO.</w:t>
      </w:r>
    </w:p>
    <w:p>
      <w:pPr>
        <w:spacing w:after="0" w:line="193"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June 30, 2022, the total accounts receivable from the Funds totaled $5.2 million, of which $3.0 million related to reimbursable expenses and $2.2 million related to fees earned but not yet received. As of December 31, 2021, the total accounts receivable from the Funds totaled $2.4 million, of which $1.6 million related to reimbursable expenses and $0.8 million related to fees earned but not yet received. In certain instances, the Company may incur expenses related to specific products that never materialize. The costs are then removed from the balance sheet and expensed on the Consolidated Statement of Operations. The management fees described here are included in accounts receivable on the Consolidated Balance Sheet and the reimbursable expenses are included in due from related parties on the 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initially totaling $76.0 million over 7 years. As a result of new projects during 2021, ECG will receive additional advisory fees from Enhanced PC totaling $22.0 million over 7 years, based on a declining fixed fee schedule. This agreement is subject to customary termination provisions. For the three and six months ended June 30, 2022, advisory fees earned or recognized under this agreement were $5.5 million and $11.1 million, respectively, and are reported in management and advisory fees on the Consolidated Statement of Operations. For the three and six months ended June 30, 2021, advisory fees earned or recognized under this agreement were $4.75 million and $9.5 million, respectively. As of June 30, 2022 and December 31, 2021, the receivable balance was $18.1 million and $9.5 million, respectively, and is included in due from related parties on the Consolidated Balance Sheets.</w:t>
      </w:r>
    </w:p>
    <w:p>
      <w:pPr>
        <w:spacing w:after="0" w:line="18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will pay ECH for the use of their employees to provide services to Enhanced PC at the direction of ECG. The Company recognized $2.4 million and $4.6 million for the three and six months ended June 30, 2022 and $2.4 million and $5.2 million for the three and six months ended June 30, 2021, respectively, related to this agreement within compensation and benefits on our Consolidated Statements of Operations.</w:t>
      </w:r>
    </w:p>
    <w:p>
      <w:pPr>
        <w:spacing w:after="0" w:line="18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On September 10, 2021, Enhanced entered into a strategic partnership with Crossroads Systems, Inc,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 The Company recognized $0.6 million and $1.0 million for the three and six months ended June 30, 2022, respectively, which is included in management and advisory fees on the Consolidated Statements of Operations. No revenues were recognized for the three and six months ended June 30, 2021.</w:t>
      </w:r>
    </w:p>
    <w:p>
      <w:pPr>
        <w:spacing w:after="0" w:line="1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Upon the closing of the Bonaccord acquisition on September 30, 2021, an Advance Agreement and Secured Promissory Note was signed with BCP, an entity that was formed by employees of the Company. For details, see Note 6.</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$0.8 million and $1.6 million for the three and six months ended June 30, 2022 and $0.5 million and $1.1 million for the three and six months ended June 30, 2021, respectively.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June 30,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lease liabilities</w:t>
            </w:r>
          </w:p>
        </w:tc>
        <w:tc>
          <w:tcPr>
            <w:tcW w:w="1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40" w:type="dxa"/>
            <w:vAlign w:val="bottom"/>
          </w:tcPr>
          <w:p>
            <w:pPr>
              <w:spacing w:after="0"/>
              <w:rPr>
                <w:sz w:val="18"/>
                <w:szCs w:val="18"/>
                <w:color w:val="auto"/>
              </w:rPr>
            </w:pPr>
          </w:p>
        </w:tc>
        <w:tc>
          <w:tcPr>
            <w:tcW w:w="3080" w:type="dxa"/>
            <w:vAlign w:val="bottom"/>
            <w:gridSpan w:val="2"/>
          </w:tcPr>
          <w:p>
            <w:pPr>
              <w:jc w:val="right"/>
              <w:ind w:right="2140"/>
              <w:spacing w:after="0"/>
              <w:rPr>
                <w:sz w:val="20"/>
                <w:szCs w:val="20"/>
                <w:color w:val="auto"/>
              </w:rPr>
            </w:pPr>
            <w:r>
              <w:rPr>
                <w:rFonts w:ascii="Times New Roman" w:cs="Times New Roman" w:eastAsia="Times New Roman" w:hAnsi="Times New Roman"/>
                <w:sz w:val="18"/>
                <w:szCs w:val="18"/>
                <w:color w:val="auto"/>
              </w:rPr>
              <w:t>4.49 %</w:t>
            </w:r>
          </w:p>
        </w:tc>
      </w:tr>
      <w:tr>
        <w:trPr>
          <w:trHeight w:val="568"/>
        </w:trPr>
        <w:tc>
          <w:tcPr>
            <w:tcW w:w="2260" w:type="dxa"/>
            <w:vAlign w:val="bottom"/>
          </w:tcPr>
          <w:p>
            <w:pPr>
              <w:spacing w:after="0"/>
              <w:rPr>
                <w:sz w:val="24"/>
                <w:szCs w:val="24"/>
                <w:color w:val="auto"/>
              </w:rPr>
            </w:pPr>
          </w:p>
        </w:tc>
        <w:tc>
          <w:tcPr>
            <w:tcW w:w="4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24</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9"/>
        </w:trPr>
        <w:tc>
          <w:tcPr>
            <w:tcW w:w="226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-718820</wp:posOffset>
            </wp:positionV>
            <wp:extent cx="427291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72915"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tbl>
      <w:tblPr>
        <w:tblLayout w:type="fixed"/>
        <w:tblInd w:w="52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54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P10, Inc.</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1740" w:type="dxa"/>
            <w:vAlign w:val="bottom"/>
          </w:tcPr>
          <w:p>
            <w:pPr>
              <w:spacing w:after="0"/>
              <w:rPr>
                <w:sz w:val="19"/>
                <w:szCs w:val="19"/>
                <w:color w:val="auto"/>
              </w:rPr>
            </w:pPr>
          </w:p>
        </w:tc>
        <w:tc>
          <w:tcPr>
            <w:tcW w:w="54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1740" w:type="dxa"/>
            <w:vAlign w:val="bottom"/>
          </w:tcPr>
          <w:p>
            <w:pPr>
              <w:spacing w:after="0"/>
              <w:rPr>
                <w:sz w:val="20"/>
                <w:szCs w:val="20"/>
                <w:color w:val="auto"/>
              </w:rPr>
            </w:pPr>
          </w:p>
        </w:tc>
        <w:tc>
          <w:tcPr>
            <w:tcW w:w="5440" w:type="dxa"/>
            <w:vAlign w:val="bottom"/>
          </w:tcPr>
          <w:p>
            <w:pPr>
              <w:jc w:val="center"/>
              <w:ind w:left="1210"/>
              <w:spacing w:after="0"/>
              <w:rPr>
                <w:sz w:val="20"/>
                <w:szCs w:val="20"/>
                <w:color w:val="auto"/>
              </w:rPr>
            </w:pPr>
            <w:r>
              <w:rPr>
                <w:rFonts w:ascii="Times New Roman" w:cs="Times New Roman" w:eastAsia="Times New Roman" w:hAnsi="Times New Roman"/>
                <w:sz w:val="18"/>
                <w:szCs w:val="18"/>
                <w:i w:val="1"/>
                <w:iCs w:val="1"/>
                <w:color w:val="auto"/>
                <w:w w:val="99"/>
              </w:rPr>
              <w:t>(Unaudited, dollar amounts stated in thousands)</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1"/>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June 30, 2022 are as follows: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17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20" w:type="dxa"/>
            <w:vAlign w:val="bottom"/>
          </w:tcPr>
          <w:p>
            <w:pPr>
              <w:spacing w:after="0"/>
              <w:rPr>
                <w:sz w:val="18"/>
                <w:szCs w:val="18"/>
                <w:color w:val="auto"/>
              </w:rPr>
            </w:pPr>
          </w:p>
        </w:tc>
      </w:tr>
      <w:tr>
        <w:trPr>
          <w:trHeight w:val="209"/>
        </w:trPr>
        <w:tc>
          <w:tcPr>
            <w:tcW w:w="1740" w:type="dxa"/>
            <w:vAlign w:val="bottom"/>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(3,319 )</w:t>
            </w:r>
          </w:p>
        </w:tc>
      </w:tr>
      <w:tr>
        <w:trPr>
          <w:trHeight w:val="216"/>
        </w:trPr>
        <w:tc>
          <w:tcPr>
            <w:tcW w:w="174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construction allowance</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(944 )</w:t>
            </w:r>
          </w:p>
        </w:tc>
      </w:tr>
      <w:tr>
        <w:trPr>
          <w:trHeight w:val="209"/>
        </w:trPr>
        <w:tc>
          <w:tcPr>
            <w:tcW w:w="174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2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-307340</wp:posOffset>
            </wp:positionV>
            <wp:extent cx="4272915"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72915" cy="14541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do not believe that any of these matters, individually or in the aggregate, will result in losses that are materially in excess of amounts already recognized, if 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these methodologies, the Company’s effective income tax rate for the six months ended June 30, 2022 was 25.94%. The effective tax rate differs from the federal statutory rate of 21% due primarily to state and local income taxes.</w:t>
      </w:r>
    </w:p>
    <w:p>
      <w:pPr>
        <w:spacing w:after="0" w:line="175"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June 30, 2022, the Company has recorded a $12.8 million valuation allowance against deferred tax assets, primarily related to a note impairment. There was no change to the valuation allowance during the six months ended June 30, 2022.</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15"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Options previously granted under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Incentive Plan for a total of 9,300,000 shares. On June 17, 2022 at the Annual Meeting of Stockholders, the shareholders authorized an additional 5,000,000 of shares from the Plan creating a total of 14,300,000 shares.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15, 2022, the Board of Directors approved the settlement of 1.1 million options from a grantee with a fair market value option price of $11.83, less a negotiated discount of 2.5%, totaling $12.5 million. This was paid on June 15, 2022.</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six months ended June 30, 2022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5"/>
                <w:szCs w:val="15"/>
                <w:color w:val="auto"/>
              </w:rPr>
            </w:pPr>
          </w:p>
        </w:tc>
      </w:tr>
      <w:tr>
        <w:trPr>
          <w:trHeight w:val="175"/>
        </w:trPr>
        <w:tc>
          <w:tcPr>
            <w:tcW w:w="3180" w:type="dxa"/>
            <w:vAlign w:val="bottom"/>
          </w:tcPr>
          <w:p>
            <w:pPr>
              <w:spacing w:after="0"/>
              <w:rPr>
                <w:sz w:val="15"/>
                <w:szCs w:val="15"/>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5"/>
                <w:szCs w:val="15"/>
                <w:color w:val="auto"/>
              </w:rPr>
            </w:pPr>
          </w:p>
        </w:tc>
      </w:tr>
      <w:tr>
        <w:trPr>
          <w:trHeight w:val="187"/>
        </w:trPr>
        <w:tc>
          <w:tcPr>
            <w:tcW w:w="3180" w:type="dxa"/>
            <w:vAlign w:val="bottom"/>
          </w:tcPr>
          <w:p>
            <w:pPr>
              <w:spacing w:after="0"/>
              <w:rPr>
                <w:sz w:val="16"/>
                <w:szCs w:val="16"/>
                <w:color w:val="auto"/>
              </w:rPr>
            </w:pPr>
          </w:p>
        </w:tc>
        <w:tc>
          <w:tcPr>
            <w:tcW w:w="14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(whole dollars)</w:t>
            </w:r>
          </w:p>
        </w:tc>
        <w:tc>
          <w:tcPr>
            <w:tcW w:w="100" w:type="dxa"/>
            <w:vAlign w:val="bottom"/>
          </w:tcPr>
          <w:p>
            <w:pPr>
              <w:spacing w:after="0"/>
              <w:rPr>
                <w:sz w:val="16"/>
                <w:szCs w:val="16"/>
                <w:color w:val="auto"/>
              </w:rPr>
            </w:pPr>
          </w:p>
        </w:tc>
      </w:tr>
      <w:tr>
        <w:trPr>
          <w:trHeight w:val="223"/>
        </w:trPr>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20" w:type="dxa"/>
            <w:vAlign w:val="bottom"/>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7,095,936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73,156,722</w:t>
            </w:r>
          </w:p>
        </w:tc>
        <w:tc>
          <w:tcPr>
            <w:tcW w:w="100" w:type="dxa"/>
            <w:vAlign w:val="bottom"/>
            <w:shd w:val="clear" w:color="auto" w:fill="CFF0FC"/>
          </w:tcPr>
          <w:p>
            <w:pPr>
              <w:spacing w:after="0"/>
              <w:rPr>
                <w:sz w:val="19"/>
                <w:szCs w:val="19"/>
                <w:color w:val="auto"/>
              </w:rPr>
            </w:pPr>
          </w:p>
        </w:tc>
      </w:tr>
      <w:tr>
        <w:trPr>
          <w:trHeight w:val="22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Settled</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(1,120,000 )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(20,650 )</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3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7,279,019</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tcBorders>
              <w:top w:val="single" w:sz="8" w:color="CFF0FC"/>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41,195,852</w:t>
            </w:r>
          </w:p>
        </w:tc>
        <w:tc>
          <w:tcPr>
            <w:tcW w:w="100" w:type="dxa"/>
            <w:vAlign w:val="bottom"/>
            <w:tcBorders>
              <w:top w:val="single" w:sz="8" w:color="CFF0FC"/>
            </w:tcBorders>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1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June 30, 2022</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363,445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4.09</w:t>
            </w:r>
          </w:p>
        </w:tc>
        <w:tc>
          <w:tcPr>
            <w:tcW w:w="24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2,920,165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-333375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-333375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-333375</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-333375</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-24765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six months ended June 30, 2022 and June 30, 2021 were as follows:</w:t>
      </w:r>
    </w:p>
    <w:p>
      <w:pPr>
        <w:spacing w:after="0" w:line="169" w:lineRule="exact"/>
        <w:rPr>
          <w:sz w:val="20"/>
          <w:szCs w:val="20"/>
          <w:color w:val="auto"/>
        </w:rPr>
      </w:pPr>
    </w:p>
    <w:tbl>
      <w:tblPr>
        <w:tblLayout w:type="fixed"/>
        <w:tblInd w:w="182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26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5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(yrs)</w:t>
            </w:r>
          </w:p>
        </w:tc>
        <w:tc>
          <w:tcPr>
            <w:tcW w:w="2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(yrs)</w:t>
            </w:r>
          </w:p>
        </w:tc>
        <w:tc>
          <w:tcPr>
            <w:tcW w:w="10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41.70 %</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0.79 %</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-285115</wp:posOffset>
            </wp:positionV>
            <wp:extent cx="4846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46320" cy="137160"/>
                    </a:xfrm>
                    <a:prstGeom prst="rect">
                      <a:avLst/>
                    </a:prstGeom>
                    <a:noFill/>
                  </pic:spPr>
                </pic:pic>
              </a:graphicData>
            </a:graphic>
          </wp:anchor>
        </w:drawing>
      </w:r>
    </w:p>
    <w:p>
      <w:pPr>
        <w:spacing w:after="0" w:line="36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Company has granted restricted stock awards ("RSAs") to certain employees. Holders of RSAs have no voting rights and accrue dividends until vesting with payment being made once they vest. All of the shares currently vest one year from the grant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188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80" w:type="dxa"/>
            <w:vAlign w:val="bottom"/>
            <w:tcBorders>
              <w:bottom w:val="single" w:sz="8" w:color="auto"/>
            </w:tcBorders>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RSAs</w:t>
            </w: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36,033</w:t>
            </w:r>
          </w:p>
        </w:tc>
        <w:tc>
          <w:tcPr>
            <w:tcW w:w="3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36,033</w:t>
            </w:r>
          </w:p>
        </w:tc>
        <w:tc>
          <w:tcPr>
            <w:tcW w:w="3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400" w:type="dxa"/>
            <w:vAlign w:val="bottom"/>
            <w:gridSpan w:val="2"/>
          </w:tcPr>
          <w:p>
            <w:pPr>
              <w:ind w:left="5560"/>
              <w:spacing w:after="0"/>
              <w:rPr>
                <w:sz w:val="20"/>
                <w:szCs w:val="20"/>
                <w:color w:val="auto"/>
              </w:rPr>
            </w:pPr>
            <w:r>
              <w:rPr>
                <w:rFonts w:ascii="Times New Roman" w:cs="Times New Roman" w:eastAsia="Times New Roman" w:hAnsi="Times New Roman"/>
                <w:sz w:val="14"/>
                <w:szCs w:val="14"/>
                <w:color w:val="auto"/>
              </w:rPr>
              <w:t>26</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5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-692785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2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restricted stock units ("RSUs") to certain employees. Holders of RSUs have no voting rights and are not eligible to receive dividends or other distributions paid with respect to any RSUs that have not vested. All of the shares currently vest one year from the grant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184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00" w:type="dxa"/>
            <w:vAlign w:val="bottom"/>
          </w:tcPr>
          <w:p>
            <w:pPr>
              <w:spacing w:after="0"/>
              <w:rPr>
                <w:sz w:val="15"/>
                <w:szCs w:val="15"/>
                <w:color w:val="auto"/>
              </w:rPr>
            </w:pPr>
          </w:p>
        </w:tc>
      </w:tr>
      <w:tr>
        <w:trPr>
          <w:trHeight w:val="187"/>
        </w:trPr>
        <w:tc>
          <w:tcPr>
            <w:tcW w:w="5500" w:type="dxa"/>
            <w:vAlign w:val="bottom"/>
          </w:tcPr>
          <w:p>
            <w:pPr>
              <w:spacing w:after="0"/>
              <w:rPr>
                <w:sz w:val="16"/>
                <w:szCs w:val="16"/>
                <w:color w:val="auto"/>
              </w:rPr>
            </w:pPr>
          </w:p>
        </w:tc>
        <w:tc>
          <w:tcPr>
            <w:tcW w:w="184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RSUs</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100" w:type="dxa"/>
            <w:vAlign w:val="bottom"/>
          </w:tcPr>
          <w:p>
            <w:pPr>
              <w:spacing w:after="0"/>
              <w:rPr>
                <w:sz w:val="16"/>
                <w:szCs w:val="16"/>
                <w:color w:val="auto"/>
              </w:rPr>
            </w:pPr>
          </w:p>
        </w:tc>
      </w:tr>
      <w:tr>
        <w:trPr>
          <w:trHeight w:val="20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59,654</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8"/>
                <w:szCs w:val="18"/>
                <w:color w:val="auto"/>
              </w:rPr>
            </w:pPr>
          </w:p>
        </w:tc>
      </w:tr>
      <w:tr>
        <w:trPr>
          <w:trHeight w:val="216"/>
        </w:trPr>
        <w:tc>
          <w:tcPr>
            <w:tcW w:w="7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8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567,789</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on our Consolidated Statements of Operations. The stock-based compensation expense for the three and six months ended June 30, 2022 was $2.7 million and $4.2 million and for the three and six months ended June 30, 2021 was $0.6 million and $1.0 million, respectively. Unrecognized stock-based compensation expense related to outstanding unvested stock options as of June 30, 2022 was $11.5 million and is expected to be recognized over a weighted average period of 2.8 years. Any future forfeitures will impact this amount.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24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Additionally, diluted EPS reflects the potential dilution that could occur if convertible preferred shares of P10 Intermediate were converted into common shares of P10 Intermediate. This is only applicable for the three and six months ended June 30, 2021 as the preferred shares of P10 Intermediate converted to Class B common shares effective with the IPO.</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98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Numerator for earnings per share assuming</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6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4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4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98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dilution</w:t>
            </w:r>
          </w:p>
        </w:tc>
        <w:tc>
          <w:tcPr>
            <w:tcW w:w="2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98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Denominator for basic calculation—Weighted-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average shares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980" w:type="dxa"/>
            <w:vAlign w:val="bottom"/>
            <w:shd w:val="clear" w:color="auto" w:fill="CFF0FC"/>
          </w:tcPr>
          <w:p>
            <w:pPr>
              <w:ind w:left="180"/>
              <w:spacing w:after="0" w:line="170" w:lineRule="exact"/>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24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9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earnings per share assuming dilution</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120,981</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121,259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Earnings per share—basic</w:t>
            </w: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-456565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-456565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-456565</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-456565</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computations of diluted earnings per share excluded options to purchase 1.4 million and 1.0 million shares of common stock for the three and six months ended June 30, 2022 and 2.9 million and 2.9 million shares for the three and six months ended June 30, 2021, respectively, because the options were anti-dilutive.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Redeemable Noncontrolling Interest</w:t>
      </w:r>
    </w:p>
    <w:p>
      <w:pPr>
        <w:spacing w:after="0" w:line="200" w:lineRule="exact"/>
        <w:rPr>
          <w:sz w:val="20"/>
          <w:szCs w:val="20"/>
          <w:color w:val="auto"/>
        </w:rPr>
      </w:pPr>
    </w:p>
    <w:p>
      <w:pPr>
        <w:spacing w:after="0" w:line="23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connection with the closing of the acquisition of Five Points on April 1, 2020, the Company formed a new subsidiary, P10 Intermediate, which was the acquiring entity of Five Points. On April 1, 2020, P10 Intermediate issued three series (A, B</w:t>
      </w: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stated in thousands)</w:t>
      </w:r>
    </w:p>
    <w:p>
      <w:pPr>
        <w:spacing w:after="0" w:line="200" w:lineRule="exact"/>
        <w:rPr>
          <w:sz w:val="20"/>
          <w:szCs w:val="20"/>
          <w:color w:val="auto"/>
        </w:rPr>
      </w:pP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and C) of redeemable convertible preferred shares. On October 2, 2020 and December 14, 2020, P10 Intermediate issued two additional series (D and E) in connection with the acquisitions of TrueBridge and Enhanced. The preferred shares on an as-if-converted basis represented approximately 40.9% of the aggregate issued and outstanding share capital of P10 Intermediate with P10 owning the remaining 59.1% through its 100% ownership of the outstanding common stock of P10 Intermediate. The third-party ownership interest represented a noncontrolling interest in P10 Intermediate, which the Company had a controlling interest in. Dividends on the preferred shares were recognized as preferred dividends attributable to redeemable non-controlling interest in our Consolidated Statements of Operations. In connection with the IPO on October 20, 2021, all preferred shares were contractually converted to Class B common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1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On July 27, 2022, the Company paid down $12.0 million of the principal balance outstanding on the Revolver Facility reducing the outstanding balance from $65.9 million to $53.9 million.</w:t>
      </w:r>
    </w:p>
    <w:p>
      <w:pPr>
        <w:spacing w:after="0" w:line="14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declared a quarterly cash dividend of $0.03 per share of Class A and Class B common stock, payable on September 20, 2022, to the holders of record as of the close of business on August 29, 2022.</w:t>
      </w:r>
    </w:p>
    <w:p>
      <w:pPr>
        <w:spacing w:after="0" w:line="161"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ASC 855, Subsequent Events, the Company evaluated all material events or transactions that occurred after June 30, 2022, the Consolidated Balance Sheet date, through the date the Consolidated Financial Statements were issued, and determined there have been no additional events or transactions that would materially impact the Consolidated Financial Statements.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due to the effects of acquisitions which occurred during the year ended December 31, 2021, but may not have had a material impact on our statements of operations due to the limited period of time which they were included in our consolidated results. This quarterly report reflects the historical results of operations and financial position of P10 Holdings, our predecessor for accounting purposes, prior to the Reorganization and IPO.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2021, particularly in "Risk Factors" and the "Forward-Looking Information." Unless otherwise indicated, references in this Quarterly Report on Form 10-Q to fiscal 2022 and 2021 are to our fiscal years ended December 31, 2022 and 2021,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6"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During 2020, we completed several acquisitions to expand the private market solutions available to our investors. On April 1, 2020, we completed our acquisition of Five Points to serve as our Private Credit solution (which also offers certain private equity solutions). On October 2, 2020, we completed our acquisition of TrueBridge Capital Partners, LLC (TrueBridge) to serve as our Venture Capital solution. On December 14, 2020, we completed our acquisition of 100% of the equity interest in Enhanced Capital Group, LLC (ECG) to serve as our Impact Investing solution. These acquisitions were accounted for as business combinations, and these entities are reported as consolidated subsidiaries of P10. Additionally, on December 14, 2020, we completed our acquisition of approximately 49% of the voting interests and 50% of the economic interests in ECP, which is a related party of ECG. As we only acquired a non-controlling interest in ECP, it is reported as an equity method investment in accordance with ASC 323, </w:t>
      </w:r>
      <w:r>
        <w:rPr>
          <w:rFonts w:ascii="Times New Roman" w:cs="Times New Roman" w:eastAsia="Times New Roman" w:hAnsi="Times New Roman"/>
          <w:sz w:val="18"/>
          <w:szCs w:val="18"/>
          <w:i w:val="1"/>
          <w:iCs w:val="1"/>
          <w:color w:val="auto"/>
        </w:rPr>
        <w:t>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(“ASC 323").</w:t>
      </w:r>
    </w:p>
    <w:p>
      <w:pPr>
        <w:spacing w:after="0" w:line="1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September 30, 2021, we completed the acquisitions of Hark Capital Advisors, LLC (Hark) and Bonaccord Capital Advisors, LLC (Bonaccord) to further expand on solutions available to our investors. The effect of these acquisitions is reflected in our Consolidated Balance Sheet at December 31, 2021 and the Consolidated Statement of Operations from September 30, 2021 to December 31, 2021. These acquisitions were accounted for as business combinations and are reported as consolidated subsidiaries of P10.</w:t>
      </w:r>
    </w:p>
    <w:p>
      <w:pPr>
        <w:spacing w:after="0" w:line="18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On October 20, 2021, P10 Holdings, in connection with its IPO, completed a reorganization and restructure. In connection with the reorganization, P10 became the parent company and all of the existing equity of P10 Holdings, which is a wholly owned subsidiary of P10, and its consolidated subsidiaries, including the convertible preferred units of P10 Intermediate were converted into common stock of P10. The offering and reorganization included a reverse stock split of P10 Holdings common stock on a 0.7-for-1 basis pursuant to which every outstanding share of common stock decreased to 0.7 shares. Net proceeds from the sale of our Class A common stock, after deducting underwriting discounts and commissions but before expenses was approximately $129.4 million. Of the proceeds, $86.8 million was used to pay down outstanding term loan debt, $12.4 million was used to pay off RCP Seller's Notes, $1.1 million was used to cash settle certain option awards, $1.0 million was used to fund the dividend on P10 Intermediate's preferred stock and $4.5 million was used to pay expenses incurred in connection with the offering.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2" w:name="page33"/>
    <w:bookmarkEnd w:id="32"/>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4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On December 22, 2021, P10 entered into a $250 million credit agreement with a syndicate of banks, including JP Morgan Chase Bank and Texas Capital Bank as joint lead arrangers and bookrunners, which provided for the Term Loan in an aggregate principal amount of $125 million and Revolver Facility in an aggregate principal amount of $125 million with a four year term and an additional $125 million accordion feature. The variable interest rate is 210 basis points over the SOFR. Borrowings were used to pay down the outstanding balance under the previous credit facility with HPS and related transaction expenses, pay off Seller's Notes related to the RCP acquisition and to finance working capital needs and for general corporate purposes. During the first quarter of 2022, the Company paid down $25 million of the outstanding balance under the Revolver Facility and as of June 30, 2022, the outstanding balance was $65.9 million. In July 2022, the Company paid down an additional $12 million of the outstanding balance under the Revolver Facility.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our private market solutions were comprised of the following:</w:t>
      </w:r>
    </w:p>
    <w:p>
      <w:pPr>
        <w:spacing w:after="0" w:line="115" w:lineRule="exact"/>
        <w:rPr>
          <w:sz w:val="20"/>
          <w:szCs w:val="20"/>
          <w:color w:val="auto"/>
        </w:rPr>
      </w:pPr>
    </w:p>
    <w:p>
      <w:pPr>
        <w:jc w:val="both"/>
        <w:ind w:left="1020" w:hanging="504"/>
        <w:spacing w:after="0" w:line="24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Equity Solutions (PES)</w:t>
      </w:r>
      <w:r>
        <w:rPr>
          <w:rFonts w:ascii="Times New Roman" w:cs="Times New Roman" w:eastAsia="Times New Roman" w:hAnsi="Times New Roman"/>
          <w:sz w:val="18"/>
          <w:szCs w:val="18"/>
          <w:color w:val="auto"/>
        </w:rPr>
        <w:t>. Under PES, we make direct and indirect investments in middle and lower- middle market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North America. PES also makes minority equity investments in a diversified portfolio of mid-sized managers across private equity, private credit and real assets. The PES investment team, which is comprised of 38 investment professionals with an average of 24+ years of experience, has deep and long-standing investor and fund manager relationships in the middle and lower-middle market which it has cultivated over the past 20 years, including over 1,800+ investors, 200+ fund managers, 400+ private market funds and 1,900+ portfolio companies. We have 42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4,900 investment firms, 9,000 funds, 43,000 individual transactions, 29,000 private companies and 260,000 financial metrics. As of June 30, 2022, PES managed $10.4 billion of Fee Paying Assets Under Management ("FPAUM").</w:t>
      </w:r>
    </w:p>
    <w:p>
      <w:pPr>
        <w:spacing w:after="0" w:line="77" w:lineRule="exact"/>
        <w:rPr>
          <w:rFonts w:ascii="Times New Roman" w:cs="Times New Roman" w:eastAsia="Times New Roman" w:hAnsi="Times New Roman"/>
          <w:sz w:val="18"/>
          <w:szCs w:val="18"/>
          <w:color w:val="auto"/>
        </w:rPr>
      </w:pPr>
    </w:p>
    <w:p>
      <w:pPr>
        <w:jc w:val="both"/>
        <w:ind w:left="1020" w:hanging="504"/>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high-performing, access-constrained opportunities. The VCS investment team, which is comprised of 15 investment professionals with an average of 20+ years of experience, has deep and long-standing investor and fund manager relationships in the venture market which it has cultivated over the past 14+ years, including over 540+ investors, 60+ fund managers, 55 direct investments, 230+ private market funds and 6,500+ portfolio companies. We have 14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June 30, 2022, VCS managed $5.1 billion of FPAUM.</w:t>
      </w:r>
    </w:p>
    <w:p>
      <w:pPr>
        <w:spacing w:after="0" w:line="89" w:lineRule="exact"/>
        <w:rPr>
          <w:rFonts w:ascii="Times New Roman" w:cs="Times New Roman" w:eastAsia="Times New Roman" w:hAnsi="Times New Roman"/>
          <w:sz w:val="18"/>
          <w:szCs w:val="18"/>
          <w:color w:val="auto"/>
        </w:rPr>
      </w:pPr>
    </w:p>
    <w:p>
      <w:pPr>
        <w:jc w:val="both"/>
        <w:ind w:left="1020" w:hanging="504"/>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Impact Investing Solutions (IIS). </w:t>
      </w:r>
      <w:r>
        <w:rPr>
          <w:rFonts w:ascii="Times New Roman" w:cs="Times New Roman" w:eastAsia="Times New Roman" w:hAnsi="Times New Roman"/>
          <w:sz w:val="18"/>
          <w:szCs w:val="18"/>
          <w:color w:val="auto"/>
        </w:rPr>
        <w:t>Under IIS, we make equity, tax equity, and debt investments in impact initiatives across North America. IIS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12 investment professionals with an average of 21+ years of experience, has deep and long-standing relationships in the impact market which it has cultivated over the past 20 years, including deploying capital on behalf of over 82 investors. We currently have 35 active investment vehicles. We are differentiated in both the breadth of impact areas served, the type of capital deployed and the duration of our track record. We have collectively deployed over $4.8 billion into 750+ projects, supporting 400+ businesses across 38 states since 2000. We have invested $2.6 billion in Impact Assets across our Small Business Lending, Impact Real Estate and Climate Finance Strategies. Investments in solar assets have generated over 781 million KWh of renewable energy over the lifetime of the portfolio. As of June 30, 2022, IIS managed $1.7 billion of FPAUM</w:t>
      </w:r>
      <w:r>
        <w:rPr>
          <w:rFonts w:ascii="Times New Roman" w:cs="Times New Roman" w:eastAsia="Times New Roman" w:hAnsi="Times New Roman"/>
          <w:sz w:val="18"/>
          <w:szCs w:val="18"/>
          <w:i w:val="1"/>
          <w:iCs w:val="1"/>
          <w:color w:val="auto"/>
        </w:rPr>
        <w:t>.</w:t>
      </w:r>
    </w:p>
    <w:p>
      <w:pPr>
        <w:spacing w:after="0" w:line="76" w:lineRule="exact"/>
        <w:rPr>
          <w:rFonts w:ascii="Times New Roman" w:cs="Times New Roman" w:eastAsia="Times New Roman" w:hAnsi="Times New Roman"/>
          <w:sz w:val="18"/>
          <w:szCs w:val="18"/>
          <w:color w:val="auto"/>
        </w:rPr>
      </w:pPr>
    </w:p>
    <w:p>
      <w:pPr>
        <w:jc w:val="both"/>
        <w:ind w:left="1020" w:hanging="504"/>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24 investment professionals with an average of 22+ years of experience, has deep and long-standing relationships in the private credit market which it has cultivated over the past 22 years, including 270+ investors across 11 active investment vehicles and 70+ portfolio companies with over $1.9+ billion capital deployed. Our PCS is</w:t>
      </w:r>
    </w:p>
    <w:p>
      <w:pPr>
        <w:spacing w:after="0" w:line="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differentiated by our relationship-driven sourcing approach providing capital solutions for</w:t>
      </w: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3" w:name="page34"/>
    <w:bookmarkEnd w:id="33"/>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growth-oriented companies. We are further synergistically strengthened by our PES network of fund managers, characterized by more than 575 credit opportunities annually. We currently maintain 45+ active sponsor relationships and have 60+ platform investments. As of June 30, 2022, PCS managed $1.3 billion of FPAUM.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2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79" w:lineRule="exact"/>
        <w:rPr>
          <w:sz w:val="20"/>
          <w:szCs w:val="20"/>
          <w:color w:val="auto"/>
        </w:rPr>
      </w:pPr>
    </w:p>
    <w:p>
      <w:pPr>
        <w:jc w:val="both"/>
        <w:ind w:left="1020" w:hanging="504"/>
        <w:spacing w:after="0" w:line="24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$11.1 billion of our FPAUM as of June 30, 2022.</w:t>
      </w:r>
    </w:p>
    <w:p>
      <w:pPr>
        <w:spacing w:after="0" w:line="76" w:lineRule="exact"/>
        <w:rPr>
          <w:rFonts w:ascii="Times New Roman" w:cs="Times New Roman" w:eastAsia="Times New Roman" w:hAnsi="Times New Roman"/>
          <w:sz w:val="18"/>
          <w:szCs w:val="18"/>
          <w:color w:val="auto"/>
        </w:rPr>
      </w:pPr>
    </w:p>
    <w:p>
      <w:pPr>
        <w:jc w:val="both"/>
        <w:ind w:left="1020" w:hanging="504"/>
        <w:spacing w:after="0" w:line="24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$6.1 billion of our FPAUM as of June 30, 2022.</w:t>
      </w:r>
    </w:p>
    <w:p>
      <w:pPr>
        <w:spacing w:after="0" w:line="74" w:lineRule="exact"/>
        <w:rPr>
          <w:rFonts w:ascii="Times New Roman" w:cs="Times New Roman" w:eastAsia="Times New Roman" w:hAnsi="Times New Roman"/>
          <w:sz w:val="18"/>
          <w:szCs w:val="18"/>
          <w:color w:val="auto"/>
        </w:rPr>
      </w:pPr>
    </w:p>
    <w:p>
      <w:pPr>
        <w:jc w:val="both"/>
        <w:ind w:left="1020" w:hanging="504"/>
        <w:spacing w:after="0" w:line="24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Secondaries. </w:t>
      </w:r>
      <w:r>
        <w:rPr>
          <w:rFonts w:ascii="Times New Roman" w:cs="Times New Roman" w:eastAsia="Times New Roman" w:hAnsi="Times New Roman"/>
          <w:sz w:val="18"/>
          <w:szCs w:val="18"/>
          <w:color w:val="auto"/>
        </w:rPr>
        <w:t>Secondaries refer to investments in existing private markets funds through the acquisition of an existing interest in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$1.3 billion of our FPAUM as of June 30, 2022.</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1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makers (our Co-Chief Executive Officers) evaluate financial performance and make decisions regarding the allocation of resources.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15" w:lineRule="exact"/>
        <w:rPr>
          <w:sz w:val="20"/>
          <w:szCs w:val="20"/>
          <w:color w:val="auto"/>
        </w:rPr>
      </w:pPr>
    </w:p>
    <w:p>
      <w:pPr>
        <w:jc w:val="both"/>
        <w:ind w:right="20" w:firstLine="509"/>
        <w:spacing w:after="0" w:line="243"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With interest rates continuing to rise and the global economy outlook remaining uncertain, we continue to see investors turning towards alternative investments to achieve consistent and higher yields with our contractually guaranteed fee rate.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jc w:val="both"/>
        <w:ind w:left="504" w:hanging="504"/>
        <w:spacing w:after="0" w:line="243" w:lineRule="auto"/>
        <w:tabs>
          <w:tab w:leader="none" w:pos="5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Accelerating demand for private markets solutions. </w:t>
      </w:r>
      <w:r>
        <w:rPr>
          <w:rFonts w:ascii="Times New Roman" w:cs="Times New Roman" w:eastAsia="Times New Roman" w:hAnsi="Times New Roman"/>
          <w:sz w:val="18"/>
          <w:szCs w:val="18"/>
          <w:color w:val="auto"/>
        </w:rPr>
        <w:t>Our ability to attract new capital is dependent on investor demand for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3" w:lineRule="exact"/>
        <w:rPr>
          <w:rFonts w:ascii="Times New Roman" w:cs="Times New Roman" w:eastAsia="Times New Roman" w:hAnsi="Times New Roman"/>
          <w:sz w:val="18"/>
          <w:szCs w:val="18"/>
          <w:color w:val="auto"/>
        </w:rPr>
      </w:pPr>
    </w:p>
    <w:p>
      <w:pPr>
        <w:jc w:val="both"/>
        <w:ind w:left="504" w:firstLine="6"/>
        <w:spacing w:after="0" w:line="239" w:lineRule="auto"/>
        <w:tabs>
          <w:tab w:leader="none" w:pos="71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long-term investor allocations towards private market asset classes, 2) legislation that allows retirement plans to add private equity vehicles as an investment option, and 3) the adoption of Environmental, Social, and Corporate Governance (“ESG”) and impact investing by the institutional and high net worth investor community.</w:t>
      </w:r>
    </w:p>
    <w:p>
      <w:pPr>
        <w:spacing w:after="0" w:line="75" w:lineRule="exact"/>
        <w:rPr>
          <w:rFonts w:ascii="Times New Roman" w:cs="Times New Roman" w:eastAsia="Times New Roman" w:hAnsi="Times New Roman"/>
          <w:sz w:val="18"/>
          <w:szCs w:val="18"/>
          <w:color w:val="auto"/>
        </w:rPr>
      </w:pPr>
    </w:p>
    <w:p>
      <w:pPr>
        <w:jc w:val="both"/>
        <w:ind w:left="504" w:hanging="504"/>
        <w:spacing w:after="0" w:line="243" w:lineRule="auto"/>
        <w:tabs>
          <w:tab w:leader="none" w:pos="5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 investment evaluation scorecards. Our ability to maintain our data advantage is dependent on a number of factors, including our continued access to a broad set of private market information on an on-going basis.</w:t>
      </w:r>
    </w:p>
    <w:p>
      <w:pPr>
        <w:spacing w:after="0" w:line="74" w:lineRule="exact"/>
        <w:rPr>
          <w:rFonts w:ascii="Times New Roman" w:cs="Times New Roman" w:eastAsia="Times New Roman" w:hAnsi="Times New Roman"/>
          <w:sz w:val="18"/>
          <w:szCs w:val="18"/>
          <w:color w:val="auto"/>
        </w:rPr>
      </w:pPr>
    </w:p>
    <w:p>
      <w:pPr>
        <w:jc w:val="both"/>
        <w:ind w:left="504" w:hanging="504"/>
        <w:spacing w:after="0" w:line="243" w:lineRule="auto"/>
        <w:tabs>
          <w:tab w:leader="none" w:pos="5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 geographic reach and grow private markets network effect. </w:t>
      </w:r>
      <w:r>
        <w:rPr>
          <w:rFonts w:ascii="Times New Roman" w:cs="Times New Roman" w:eastAsia="Times New Roman" w:hAnsi="Times New Roman"/>
          <w:sz w:val="18"/>
          <w:szCs w:val="18"/>
          <w:color w:val="auto"/>
        </w:rPr>
        <w:t>Our ability to continue growing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will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74" w:lineRule="exact"/>
        <w:rPr>
          <w:rFonts w:ascii="Times New Roman" w:cs="Times New Roman" w:eastAsia="Times New Roman" w:hAnsi="Times New Roman"/>
          <w:sz w:val="18"/>
          <w:szCs w:val="18"/>
          <w:color w:val="auto"/>
        </w:rPr>
      </w:pPr>
    </w:p>
    <w:p>
      <w:pPr>
        <w:jc w:val="both"/>
        <w:ind w:left="504" w:hanging="504"/>
        <w:spacing w:after="0" w:line="251" w:lineRule="auto"/>
        <w:tabs>
          <w:tab w:leader="none" w:pos="5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regulatory requirements and political uncertainty. </w:t>
      </w:r>
      <w:r>
        <w:rPr>
          <w:rFonts w:ascii="Times New Roman" w:cs="Times New Roman" w:eastAsia="Times New Roman" w:hAnsi="Times New Roman"/>
          <w:sz w:val="18"/>
          <w:szCs w:val="18"/>
          <w:color w:val="auto"/>
        </w:rPr>
        <w:t>The complex regulatory and tax environment could restrict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us to increased compliance costs and administrative burdens, as well as restrictions on our business activities. There is additional uncertainty around potential legal, regulatory, and tax changes, which may impact our profitability or impact our ability to operate and grow our business.</w:t>
      </w:r>
    </w:p>
    <w:p>
      <w:pPr>
        <w:spacing w:after="0" w:line="64" w:lineRule="exact"/>
        <w:rPr>
          <w:rFonts w:ascii="Times New Roman" w:cs="Times New Roman" w:eastAsia="Times New Roman" w:hAnsi="Times New Roman"/>
          <w:sz w:val="18"/>
          <w:szCs w:val="18"/>
          <w:color w:val="auto"/>
        </w:rPr>
      </w:pPr>
    </w:p>
    <w:p>
      <w:pPr>
        <w:jc w:val="both"/>
        <w:ind w:left="504" w:hanging="504"/>
        <w:spacing w:after="0" w:line="245" w:lineRule="auto"/>
        <w:tabs>
          <w:tab w:leader="none" w:pos="5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our growth will continue to depend, in part, on our ability to identify, evaluate and acquire high performing and high-quality asset management businesses in order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1"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equity fund managers. </w:t>
      </w:r>
      <w:r>
        <w:rPr>
          <w:rFonts w:ascii="Times New Roman" w:cs="Times New Roman" w:eastAsia="Times New Roman" w:hAnsi="Times New Roman"/>
          <w:sz w:val="18"/>
          <w:szCs w:val="18"/>
          <w:color w:val="auto"/>
        </w:rPr>
        <w:t>There has been a trend amongst larger private markets investors to</w:t>
      </w:r>
    </w:p>
    <w:p>
      <w:pPr>
        <w:spacing w:after="0" w:line="18"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color w:val="auto"/>
        </w:rPr>
        <w:t>consolidate the number of general partners in which they invest and work with. At times, this</w:t>
      </w:r>
    </w:p>
    <w:p>
      <w:pPr>
        <w:jc w:val="center"/>
        <w:ind w:right="496"/>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197485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539" w:right="339" w:bottom="1440" w:gutter="0" w:footer="0" w:header="0"/>
        </w:sectPr>
      </w:pPr>
    </w:p>
    <w:bookmarkStart w:id="35" w:name="page36"/>
    <w:bookmarkEnd w:id="35"/>
    <w:p>
      <w:pPr>
        <w:jc w:val="both"/>
        <w:ind w:left="1020"/>
        <w:spacing w:after="0" w:line="250" w:lineRule="auto"/>
        <w:rPr>
          <w:sz w:val="20"/>
          <w:szCs w:val="20"/>
          <w:color w:val="auto"/>
        </w:rPr>
      </w:pPr>
      <w:r>
        <w:rPr>
          <w:rFonts w:ascii="Times New Roman" w:cs="Times New Roman" w:eastAsia="Times New Roman" w:hAnsi="Times New Roman"/>
          <w:sz w:val="18"/>
          <w:szCs w:val="18"/>
          <w:color w:val="auto"/>
        </w:rPr>
        <w:t>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9" w:lineRule="exact"/>
        <w:rPr>
          <w:sz w:val="20"/>
          <w:szCs w:val="20"/>
          <w:color w:val="auto"/>
        </w:rPr>
      </w:pPr>
    </w:p>
    <w:p>
      <w:pPr>
        <w:jc w:val="both"/>
        <w:ind w:left="1020" w:hanging="504"/>
        <w:spacing w:after="0" w:line="24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a number of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6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earn management and advisory fees based on a percentage of investors’ capital commitments in our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83"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stock-based compensation,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 The result is the substantial majority of our compensation and benefit expense is predictable.</w:t>
      </w:r>
    </w:p>
    <w:p>
      <w:pPr>
        <w:spacing w:after="0" w:line="184"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6" w:name="page37"/>
    <w:bookmarkEnd w:id="36"/>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advisory, audit and tax expenses are expected to increase as our Company has become an SEC registrant and we must comply with additional regulatory requirements.</w:t>
      </w:r>
    </w:p>
    <w:p>
      <w:pPr>
        <w:spacing w:after="0" w:line="14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includes occupancy, travel and entertainment, technology, insurance and other general costs associated with operating our business.</w:t>
      </w:r>
    </w:p>
    <w:p>
      <w:pPr>
        <w:spacing w:after="0" w:line="175"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is driven by a Strategic Alliance Agreement (SAA) that Bonaccord had entered into with an investor at the time Bonaccord was acquired in exchange for a portion of net management fee earnings and net distributable carried interest at the time of acquisition.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07"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Interest expense includes interest paid and accrued on our outstanding debt, along with the amortization of deferred financing costs, amortization of original issue discount and the write-off of deferred financing costs due to the repayment of previously outstanding debt. Interest expense also includes the effects of the imputed interest on certain non-interest-bearing notes payable.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w:t>
      </w:r>
    </w:p>
    <w:p>
      <w:pPr>
        <w:spacing w:after="0" w:line="107" w:lineRule="exact"/>
        <w:rPr>
          <w:sz w:val="20"/>
          <w:szCs w:val="20"/>
          <w:color w:val="auto"/>
        </w:rPr>
      </w:pPr>
    </w:p>
    <w:p>
      <w:pPr>
        <w:jc w:val="both"/>
        <w:ind w:right="60" w:firstLine="509"/>
        <w:spacing w:after="0" w:line="247" w:lineRule="auto"/>
        <w:rPr>
          <w:sz w:val="20"/>
          <w:szCs w:val="20"/>
          <w:color w:val="auto"/>
        </w:rPr>
      </w:pPr>
      <w:r>
        <w:rPr>
          <w:rFonts w:ascii="Times New Roman" w:cs="Times New Roman" w:eastAsia="Times New Roman" w:hAnsi="Times New Roman"/>
          <w:sz w:val="18"/>
          <w:szCs w:val="18"/>
          <w:color w:val="auto"/>
        </w:rPr>
        <w:t>Income tax expense/benefit is comprised of current and deferred tax expense/benefit. Current income tax expense/benefit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07"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38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2022 and June 30,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2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200" w:type="dxa"/>
            <w:vAlign w:val="bottom"/>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29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w:t>
            </w:r>
          </w:p>
        </w:tc>
        <w:tc>
          <w:tcPr>
            <w:tcW w:w="1020" w:type="dxa"/>
            <w:vAlign w:val="bottom"/>
            <w:gridSpan w:val="3"/>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82"/>
              </w:rPr>
              <w:t>thousands)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Management and advisory fees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46,451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33,517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12,934</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89,478</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center"/>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66,090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23,388</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60" w:type="dxa"/>
            <w:vAlign w:val="bottom"/>
          </w:tcPr>
          <w:p>
            <w:pPr>
              <w:spacing w:after="0"/>
              <w:rPr>
                <w:sz w:val="14"/>
                <w:szCs w:val="14"/>
                <w:color w:val="auto"/>
              </w:rPr>
            </w:pP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(184 )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(39 )%</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(125 )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55"/>
        </w:trPr>
        <w:tc>
          <w:tcPr>
            <w:tcW w:w="2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46,738</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33,988</w:t>
            </w: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12,750</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38 %</w:t>
            </w:r>
          </w:p>
        </w:tc>
        <w:tc>
          <w:tcPr>
            <w:tcW w:w="1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90,019</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66,756</w:t>
            </w:r>
          </w:p>
        </w:tc>
        <w:tc>
          <w:tcPr>
            <w:tcW w:w="22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23,263</w:t>
            </w:r>
          </w:p>
        </w:tc>
        <w:tc>
          <w:tcPr>
            <w:tcW w:w="2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60" w:type="dxa"/>
            <w:vAlign w:val="bottom"/>
          </w:tcPr>
          <w:p>
            <w:pPr>
              <w:spacing w:after="0"/>
              <w:rPr>
                <w:sz w:val="13"/>
                <w:szCs w:val="13"/>
                <w:color w:val="auto"/>
              </w:rPr>
            </w:pPr>
          </w:p>
        </w:tc>
      </w:tr>
      <w:tr>
        <w:trPr>
          <w:trHeight w:val="162"/>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17,815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12,337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5,478</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44 %</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36,309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24,273</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12,036</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60" w:type="dxa"/>
            <w:vAlign w:val="bottom"/>
          </w:tcPr>
          <w:p>
            <w:pPr>
              <w:spacing w:after="0"/>
              <w:rPr>
                <w:sz w:val="14"/>
                <w:szCs w:val="14"/>
                <w:color w:val="auto"/>
              </w:rPr>
            </w:pP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Professional fees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(666 )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(20 )%</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(785 )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62"/>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92 %</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8,362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60" w:type="dxa"/>
            <w:vAlign w:val="bottom"/>
          </w:tcPr>
          <w:p>
            <w:pPr>
              <w:spacing w:after="0"/>
              <w:rPr>
                <w:sz w:val="14"/>
                <w:szCs w:val="14"/>
                <w:color w:val="auto"/>
              </w:rPr>
            </w:pPr>
          </w:p>
        </w:tc>
      </w:tr>
      <w:tr>
        <w:trPr>
          <w:trHeight w:val="144"/>
        </w:trPr>
        <w:tc>
          <w:tcPr>
            <w:tcW w:w="29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Contingent consideration expense</w:t>
            </w:r>
          </w:p>
        </w:tc>
        <w:tc>
          <w:tcPr>
            <w:tcW w:w="180" w:type="dxa"/>
            <w:vAlign w:val="bottom"/>
          </w:tcPr>
          <w:p>
            <w:pPr>
              <w:spacing w:after="0"/>
              <w:rPr>
                <w:sz w:val="12"/>
                <w:szCs w:val="12"/>
                <w:color w:val="auto"/>
              </w:rPr>
            </w:pPr>
          </w:p>
        </w:tc>
        <w:tc>
          <w:tcPr>
            <w:tcW w:w="840" w:type="dxa"/>
            <w:vAlign w:val="bottom"/>
            <w:gridSpan w:val="2"/>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rPr>
              <w:t>(140 )</w:t>
            </w:r>
          </w:p>
        </w:tc>
        <w:tc>
          <w:tcPr>
            <w:tcW w:w="8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(272 )</w:t>
            </w:r>
          </w:p>
        </w:tc>
        <w:tc>
          <w:tcPr>
            <w:tcW w:w="11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(206 )%</w:t>
            </w:r>
          </w:p>
        </w:tc>
        <w:tc>
          <w:tcPr>
            <w:tcW w:w="160" w:type="dxa"/>
            <w:vAlign w:val="bottom"/>
          </w:tcPr>
          <w:p>
            <w:pPr>
              <w:spacing w:after="0"/>
              <w:rPr>
                <w:sz w:val="12"/>
                <w:szCs w:val="12"/>
                <w:color w:val="auto"/>
              </w:rPr>
            </w:pPr>
          </w:p>
        </w:tc>
        <w:tc>
          <w:tcPr>
            <w:tcW w:w="820" w:type="dxa"/>
            <w:vAlign w:val="bottom"/>
            <w:gridSpan w:val="2"/>
          </w:tcPr>
          <w:p>
            <w:pPr>
              <w:jc w:val="right"/>
              <w:ind w:right="108"/>
              <w:spacing w:after="0" w:line="144" w:lineRule="exact"/>
              <w:rPr>
                <w:sz w:val="20"/>
                <w:szCs w:val="20"/>
                <w:color w:val="auto"/>
              </w:rPr>
            </w:pPr>
            <w:r>
              <w:rPr>
                <w:rFonts w:ascii="Times New Roman" w:cs="Times New Roman" w:eastAsia="Times New Roman" w:hAnsi="Times New Roman"/>
                <w:sz w:val="13"/>
                <w:szCs w:val="13"/>
                <w:color w:val="auto"/>
              </w:rPr>
              <w:t>(13 )</w:t>
            </w:r>
          </w:p>
        </w:tc>
        <w:tc>
          <w:tcPr>
            <w:tcW w:w="1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(173 )</w:t>
            </w:r>
          </w:p>
        </w:tc>
        <w:tc>
          <w:tcPr>
            <w:tcW w:w="104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3"/>
                <w:szCs w:val="13"/>
                <w:color w:val="auto"/>
              </w:rPr>
              <w:t>(108 )%</w:t>
            </w: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(1,331 )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(18 )%</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(2,634 )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78"/>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Strategic alliance expense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2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100 %</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2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r>
      <w:tr>
        <w:trPr>
          <w:trHeight w:val="158"/>
        </w:trPr>
        <w:tc>
          <w:tcPr>
            <w:tcW w:w="29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30,971</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25,574</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5,397</w:t>
            </w:r>
          </w:p>
        </w:tc>
        <w:tc>
          <w:tcPr>
            <w:tcW w:w="22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21 %</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62,649</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49,790</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12,859</w:t>
            </w:r>
          </w:p>
        </w:tc>
        <w:tc>
          <w:tcPr>
            <w:tcW w:w="2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60" w:type="dxa"/>
            <w:vAlign w:val="bottom"/>
          </w:tcPr>
          <w:p>
            <w:pPr>
              <w:spacing w:after="0"/>
              <w:rPr>
                <w:sz w:val="13"/>
                <w:szCs w:val="13"/>
                <w:color w:val="auto"/>
              </w:rPr>
            </w:pPr>
          </w:p>
        </w:tc>
      </w:tr>
      <w:tr>
        <w:trPr>
          <w:trHeight w:val="301"/>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7,353</w:t>
            </w:r>
          </w:p>
        </w:tc>
        <w:tc>
          <w:tcPr>
            <w:tcW w:w="2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27,370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10,404</w:t>
            </w:r>
          </w:p>
        </w:tc>
        <w:tc>
          <w:tcPr>
            <w:tcW w:w="2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61 %</w:t>
            </w:r>
          </w:p>
        </w:tc>
      </w:tr>
      <w:tr>
        <w:trPr>
          <w:trHeight w:val="178"/>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(EXPENSE)/INCOME</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278"/>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implied on notes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2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payable to sellers</w:t>
            </w:r>
          </w:p>
        </w:tc>
        <w:tc>
          <w:tcPr>
            <w:tcW w:w="180" w:type="dxa"/>
            <w:vAlign w:val="bottom"/>
          </w:tcPr>
          <w:p>
            <w:pPr>
              <w:spacing w:after="0"/>
              <w:rPr>
                <w:sz w:val="14"/>
                <w:szCs w:val="14"/>
                <w:color w:val="auto"/>
              </w:rPr>
            </w:pPr>
          </w:p>
        </w:tc>
        <w:tc>
          <w:tcPr>
            <w:tcW w:w="8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(219 )</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22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c>
          <w:tcPr>
            <w:tcW w:w="16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(434 )</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2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62"/>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net</w:t>
            </w:r>
          </w:p>
        </w:tc>
        <w:tc>
          <w:tcPr>
            <w:tcW w:w="18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(1,525 )</w:t>
            </w:r>
          </w:p>
        </w:tc>
        <w:tc>
          <w:tcPr>
            <w:tcW w:w="80" w:type="dxa"/>
            <w:vAlign w:val="bottom"/>
          </w:tcPr>
          <w:p>
            <w:pPr>
              <w:spacing w:after="0"/>
              <w:rPr>
                <w:sz w:val="14"/>
                <w:szCs w:val="14"/>
                <w:color w:val="auto"/>
              </w:rPr>
            </w:pPr>
          </w:p>
        </w:tc>
        <w:tc>
          <w:tcPr>
            <w:tcW w:w="10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(5,245 )</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3,720</w:t>
            </w:r>
          </w:p>
        </w:tc>
        <w:tc>
          <w:tcPr>
            <w:tcW w:w="22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(71 )%</w:t>
            </w:r>
          </w:p>
        </w:tc>
        <w:tc>
          <w:tcPr>
            <w:tcW w:w="16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(2,910 )</w:t>
            </w:r>
          </w:p>
        </w:tc>
        <w:tc>
          <w:tcPr>
            <w:tcW w:w="160" w:type="dxa"/>
            <w:vAlign w:val="bottom"/>
          </w:tcPr>
          <w:p>
            <w:pPr>
              <w:spacing w:after="0"/>
              <w:rPr>
                <w:sz w:val="14"/>
                <w:szCs w:val="14"/>
                <w:color w:val="auto"/>
              </w:rPr>
            </w:pP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(10,500 )</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7,590</w:t>
            </w:r>
          </w:p>
        </w:tc>
        <w:tc>
          <w:tcPr>
            <w:tcW w:w="2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(72 )%</w:t>
            </w:r>
          </w:p>
        </w:tc>
      </w:tr>
      <w:tr>
        <w:trPr>
          <w:trHeight w:val="178"/>
        </w:trPr>
        <w:tc>
          <w:tcPr>
            <w:tcW w:w="29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22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208 %</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106 %</w:t>
            </w:r>
          </w:p>
        </w:tc>
      </w:tr>
      <w:tr>
        <w:trPr>
          <w:trHeight w:val="158"/>
        </w:trPr>
        <w:tc>
          <w:tcPr>
            <w:tcW w:w="29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Total other (expense)</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(5,207</w:t>
            </w:r>
          </w:p>
        </w:tc>
        <w:tc>
          <w:tcPr>
            <w:tcW w:w="240" w:type="dxa"/>
            <w:vAlign w:val="bottom"/>
          </w:tcPr>
          <w:p>
            <w:pPr>
              <w:jc w:val="right"/>
              <w:ind w:right="11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4,473</w:t>
            </w:r>
          </w:p>
        </w:tc>
        <w:tc>
          <w:tcPr>
            <w:tcW w:w="22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(86 )%</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200" w:type="dxa"/>
            <w:vAlign w:val="bottom"/>
          </w:tcPr>
          <w:p>
            <w:pPr>
              <w:jc w:val="right"/>
              <w:ind w:right="10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(10,389</w:t>
            </w:r>
          </w:p>
        </w:tc>
        <w:tc>
          <w:tcPr>
            <w:tcW w:w="2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8,599</w:t>
            </w:r>
          </w:p>
        </w:tc>
        <w:tc>
          <w:tcPr>
            <w:tcW w:w="20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(83 )%</w:t>
            </w:r>
          </w:p>
        </w:tc>
      </w:tr>
      <w:tr>
        <w:trPr>
          <w:trHeight w:val="155"/>
        </w:trPr>
        <w:tc>
          <w:tcPr>
            <w:tcW w:w="29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Net income before income taxes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11,826</w:t>
            </w:r>
          </w:p>
        </w:tc>
        <w:tc>
          <w:tcPr>
            <w:tcW w:w="220" w:type="dxa"/>
            <w:vAlign w:val="bottom"/>
          </w:tcPr>
          <w:p>
            <w:pPr>
              <w:spacing w:after="0"/>
              <w:rPr>
                <w:sz w:val="13"/>
                <w:szCs w:val="13"/>
                <w:color w:val="auto"/>
              </w:rPr>
            </w:pPr>
          </w:p>
        </w:tc>
        <w:tc>
          <w:tcPr>
            <w:tcW w:w="110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369 %</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19,003</w:t>
            </w:r>
          </w:p>
        </w:tc>
        <w:tc>
          <w:tcPr>
            <w:tcW w:w="200" w:type="dxa"/>
            <w:vAlign w:val="bottom"/>
          </w:tcPr>
          <w:p>
            <w:pPr>
              <w:spacing w:after="0"/>
              <w:rPr>
                <w:sz w:val="13"/>
                <w:szCs w:val="13"/>
                <w:color w:val="auto"/>
              </w:rPr>
            </w:pPr>
          </w:p>
        </w:tc>
        <w:tc>
          <w:tcPr>
            <w:tcW w:w="104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289 %</w:t>
            </w:r>
          </w:p>
        </w:tc>
      </w:tr>
      <w:tr>
        <w:trPr>
          <w:trHeight w:val="162"/>
        </w:trPr>
        <w:tc>
          <w:tcPr>
            <w:tcW w:w="2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(3,879 )</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(734 )</w:t>
            </w: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(3,145 )</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428 %</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3"/>
                <w:szCs w:val="13"/>
                <w:color w:val="auto"/>
              </w:rPr>
              <w:t>(6,634 )</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(1,395 )</w:t>
            </w:r>
          </w:p>
        </w:tc>
        <w:tc>
          <w:tcPr>
            <w:tcW w:w="2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(5,239 )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376 %</w:t>
            </w:r>
          </w:p>
        </w:tc>
        <w:tc>
          <w:tcPr>
            <w:tcW w:w="60" w:type="dxa"/>
            <w:vAlign w:val="bottom"/>
          </w:tcPr>
          <w:p>
            <w:pPr>
              <w:spacing w:after="0"/>
              <w:rPr>
                <w:sz w:val="14"/>
                <w:szCs w:val="14"/>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11,154</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8,681</w:t>
            </w:r>
          </w:p>
        </w:tc>
        <w:tc>
          <w:tcPr>
            <w:tcW w:w="2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351 %</w:t>
            </w: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18,946</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5,182</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13,764</w:t>
            </w:r>
          </w:p>
        </w:tc>
        <w:tc>
          <w:tcPr>
            <w:tcW w:w="200" w:type="dxa"/>
            <w:vAlign w:val="bottom"/>
          </w:tcPr>
          <w:p>
            <w:pPr>
              <w:spacing w:after="0"/>
              <w:rPr>
                <w:sz w:val="13"/>
                <w:szCs w:val="13"/>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266 %</w:t>
            </w:r>
          </w:p>
        </w:tc>
      </w:tr>
      <w:tr>
        <w:trPr>
          <w:trHeight w:val="20"/>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-1694815</wp:posOffset>
            </wp:positionV>
            <wp:extent cx="7132320" cy="1028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-1377950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-1377950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-1377950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-1377950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-1377950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-1377950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132320" cy="1028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111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-136525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-136525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-136525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-136525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-136525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-136525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9"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and June 30, 2021</w:t>
      </w:r>
    </w:p>
    <w:p>
      <w:pPr>
        <w:spacing w:after="0" w:line="105" w:lineRule="exact"/>
        <w:rPr>
          <w:sz w:val="20"/>
          <w:szCs w:val="20"/>
          <w:color w:val="auto"/>
        </w:rPr>
      </w:pPr>
    </w:p>
    <w:p>
      <w:pPr>
        <w:jc w:val="both"/>
        <w:ind w:right="100" w:firstLine="509"/>
        <w:spacing w:after="0" w:line="246"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June 30, 2022 and June 30, 2021. For the three months ended June 30, 2022 compared to the three months ended June 30, 2021, revenues increased $12.8 million or 38% due to both higher management fees primarily from the impact of organic 2022 growth as well as 2021 acquisitions of Hark and Bonaccord.</w:t>
      </w:r>
    </w:p>
    <w:p>
      <w:pPr>
        <w:spacing w:after="0" w:line="180"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Management fees increased $12.9 million, or 39%, to $46.5 million for the three months ended June 30, 2022 as compared to the three months ended June 30, 2021 due primarily to organic growth efforts in 2022, which contributed management fee and advisory revenues of $9.1 million. This growth is driven by increases in FPAUM, primarily from additional fund closings and capital raised. The remaining increase of $3.8 million represents an increase in the Company’s management fees due to the acquisitions of Hark and Bonaccord in September 2021. Catch up fees during the second quarter of 2022 were $1.8 million associated with the fund closings at TrueBridge and RCP. Catch up fees were $0.3 million during the second quarter of 2021.</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revenues, which represent ancillary elements of our business, decreased by $0.2 million or 39% to $0.3 million for the three months ended June 30, 2022 as compared to the three months ended June 30, 2021 driven primarily by ad hoc referral fees.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and June 30, 2021</w:t>
      </w:r>
    </w:p>
    <w:p>
      <w:pPr>
        <w:spacing w:after="0" w:line="105"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Total revenues increased $23.3 million, or 35%, to $90.0 million for the six months ended June 30, 2022 compared to the six months ended June 30, 2021, due to higher management and advisory fees, largely attributable to organic growth as well as our acquisitions, partially offset by a small decrease in other revenues.</w:t>
      </w:r>
    </w:p>
    <w:p>
      <w:pPr>
        <w:spacing w:after="0" w:line="168"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Management fees increased by $23.4 million, or 35%, to $89.5 million for the six months ended June 30, 2022 as compared to the six months ended June 30, 2021 due primarily to organic growth of FPAUM, which contributed $15.8 million to management fee and advisory revenues, in total. Revenue also increased by $7.6 million due to the acquisitions of Hark and Bonaccord in September 2021. Catch up fees for the six months ended June 30, 2022 were $2.5 million associated with the fund closings at TrueBridge and RCP. Catch up fees were $1.2 million during the six months ended June 30, 2021.</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revenues decreased by $0.1 million, or 19% to $0.5 million, from the six months ended June 30, 2022 compared to the six months ended June 30, 2021. This decrease was primarily attributable to a decrease in ad hoc referral fees.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17,815</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4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2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24,273</w:t>
            </w:r>
          </w:p>
        </w:tc>
        <w:tc>
          <w:tcPr>
            <w:tcW w:w="460" w:type="dxa"/>
            <w:vAlign w:val="bottom"/>
            <w:gridSpan w:val="4"/>
          </w:tcPr>
          <w:p>
            <w:pPr>
              <w:jc w:val="center"/>
              <w:ind w:left="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4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(666 )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(785 )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4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2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(140 )</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(272 )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(206 )%</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4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(1,331 )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(2,634 )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30,971</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2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21 %</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62,649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49,790</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2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wp:posOffset>
            </wp:positionV>
            <wp:extent cx="7132320" cy="1282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282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2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and June 30, 2021</w:t>
      </w:r>
    </w:p>
    <w:p>
      <w:pPr>
        <w:spacing w:after="0" w:line="119" w:lineRule="exact"/>
        <w:rPr>
          <w:sz w:val="20"/>
          <w:szCs w:val="20"/>
          <w:color w:val="auto"/>
        </w:rPr>
      </w:pPr>
    </w:p>
    <w:p>
      <w:pPr>
        <w:jc w:val="both"/>
        <w:ind w:right="100" w:firstLine="509"/>
        <w:spacing w:after="0" w:line="246" w:lineRule="auto"/>
        <w:rPr>
          <w:sz w:val="20"/>
          <w:szCs w:val="20"/>
          <w:color w:val="auto"/>
        </w:rPr>
      </w:pPr>
      <w:r>
        <w:rPr>
          <w:rFonts w:ascii="Times New Roman" w:cs="Times New Roman" w:eastAsia="Times New Roman" w:hAnsi="Times New Roman"/>
          <w:sz w:val="18"/>
          <w:szCs w:val="18"/>
          <w:color w:val="auto"/>
        </w:rPr>
        <w:t>Total operating expenses increased by $5.4 million, or 21%, to $31.0 million, for the three months ended June 30, 2022 as compared to the three months ended June 30, 2021 primarily driven by increases in compensation and benefits and general and administrative expenses associated with the growth of P10 since acquiring Hark and Bonaccord in September 2021 and</w:t>
      </w:r>
    </w:p>
    <w:p>
      <w:pPr>
        <w:spacing w:after="0" w:line="229" w:lineRule="auto"/>
        <w:rPr>
          <w:sz w:val="20"/>
          <w:szCs w:val="20"/>
          <w:color w:val="auto"/>
        </w:rPr>
      </w:pPr>
      <w:r>
        <w:rPr>
          <w:rFonts w:ascii="Times New Roman" w:cs="Times New Roman" w:eastAsia="Times New Roman" w:hAnsi="Times New Roman"/>
          <w:sz w:val="18"/>
          <w:szCs w:val="18"/>
          <w:color w:val="auto"/>
        </w:rPr>
        <w:t>D&amp;O insurance driven by the IPO transaction at the end of 2021.</w:t>
      </w:r>
    </w:p>
    <w:p>
      <w:pPr>
        <w:jc w:val="center"/>
        <w:ind w:right="10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70" w:right="239" w:bottom="1440" w:gutter="0" w:footer="0" w:header="0"/>
        </w:sectPr>
      </w:pPr>
    </w:p>
    <w:bookmarkStart w:id="38" w:name="page39"/>
    <w:bookmarkEnd w:id="38"/>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Compensation and benefits expense increased by $5.5 million, or 44%, to $17.8 million for the three months ended June 30, 2022 as compared to the three months ended June 30, 2021. The acquisition of Hark and Bonaccord in September 2021 brought an additional $1.9 million of compensation expense. The remaining $3.6 million increase is recognized across the existing entities. Stock compensation accounts for $2.2 million of the $3.6 million increase. This was driven by RSUs and stock options granted to employees during the first quarter of 2022 as well as RSAs granted in late 2021. There was a $0.5 million increase associated with the build out of P10 back office to meet compliance needs of a public company. The final driver is a $1.0 million increase associated with an increase in headcount across all subsidiaries.</w:t>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Professional fees decreased by $0.7 million, or 20% to $2.7 million. This is primarily driven by timing of acquisitions. The acquisition of Enhanced occurred so late in 2020 that the Company incurred professional fees well into 2021. Whereas, the acquisitions of Hark and Bonaccord were the only acquisitions of 2021 and did not close until the last day of the third quarter.</w:t>
      </w:r>
    </w:p>
    <w:p>
      <w:pPr>
        <w:spacing w:after="0" w:line="16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General, administrative and other increased by $2.0 million, or 92% to $4.3 million and was primarily due to the increase of insurance expense as noted above in D&amp;O insurance driven by the IPO transaction at the end of 2021. This added an additional $0.7 million of expense compared to the second quarter of 2021. The acquisitions of Hark and Bonaccord brought an additional $0.5 million of expense. The Company entered into two new leases since June 30, 2021 which added an additional $0.3 million of expense. The remaining $0.5 million of additional general and administrative expense is derived from additional IT expenses and increased travel since last year.</w:t>
      </w:r>
    </w:p>
    <w:p>
      <w:pPr>
        <w:spacing w:after="0" w:line="19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Amortization of intangibles decreased by $1.3 million, or 18% to $6.2 million, for the three months ended June 30, 2022 as compared to the three months ended June 30, 2021. The decrease is driven by a fully amortized intangible asset at RCP and less amortization at ECG in 2022 than in 2021 driven by unique syndication fee contracts. This is offset by added intangible assets at Bonaccord and Hark following their acquisitions in September 2021.</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SAA at Bonaccord added an additional $0.2 million of expense in the second quarter of 2022.</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and June 30, 2021</w:t>
      </w:r>
    </w:p>
    <w:p>
      <w:pPr>
        <w:spacing w:after="0" w:line="1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Total operating expenses increased by $12.9 million, or 26%, to $62.6 million for the six months ended June 30, 2022 compared to the six months ended June 30, 2021. This increase was primarily due to increases in compensation and benefits and general and administrative expenses and offset by a decrease in amortization expense of intangible assets. This is primarily driven by increases in stock compensation associated with RSU, RSA and stock option grants at the end of 2021 and beginning of 2022 as well as insurance expense associated with D&amp;O insurance driven by the IPO transaction at the end of 2021. The acquisitions of Hark and Bonaccord in September 2021 also contributed to these increases.</w:t>
      </w:r>
    </w:p>
    <w:p>
      <w:pPr>
        <w:spacing w:after="0" w:line="176"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Compensation and benefits expense increased by $12.0 million, or 50%, to $36.3 million, for the six months ended June 30, 2022 compared to the six months ended June 30, 2021. The acquisitions of Hark and Bonaccord made up $4.2 million of this increase. Another $3.2 million consisted of stock compensation expense related to RSUs and stock options issued to employees during the first quarter of 2022 as well as RSAs issued in late 2021. There was a $1.6 million increase associated with the build out of P10 back office to meet compliance needs of a public company. An additional $1.6 million related to increases in headcount across all subsidiaries. Finally, Five Points made a $1.7 million one time payment to buyout the employment contracts for the prior partners during the first quarter of 2022.</w:t>
      </w:r>
    </w:p>
    <w:p>
      <w:pPr>
        <w:spacing w:after="0" w:line="1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Professional fees decreased by $0.8 million, or 13%, to $5.4 million primarily due to timing of acquisitions as we had less acquisition-related professional fees in the first half of 2022 as compared to 2021.</w:t>
      </w:r>
    </w:p>
    <w:p>
      <w:pPr>
        <w:spacing w:after="0" w:line="1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General, administrative and other increased by $4.1 million, or 97% to $8.4 million. The acquisitions of Hark and Bonaccord added an additional $0.8 million of expense for the six months ended June 30, 2022 as compared to the six months ended June 30, 2021. As previously mentioned, D&amp;O insurance added an additional $1.3 million of expense related to the IPO transaction. Additional office space in New York added $0.6 million of rent expense. The additional $1.4 million of expense relates to increased costs associated with expanded headcount and increased travel expenses.</w:t>
      </w:r>
    </w:p>
    <w:p>
      <w:pPr>
        <w:spacing w:after="0" w:line="18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Amortization of intangibles decreased by $2.6 million, or 18%, to $12.3 million, for the six months ended June 30, 2022 as compared to the six months ended June 30, 2021. The decrease is driven by a fully amortized intangible asset at RCP and less amortization at ECG in 2022 than in 2021 driven by unique syndication fee contracts. This is offset by added intangible assets at Bonaccord and Hark following their acquisitions in September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color w:val="auto"/>
        </w:rPr>
        <w:t>The SAA at Bonaccord added an additional $0.3 million of expense in 2022.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and June 30, 2021</w:t>
      </w:r>
    </w:p>
    <w:p>
      <w:pPr>
        <w:spacing w:after="0" w:line="105"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Other expenses decreased $4.5 million, or 86%, to $0.7 million for the three months ended June 30, 2022 compared to the three months ended June 30, 2021. This decrease was primarily due to a $3.7 million decrease in interest expense related to the extinguishment and replacement of the credit and guaranty facility with the revolver and term loan facility. The credit and guaranty facility incurred interest at a rate of 7%. This was replaced with the revolving credit facility and term loan which incurs interest at a base rate of 2.1% plus SOFR. The decline in interest expense for the three months ended June 30 2022, as compared to the three months ended June 30, 2021 is a function both of lower interest rates as well as $65.1 million less in outstanding interest-bearing principal as of June 30, 2022. The lower principal balance was a result of the paydown of debt with IPO proceeds and operating cash flow during the last year. P10 completed an additional pay down of $12 million of principal on the revolving credit facility in July 2022. There was also a $0.5 million increase in income from unconsolidated subsidiaries at ECG.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and June 30, 2021</w:t>
      </w:r>
    </w:p>
    <w:p>
      <w:pPr>
        <w:spacing w:after="0" w:line="1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Other expenses decreased by $8.6 million, or 83%, to $1.8 million for the six months ended June 30, 2022 compared to the six months ended June 30, 2021. This decrease was primarily due to a $7.6 million decrease in interest expense related to the debt refinance mentioned in the above paragraph that took place in December 2021. Other income increased by $0.6 million driven by ECG’s increase income from unconsolidated subsidiaries in the first six months of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Tax/Benefit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and June 30, 2021</w:t>
      </w:r>
    </w:p>
    <w:p>
      <w:pPr>
        <w:spacing w:after="0" w:line="10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increased by $3.1 million to $3.9 million for the three months ended June 30, 2022 compared to the three months ended June 30, 2021 due primarily to higher net income during the 2022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and June 30, 2021</w:t>
      </w:r>
    </w:p>
    <w:p>
      <w:pPr>
        <w:spacing w:after="0" w:line="105" w:lineRule="exact"/>
        <w:rPr>
          <w:sz w:val="20"/>
          <w:szCs w:val="20"/>
          <w:color w:val="auto"/>
        </w:rPr>
      </w:pPr>
    </w:p>
    <w:p>
      <w:pPr>
        <w:jc w:val="both"/>
        <w:ind w:right="20" w:firstLine="509"/>
        <w:spacing w:after="0" w:line="249" w:lineRule="auto"/>
        <w:rPr>
          <w:sz w:val="20"/>
          <w:szCs w:val="20"/>
          <w:color w:val="auto"/>
        </w:rPr>
      </w:pPr>
      <w:r>
        <w:rPr>
          <w:rFonts w:ascii="Times New Roman" w:cs="Times New Roman" w:eastAsia="Times New Roman" w:hAnsi="Times New Roman"/>
          <w:sz w:val="18"/>
          <w:szCs w:val="18"/>
          <w:color w:val="auto"/>
        </w:rPr>
        <w:t>Income tax expense increased by $5.2 million to $6.6 million for the six months ended June 30, 2022 compared to a benefit of $1.5 million for the six months ended June 30, 2021. The increase was primarily due to higher net income during 2022.</w:t>
      </w: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period-to-period roll-forward of our fee earning AUM on a pro forma basis as if Hark and Bonaccord were acquired on January 1, 2021.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7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2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75"/>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24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75"/>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2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80" w:type="dxa"/>
            <w:vAlign w:val="bottom"/>
            <w:shd w:val="clear" w:color="auto" w:fill="CFF0FC"/>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2940" w:type="dxa"/>
            <w:vAlign w:val="bottom"/>
          </w:tcPr>
          <w:p>
            <w:pPr>
              <w:ind w:left="360"/>
              <w:spacing w:after="0" w:line="164" w:lineRule="exact"/>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4"/>
                <w:szCs w:val="14"/>
                <w:color w:val="auto"/>
              </w:rPr>
            </w:pPr>
          </w:p>
        </w:tc>
        <w:tc>
          <w:tcPr>
            <w:tcW w:w="1420" w:type="dxa"/>
            <w:vAlign w:val="bottom"/>
            <w:gridSpan w:val="2"/>
          </w:tcPr>
          <w:p>
            <w:pPr>
              <w:jc w:val="right"/>
              <w:ind w:right="2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460" w:type="dxa"/>
            <w:vAlign w:val="bottom"/>
            <w:gridSpan w:val="2"/>
          </w:tcPr>
          <w:p>
            <w:pPr>
              <w:jc w:val="right"/>
              <w:ind w:right="2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52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46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Pr>
          <w:p>
            <w:pPr>
              <w:spacing w:after="0"/>
              <w:rPr>
                <w:sz w:val="18"/>
                <w:szCs w:val="18"/>
                <w:color w:val="auto"/>
              </w:rPr>
            </w:pPr>
          </w:p>
        </w:tc>
      </w:tr>
      <w:tr>
        <w:trPr>
          <w:trHeight w:val="216"/>
        </w:trPr>
        <w:tc>
          <w:tcPr>
            <w:tcW w:w="294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8"/>
                <w:szCs w:val="18"/>
                <w:color w:val="auto"/>
              </w:rPr>
            </w:pPr>
          </w:p>
        </w:tc>
      </w:tr>
      <w:tr>
        <w:trPr>
          <w:trHeight w:val="268"/>
        </w:trPr>
        <w:tc>
          <w:tcPr>
            <w:tcW w:w="2940" w:type="dxa"/>
            <w:vAlign w:val="bottom"/>
          </w:tcPr>
          <w:p>
            <w:pPr>
              <w:ind w:left="360"/>
              <w:spacing w:after="0" w:line="267"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3"/>
                <w:szCs w:val="23"/>
                <w:color w:val="auto"/>
              </w:rPr>
            </w:pPr>
          </w:p>
        </w:tc>
      </w:tr>
      <w:tr>
        <w:trPr>
          <w:trHeight w:val="216"/>
        </w:trPr>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(162 )</w:t>
            </w:r>
          </w:p>
        </w:tc>
      </w:tr>
      <w:tr>
        <w:trPr>
          <w:trHeight w:val="216"/>
        </w:trPr>
        <w:tc>
          <w:tcPr>
            <w:tcW w:w="2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(269 )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(585 )</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r>
      <w:tr>
        <w:trPr>
          <w:trHeight w:val="209"/>
        </w:trPr>
        <w:tc>
          <w:tcPr>
            <w:tcW w:w="2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-1112520</wp:posOffset>
            </wp:positionV>
            <wp:extent cx="5984875"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84875" cy="13716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-838200</wp:posOffset>
            </wp:positionV>
            <wp:extent cx="5984875"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84875" cy="137160"/>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-153670</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-153670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-153670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-153670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7" w:lineRule="exact"/>
        <w:rPr>
          <w:rFonts w:ascii="Times New Roman" w:cs="Times New Roman" w:eastAsia="Times New Roman" w:hAnsi="Times New Roman"/>
          <w:sz w:val="18"/>
          <w:szCs w:val="18"/>
          <w:color w:val="auto"/>
        </w:rPr>
      </w:pPr>
    </w:p>
    <w:p>
      <w:pPr>
        <w:ind w:left="520" w:hanging="512"/>
        <w:spacing w:after="0" w:line="244"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fee-earning AUM on an actual basis.</w:t>
      </w:r>
    </w:p>
    <w:p>
      <w:pPr>
        <w:spacing w:after="0" w:line="205"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75"/>
        </w:trPr>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5"/>
                <w:szCs w:val="15"/>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75"/>
        </w:trPr>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2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r>
      <w:tr>
        <w:trPr>
          <w:trHeight w:val="169"/>
        </w:trPr>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r>
      <w:tr>
        <w:trPr>
          <w:trHeight w:val="21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80" w:type="dxa"/>
            <w:vAlign w:val="bottom"/>
            <w:shd w:val="clear" w:color="auto" w:fill="CFF0FC"/>
          </w:tcPr>
          <w:p>
            <w:pPr>
              <w:spacing w:after="0"/>
              <w:rPr>
                <w:sz w:val="18"/>
                <w:szCs w:val="18"/>
                <w:color w:val="auto"/>
              </w:rPr>
            </w:pPr>
          </w:p>
        </w:tc>
      </w:tr>
      <w:tr>
        <w:trPr>
          <w:trHeight w:val="216"/>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Pr>
          <w:p>
            <w:pPr>
              <w:spacing w:after="0"/>
              <w:rPr>
                <w:sz w:val="18"/>
                <w:szCs w:val="18"/>
                <w:color w:val="auto"/>
              </w:rPr>
            </w:pPr>
          </w:p>
        </w:tc>
      </w:tr>
      <w:tr>
        <w:trPr>
          <w:trHeight w:val="216"/>
        </w:trPr>
        <w:tc>
          <w:tcPr>
            <w:tcW w:w="2940" w:type="dxa"/>
            <w:vAlign w:val="bottom"/>
            <w:shd w:val="clear" w:color="auto" w:fill="CFF0FC"/>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FF0FC"/>
          </w:tcPr>
          <w:p>
            <w:pPr>
              <w:spacing w:after="0"/>
              <w:rPr>
                <w:sz w:val="18"/>
                <w:szCs w:val="18"/>
                <w:color w:val="auto"/>
              </w:rPr>
            </w:pPr>
          </w:p>
        </w:tc>
      </w:tr>
      <w:tr>
        <w:trPr>
          <w:trHeight w:val="216"/>
        </w:trPr>
        <w:tc>
          <w:tcPr>
            <w:tcW w:w="294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2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70"/>
        </w:trPr>
        <w:tc>
          <w:tcPr>
            <w:tcW w:w="294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Scheduled fee base</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stepdowns</w:t>
            </w:r>
          </w:p>
        </w:tc>
        <w:tc>
          <w:tcPr>
            <w:tcW w:w="26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(85 )</w:t>
            </w:r>
          </w:p>
        </w:tc>
        <w:tc>
          <w:tcPr>
            <w:tcW w:w="1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(109 )</w:t>
            </w: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16"/>
        </w:trPr>
        <w:tc>
          <w:tcPr>
            <w:tcW w:w="2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Expiration of fee period</w:t>
            </w: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(32 )</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(585 )</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9"/>
        </w:trPr>
        <w:tc>
          <w:tcPr>
            <w:tcW w:w="2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-153670</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-153670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-153670</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-153670</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7" w:lineRule="exact"/>
        <w:rPr>
          <w:rFonts w:ascii="Times New Roman" w:cs="Times New Roman" w:eastAsia="Times New Roman" w:hAnsi="Times New Roman"/>
          <w:sz w:val="18"/>
          <w:szCs w:val="18"/>
          <w:color w:val="auto"/>
        </w:rPr>
      </w:pPr>
    </w:p>
    <w:p>
      <w:pPr>
        <w:ind w:left="520" w:hanging="512"/>
        <w:spacing w:after="0" w:line="244"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June 30, 2022</w:t>
      </w:r>
    </w:p>
    <w:p>
      <w:pPr>
        <w:spacing w:after="0" w:line="11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FPAUM increased $0.8 billion, or 4.9%, to $18.5 billion on a pro forma basis and actual basis for the three months ended June 30, 2022. This increase is due primarily to an increase in capital raised from our private equity and venture capital solutions. FPAUM increased $1.2 billion, or 6.9%, to $18.5 billion on a pro forma basis and $1.2 billion or 6.9% to $18.5 billion on an actual basis for the six months ended June 30, 2022, due primarily to an increase in capital raised from our private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equity and venture capital solutions.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7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Adjusted EBITDA, we adjust our GAAP net income for the following items:</w:t>
      </w:r>
    </w:p>
    <w:p>
      <w:pPr>
        <w:spacing w:after="0" w:line="103" w:lineRule="exact"/>
        <w:rPr>
          <w:sz w:val="20"/>
          <w:szCs w:val="20"/>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0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w:t>
      </w:r>
    </w:p>
    <w:p>
      <w:pPr>
        <w:spacing w:after="0" w:line="41" w:lineRule="exact"/>
        <w:rPr>
          <w:rFonts w:ascii="Times New Roman" w:cs="Times New Roman" w:eastAsia="Times New Roman" w:hAnsi="Times New Roman"/>
          <w:sz w:val="18"/>
          <w:szCs w:val="18"/>
          <w:color w:val="auto"/>
        </w:rPr>
      </w:pPr>
    </w:p>
    <w:p>
      <w:pPr>
        <w:jc w:val="both"/>
        <w:ind w:left="1020" w:hanging="504"/>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Registration-related expenses includes professional services associated with our prospectus process incurred during the period, and does not reflect expected regulatory, compliance, and other costs associated with those that were incurred subsequent to our Initial Public Offering, and</w:t>
      </w:r>
    </w:p>
    <w:p>
      <w:pPr>
        <w:spacing w:after="0" w:line="6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w:t>
      </w:r>
    </w:p>
    <w:p>
      <w:pPr>
        <w:spacing w:after="0" w:line="21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Adjusted Net Income in 2021 reflects the cash payments made for interest, which differs significantly from total interest expense that includes non-cash interest on the non-interest-bearing Seller Notes related to our acquisitions of RCP 2 and RCP 3 that existed. Similarly, the cash income taxes paid during the 2022 and 2021 periods differ significantly from the net income tax expense, which is primarily comprised of deferred tax expense as described in the results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 back (subtract):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Non-recurring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48,199</w:t>
            </w:r>
          </w:p>
        </w:tc>
        <w:tc>
          <w:tcPr>
            <w:tcW w:w="2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interest expense</w:t>
            </w:r>
          </w:p>
        </w:tc>
        <w:tc>
          <w:tcPr>
            <w:tcW w:w="320" w:type="dxa"/>
            <w:vAlign w:val="bottom"/>
          </w:tcPr>
          <w:p>
            <w:pPr>
              <w:spacing w:after="0"/>
              <w:rPr>
                <w:sz w:val="18"/>
                <w:szCs w:val="18"/>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(1,892 )</w:t>
            </w:r>
          </w:p>
        </w:tc>
        <w:tc>
          <w:tcPr>
            <w:tcW w:w="4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(4,533 )</w:t>
            </w:r>
          </w:p>
        </w:tc>
        <w:tc>
          <w:tcPr>
            <w:tcW w:w="320" w:type="dxa"/>
            <w:vAlign w:val="bottom"/>
          </w:tcPr>
          <w:p>
            <w:pPr>
              <w:spacing w:after="0"/>
              <w:rPr>
                <w:sz w:val="18"/>
                <w:szCs w:val="18"/>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(2,290 )</w:t>
            </w:r>
          </w:p>
        </w:tc>
        <w:tc>
          <w:tcPr>
            <w:tcW w:w="5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(9,157 )</w:t>
            </w:r>
          </w:p>
        </w:tc>
        <w:tc>
          <w:tcPr>
            <w:tcW w:w="0" w:type="dxa"/>
            <w:vAlign w:val="bottom"/>
          </w:tcPr>
          <w:p>
            <w:pPr>
              <w:spacing w:after="0"/>
              <w:rPr>
                <w:sz w:val="1"/>
                <w:szCs w:val="1"/>
                <w:color w:val="auto"/>
              </w:rPr>
            </w:pPr>
          </w:p>
        </w:tc>
      </w:tr>
      <w:tr>
        <w:trPr>
          <w:trHeight w:val="170"/>
        </w:trPr>
        <w:tc>
          <w:tcPr>
            <w:tcW w:w="48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Cash income taxes, net of taxes related to</w:t>
            </w:r>
          </w:p>
        </w:tc>
        <w:tc>
          <w:tcPr>
            <w:tcW w:w="32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(664 )</w:t>
            </w:r>
          </w:p>
        </w:tc>
        <w:tc>
          <w:tcPr>
            <w:tcW w:w="480" w:type="dxa"/>
            <w:vAlign w:val="bottom"/>
            <w:shd w:val="clear" w:color="auto" w:fill="CFF0FC"/>
          </w:tcPr>
          <w:p>
            <w:pPr>
              <w:spacing w:after="0"/>
              <w:rPr>
                <w:sz w:val="14"/>
                <w:szCs w:val="14"/>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(740 )</w:t>
            </w:r>
          </w:p>
        </w:tc>
        <w:tc>
          <w:tcPr>
            <w:tcW w:w="32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(428 )</w:t>
            </w:r>
          </w:p>
        </w:tc>
        <w:tc>
          <w:tcPr>
            <w:tcW w:w="56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(1,147 )</w:t>
            </w: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45,481</w:t>
            </w:r>
          </w:p>
        </w:tc>
        <w:tc>
          <w:tcPr>
            <w:tcW w:w="24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-1437640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-1437640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-1437640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-624205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-624205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-624205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2" w:name="page43"/>
    <w:bookmarkEnd w:id="4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7"/>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(12,258 )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(21,303 )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(24,583 )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402,290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395,164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-684530</wp:posOffset>
            </wp:positionV>
            <wp:extent cx="713232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jc w:val="both"/>
        <w:ind w:right="100" w:firstLine="509"/>
        <w:spacing w:after="0" w:line="246" w:lineRule="auto"/>
        <w:rPr>
          <w:sz w:val="20"/>
          <w:szCs w:val="20"/>
          <w:color w:val="auto"/>
        </w:rPr>
      </w:pPr>
      <w:r>
        <w:rPr>
          <w:rFonts w:ascii="Times New Roman" w:cs="Times New Roman" w:eastAsia="Times New Roman" w:hAnsi="Times New Roman"/>
          <w:sz w:val="18"/>
          <w:szCs w:val="18"/>
          <w:color w:val="auto"/>
        </w:rPr>
        <w:t>There was a decrease in cash from $40.9 million as of December 31, 2021 to $23.6 million as of June 30, 2022 due to the paydown of $25 million on the revolving credit facility principal balance in February 2022 and a $3.5 million dividend payment in June 2022 offset by excess operating cash flows. There was a decrease in goodwill and intangible assets of $12.3 million due to amortization of intangibles during the six months ended June 30, 2022. Remaining total assets increased in the same period by $8.3 million. This was primarily driven by amounts due to related parties increased by $12.7 million due to the Advisory Agreement between ECG and Enhanced PC that is discussed in Note 13 of our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Liquidity and Capital Resources</w:t>
      </w:r>
    </w:p>
    <w:p>
      <w:pPr>
        <w:spacing w:after="0" w:line="215"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68"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w:t>
      </w:r>
    </w:p>
    <w:p>
      <w:pPr>
        <w:spacing w:after="0" w:line="168"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Both facilities are Term SOFR Loans. The Company can elect one or three months for the Revolver Facility and three or six months for the Term Loan. The Company elected a six month SOFR rate at the time of draw for the term loan and a one month SOFR rate for the Revolver Facility at the time of draw. Principal is contractually repaid at a rate of 1.25% on the term loan quarterly effective March 31, 2023. The Revolving Credit Facility has no contractual principal repayments until maturity, which is December 22, 2025 for both facilities.</w:t>
      </w:r>
    </w:p>
    <w:p>
      <w:pPr>
        <w:spacing w:after="0" w:line="176"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the Term Loan is incurring interest at a SOFR rate of 2.61%. As of June 30, 2022, the Revolver Facility is split into three tranches. The first tranche has a principal balance of $12.0 million and incurs interest at a SOFR rate of 1.59% for a one month period through July 2022. The second tranche has a principal balance of $40.0 million and incurs interest at a SOFR rate of 1.43% for a three month period through August 2022. The third tranche has a principal balance of $13.9 million and incurs interest at a SOFR rate of 2.10% for a three month period through September 2022.</w:t>
      </w:r>
    </w:p>
    <w:p>
      <w:pPr>
        <w:spacing w:after="0" w:line="176" w:lineRule="exact"/>
        <w:rPr>
          <w:sz w:val="20"/>
          <w:szCs w:val="20"/>
          <w:color w:val="auto"/>
        </w:rPr>
      </w:pPr>
    </w:p>
    <w:p>
      <w:pPr>
        <w:jc w:val="both"/>
        <w:ind w:right="100" w:firstLine="509"/>
        <w:spacing w:after="0" w:line="241"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typical of such financing transactions, and specific financial covenants which require P10 to maintain a minimum leverage ratio. As of June 30, 2022, P10 was in compliance with its financial covenants required under the facility. In February 2022, the Company repaid $25 million of the principal balance outstanding on the revolving credit facility. As of June 30, 2022, the balance drawn on the revolving credit facility is $65.9 million and on the term loan, the balance is $125.0 million. For the three and six months ended June 30, 2022 and June 30, 2021, $2.5 million and $0 and $1.6 million and $0 interest expense was incurred, respectively. On July 27, 2022, the $12.0 million tranche of debt on the Revolver Facility incurring interest on a one month period was repaid in full.</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76"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six months ended June 30, 2022 and 2021:</w:t>
      </w:r>
    </w:p>
    <w:p>
      <w:pPr>
        <w:spacing w:after="0" w:line="218"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spacing w:after="0" w:line="5"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4"/>
          <w:szCs w:val="14"/>
          <w:b w:val="1"/>
          <w:bCs w:val="1"/>
          <w:color w:val="auto"/>
        </w:rPr>
        <w:t>Ended June 30,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(320 )</w:t>
            </w:r>
          </w:p>
        </w:tc>
        <w:tc>
          <w:tcPr>
            <w:tcW w:w="3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(643 )</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18"/>
                <w:szCs w:val="18"/>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(40,989 )</w:t>
            </w:r>
          </w:p>
        </w:tc>
        <w:tc>
          <w:tcPr>
            <w:tcW w:w="3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(10,578 )</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(30,411 )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 and</w:t>
            </w: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400" w:type="dxa"/>
            <w:vAlign w:val="bottom"/>
            <w:vMerge w:val="continue"/>
          </w:tcPr>
          <w:p>
            <w:pPr>
              <w:spacing w:after="0"/>
              <w:rPr>
                <w:sz w:val="24"/>
                <w:szCs w:val="2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8"/>
                <w:szCs w:val="18"/>
                <w:color w:val="auto"/>
              </w:rPr>
              <w:t>(18,138 )</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240" w:type="dxa"/>
            <w:vAlign w:val="bottom"/>
          </w:tcPr>
          <w:p>
            <w:pPr>
              <w:spacing w:after="0"/>
              <w:rPr>
                <w:sz w:val="24"/>
                <w:szCs w:val="2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(24,521 )</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5"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Cash from operating activities increased $5.6 million or 32%, to $23.2 million for the six months ended June 30, 2022 compared to the six months ended June 30, 2021. The components of this net increase primarily consisted of a $13.8 million increase in net income and the following changes in operating assets and liabilities:</w:t>
      </w:r>
    </w:p>
    <w:p>
      <w:pPr>
        <w:spacing w:after="0" w:line="81" w:lineRule="exact"/>
        <w:rPr>
          <w:sz w:val="20"/>
          <w:szCs w:val="20"/>
          <w:color w:val="auto"/>
        </w:rPr>
      </w:pPr>
    </w:p>
    <w:p>
      <w:pPr>
        <w:ind w:left="1020" w:right="100" w:hanging="504"/>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$5.8 million in due from related parties driven primarily by the receivable from the Advisory Agreement between ECG and ECP as further discussed in Note 13;</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expense for deferred taxes of $5.6 million primarily driven by reduction of deferred tax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$4.0 million in accounts receivable driven by closing of new funds at the end of the quarter and collections in arrears;</w:t>
      </w:r>
    </w:p>
    <w:p>
      <w:pPr>
        <w:spacing w:after="0" w:line="103" w:lineRule="exact"/>
        <w:rPr>
          <w:rFonts w:ascii="Times New Roman" w:cs="Times New Roman" w:eastAsia="Times New Roman" w:hAnsi="Times New Roman"/>
          <w:sz w:val="18"/>
          <w:szCs w:val="18"/>
          <w:color w:val="auto"/>
        </w:rPr>
      </w:pPr>
    </w:p>
    <w:p>
      <w:pPr>
        <w:jc w:val="both"/>
        <w:ind w:left="1020" w:right="100" w:hanging="504"/>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amortization of intangibles of $2.6 million driven by a fully amortized intangible asset at RCP and less amortization at ECG in 2022 than in 2021 driven by unique syndication fee contracts. This is offset by added intangible assets at Bonaccord and Hark following their acquisitions in September 2021.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cash used in investing activities increased by $0.3 million, or (50)% to $0.3 million, for the six months ended June 30, 2022 as compared to the six months ended June 30, 2021. This increase in the cash used was due almost entirely to the increased note receivable balance as discussed in Note 6 coupled with an increase of purchases in property and equipment attributable to leasehold improvements on the newly rented spaces in New York and North Carolina.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5"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We used a net $41.0 million of cash for the six months ended June 30, 2022 for financing activities, as compared to cash used in financing activities of $10.6 million for the six months ended June 30, 2021 due primarily to the pay down of $25.0 million on the Revolving Facility in the first quarter of 2022. We also settled 1.1 million stock options from a grantee with a fair market value option price of $11.83, less a negotiated discount of 2.5%, totaling $12.5 million and paid a dividend of $3.5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200" w:firstLine="509"/>
        <w:spacing w:after="0" w:line="295" w:lineRule="auto"/>
        <w:rPr>
          <w:sz w:val="20"/>
          <w:szCs w:val="20"/>
          <w:color w:val="auto"/>
        </w:rPr>
      </w:pPr>
      <w:r>
        <w:rPr>
          <w:rFonts w:ascii="Times New Roman" w:cs="Times New Roman" w:eastAsia="Times New Roman" w:hAnsi="Times New Roman"/>
          <w:sz w:val="17"/>
          <w:szCs w:val="17"/>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00" w:firstLine="509"/>
        <w:spacing w:after="0" w:line="241"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jc w:val="center"/>
        <w:ind w:right="10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5"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June 30,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0" w:type="dxa"/>
            <w:vAlign w:val="bottom"/>
            <w:vMerge w:val="continue"/>
          </w:tcPr>
          <w:p>
            <w:pPr>
              <w:spacing w:after="0"/>
              <w:rPr>
                <w:sz w:val="14"/>
                <w:szCs w:val="14"/>
                <w:color w:val="auto"/>
              </w:rPr>
            </w:pPr>
          </w:p>
        </w:tc>
        <w:tc>
          <w:tcPr>
            <w:tcW w:w="2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20,050</w:t>
            </w:r>
          </w:p>
        </w:tc>
        <w:tc>
          <w:tcPr>
            <w:tcW w:w="560" w:type="dxa"/>
            <w:vAlign w:val="bottom"/>
            <w:gridSpan w:val="2"/>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1,082</w:t>
            </w:r>
          </w:p>
        </w:tc>
        <w:tc>
          <w:tcPr>
            <w:tcW w:w="460" w:type="dxa"/>
            <w:vAlign w:val="bottom"/>
            <w:gridSpan w:val="2"/>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2,976</w:t>
            </w:r>
          </w:p>
        </w:tc>
        <w:tc>
          <w:tcPr>
            <w:tcW w:w="440" w:type="dxa"/>
            <w:vAlign w:val="bottom"/>
            <w:gridSpan w:val="2"/>
          </w:tcPr>
          <w:p>
            <w:pPr>
              <w:ind w:left="2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3,222</w:t>
            </w:r>
          </w:p>
        </w:tc>
        <w:tc>
          <w:tcPr>
            <w:tcW w:w="420" w:type="dxa"/>
            <w:vAlign w:val="bottom"/>
            <w:gridSpan w:val="2"/>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2,066</w:t>
            </w:r>
          </w:p>
        </w:tc>
        <w:tc>
          <w:tcPr>
            <w:tcW w:w="420" w:type="dxa"/>
            <w:vAlign w:val="bottom"/>
            <w:gridSpan w:val="2"/>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1,727</w:t>
            </w:r>
          </w:p>
        </w:tc>
        <w:tc>
          <w:tcPr>
            <w:tcW w:w="3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8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Debt obligations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190,900</w:t>
            </w:r>
          </w:p>
        </w:tc>
        <w:tc>
          <w:tcPr>
            <w:tcW w:w="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178,400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180,466</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-24765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-7620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-24765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-7620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-24765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-7620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right="20" w:hanging="512"/>
        <w:spacing w:after="0" w:line="253"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office space under agreements that expire periodically through 2032. The table only includes guaranteed minimum lease payments under these agreements and does not project other related payments.</w:t>
      </w: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presented in the table reflect scheduled principal payments related to the various debt instruments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1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“Significant Accounting Policies” for a summary of our significant accounting policies.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6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5" w:name="page46"/>
    <w:bookmarkEnd w:id="45"/>
    <w:p>
      <w:pPr>
        <w:jc w:val="both"/>
        <w:spacing w:after="0" w:line="281" w:lineRule="auto"/>
        <w:rPr>
          <w:sz w:val="20"/>
          <w:szCs w:val="20"/>
          <w:color w:val="auto"/>
        </w:rPr>
      </w:pPr>
      <w:r>
        <w:rPr>
          <w:rFonts w:ascii="Times New Roman" w:cs="Times New Roman" w:eastAsia="Times New Roman" w:hAnsi="Times New Roman"/>
          <w:sz w:val="18"/>
          <w:szCs w:val="18"/>
          <w:color w:val="auto"/>
        </w:rPr>
        <w:t>a qualitative analysis that considers the design of the VIE, the nature of our involvement and the variable interests held by other parties. See Note 7 for further information.</w:t>
      </w:r>
    </w:p>
    <w:p>
      <w:pPr>
        <w:spacing w:after="0" w:line="14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Holdco, RCP 2, RCP 3, TrueBridge, Hark and Bonaccord. The assets and liabilities of the consolidated VIEs are presented gross in the Consolidated Balance Sheets. The liabilities of our consolidated VIE’s are obligations of those entities and their creditors do not generally have recourse to the assets of P10. See Note 7 for more information on both consolidated and unconsolidated VIEs.</w:t>
      </w:r>
    </w:p>
    <w:p>
      <w:pPr>
        <w:spacing w:after="0" w:line="17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Intermediate, P10 Holdings, and ECG are concluded to be consolidated subsidiaries of P10 under the voting interest model.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Management Fees Received in Advance</w:t>
      </w:r>
    </w:p>
    <w:p>
      <w:pPr>
        <w:spacing w:after="0" w:line="1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1, 2019, the Company adopted ASC 606, Revenue from Contracts with Customers (“ASC 606”) using the modified retrospective method. The adoption did not change the historical pattern of recognizing revenue for management fees. Accordingly, the Company did not record a cumulative adjustment upon adoption.</w:t>
      </w:r>
    </w:p>
    <w:p>
      <w:pPr>
        <w:spacing w:after="0" w:line="1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Advisory Fees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7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Current income tax expense represents our estimated taxes to be paid or refunded for the current period. In accordance with Accounting Standards Codification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76"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 alone tax rules as applicable.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21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7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76"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we had $190.9 million in outstanding principal under our Term Loan and Revolving Credit Facility. The annual interest rate on the Term Loan is based on SOFR, subject to a floor of 0.10%, plus 2.00%. On June 30, 2022, the interest rate on these borrowings was 2.10% + SOFR. We estimate that a 100-basis point increase in the interest rate would result in an approximately $0.5 million increase in interest expense related to the loan over the next 12 months.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0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1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18"/>
          <w:szCs w:val="18"/>
          <w:color w:val="auto"/>
        </w:rPr>
        <w:t>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15" w:lineRule="exact"/>
        <w:rPr>
          <w:sz w:val="20"/>
          <w:szCs w:val="20"/>
          <w:color w:val="auto"/>
        </w:rPr>
      </w:pPr>
    </w:p>
    <w:p>
      <w:pPr>
        <w:jc w:val="both"/>
        <w:ind w:right="20" w:firstLine="509"/>
        <w:spacing w:after="0" w:line="24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our most recent quarter ended June 30, 2022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PART II—OTHER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“Contingencies” in Note 14, Commitments and Contingencies, to our consolidated financial statements included elsewhere in this quarterly report, and such information is incorporated by reference into this Item 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“Risk Factors” included in our annual report on Form 10-K for the year ended December 31, 2021.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60" w:type="dxa"/>
            <w:vAlign w:val="bottom"/>
            <w:gridSpan w:val="11"/>
          </w:tcPr>
          <w:p>
            <w:pPr>
              <w:ind w:left="15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6"/>
          </w:tcPr>
          <w:p>
            <w:pPr>
              <w:spacing w:after="0"/>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Amended and Restated Certificate of Incorporation of P10, Inc. (incorporated by reference to Exhibit 3.1 to the Company’s Current Report on Form 8-K</w:t>
              </w:r>
            </w:hyperlink>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2"/>
          </w:tcPr>
          <w:p>
            <w:pPr>
              <w:spacing w:after="0" w:line="155" w:lineRule="exact"/>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filed on October 26, 2021).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bottom w:val="single" w:sz="8" w:color="0000FF"/>
            </w:tcBorders>
            <w:gridSpan w:val="13"/>
          </w:tcPr>
          <w:p>
            <w:pPr>
              <w:spacing w:after="0" w:line="155" w:lineRule="exact"/>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Amended and Restated Bylaws of P10, Inc. (incorporated by reference to Exhibit 3.2 to the Company’s Current Report on Form 8-K filed on October 26,</w:t>
              </w:r>
            </w:hyperlink>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gridSpan w:val="2"/>
          </w:tcPr>
          <w:p>
            <w:pPr>
              <w:spacing w:after="0"/>
              <w:rPr>
                <w:sz w:val="13"/>
                <w:szCs w:val="13"/>
                <w:color w:val="auto"/>
              </w:rPr>
            </w:pPr>
          </w:p>
        </w:tc>
        <w:tc>
          <w:tcPr>
            <w:tcW w:w="400" w:type="dxa"/>
            <w:vAlign w:val="bottom"/>
            <w:tcBorders>
              <w:bottom w:val="single" w:sz="8" w:color="0000FF"/>
            </w:tcBorders>
          </w:tcPr>
          <w:p>
            <w:pPr>
              <w:spacing w:after="0" w:line="155" w:lineRule="exact"/>
              <w:rPr>
                <w:rFonts w:ascii="Times New Roman" w:cs="Times New Roman" w:eastAsia="Times New Roman" w:hAnsi="Times New Roman"/>
                <w:sz w:val="16"/>
                <w:szCs w:val="16"/>
                <w:color w:val="0000FF"/>
                <w:w w:val="91"/>
              </w:rPr>
            </w:pPr>
            <w:hyperlink r:id="rId344">
              <w:r>
                <w:rPr>
                  <w:rFonts w:ascii="Times New Roman" w:cs="Times New Roman" w:eastAsia="Times New Roman" w:hAnsi="Times New Roman"/>
                  <w:sz w:val="16"/>
                  <w:szCs w:val="16"/>
                  <w:color w:val="0000FF"/>
                  <w:w w:val="91"/>
                </w:rPr>
                <w:t>2021).</w:t>
              </w:r>
            </w:hyperlink>
          </w:p>
        </w:tc>
        <w:tc>
          <w:tcPr>
            <w:tcW w:w="20" w:type="dxa"/>
            <w:vAlign w:val="bottom"/>
            <w:tcBorders>
              <w:bottom w:val="single" w:sz="8" w:color="0000EE"/>
            </w:tcBorders>
          </w:tcPr>
          <w:p>
            <w:pPr>
              <w:spacing w:after="0"/>
              <w:rPr>
                <w:sz w:val="13"/>
                <w:szCs w:val="13"/>
                <w:color w:val="auto"/>
              </w:rPr>
            </w:pPr>
          </w:p>
        </w:tc>
        <w:tc>
          <w:tcPr>
            <w:tcW w:w="9760" w:type="dxa"/>
            <w:vAlign w:val="bottom"/>
            <w:gridSpan w:val="14"/>
            <w:vMerge w:val="restart"/>
          </w:tcPr>
          <w:p>
            <w:pPr>
              <w:ind w:left="20"/>
              <w:spacing w:after="0"/>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Agreement, dated as of October 20, 2021, by and among the Company and American Stock Transfer &amp; Trust Company, LLC, as rights agent</w:t>
              </w:r>
            </w:hyperlink>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line="155" w:lineRule="exact"/>
              <w:rPr>
                <w:rFonts w:ascii="Times New Roman" w:cs="Times New Roman" w:eastAsia="Times New Roman" w:hAnsi="Times New Roman"/>
                <w:sz w:val="16"/>
                <w:szCs w:val="16"/>
                <w:color w:val="0000FF"/>
                <w:w w:val="95"/>
              </w:rPr>
            </w:pPr>
            <w:hyperlink r:id="rId345">
              <w:r>
                <w:rPr>
                  <w:rFonts w:ascii="Times New Roman" w:cs="Times New Roman" w:eastAsia="Times New Roman" w:hAnsi="Times New Roman"/>
                  <w:sz w:val="16"/>
                  <w:szCs w:val="16"/>
                  <w:color w:val="0000FF"/>
                  <w:w w:val="95"/>
                </w:rPr>
                <w:t>Rights</w:t>
              </w:r>
            </w:hyperlink>
          </w:p>
        </w:tc>
        <w:tc>
          <w:tcPr>
            <w:tcW w:w="976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6"/>
          </w:tcPr>
          <w:p>
            <w:pPr>
              <w:spacing w:after="0" w:line="155" w:lineRule="exact"/>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(incorporate by reference to Exhibit 4.1 to the Company’s Current Report on Form 8-K filed on October 26,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692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16"/>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6880" w:type="dxa"/>
            <w:vAlign w:val="bottom"/>
            <w:tcBorders>
              <w:top w:val="single" w:sz="8" w:color="0000FF"/>
            </w:tcBorders>
            <w:gridSpan w:val="9"/>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16"/>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6880" w:type="dxa"/>
            <w:vAlign w:val="bottom"/>
            <w:tcBorders>
              <w:top w:val="single" w:sz="8" w:color="0000FF"/>
            </w:tcBorders>
            <w:gridSpan w:val="9"/>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16"/>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80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32.2*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Sarbanes-Oxley Act of 2002.</w:t>
            </w:r>
          </w:p>
        </w:tc>
        <w:tc>
          <w:tcPr>
            <w:tcW w:w="3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32.3*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Sarbanes-Oxley Act of 2002.</w:t>
            </w:r>
          </w:p>
        </w:tc>
        <w:tc>
          <w:tcPr>
            <w:tcW w:w="20" w:type="dxa"/>
            <w:vAlign w:val="bottom"/>
            <w:tcBorders>
              <w:top w:val="single" w:sz="8" w:color="0000EE"/>
            </w:tcBorders>
          </w:tcPr>
          <w:p>
            <w:pPr>
              <w:spacing w:after="0"/>
              <w:rPr>
                <w:sz w:val="14"/>
                <w:szCs w:val="14"/>
                <w:color w:val="auto"/>
              </w:rPr>
            </w:pPr>
          </w:p>
        </w:tc>
        <w:tc>
          <w:tcPr>
            <w:tcW w:w="3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101.INS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9"/>
          </w:tcPr>
          <w:p>
            <w:pPr>
              <w:spacing w:after="0" w:line="182" w:lineRule="exact"/>
              <w:rPr>
                <w:sz w:val="20"/>
                <w:szCs w:val="20"/>
                <w:color w:val="auto"/>
              </w:rPr>
            </w:pPr>
            <w:r>
              <w:rPr>
                <w:rFonts w:ascii="Times New Roman" w:cs="Times New Roman" w:eastAsia="Times New Roman" w:hAnsi="Times New Roman"/>
                <w:sz w:val="16"/>
                <w:szCs w:val="16"/>
                <w:color w:val="auto"/>
              </w:rPr>
              <w:t>XBRL Instance Document</w:t>
            </w:r>
          </w:p>
        </w:tc>
        <w:tc>
          <w:tcPr>
            <w:tcW w:w="3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0"/>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4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P10, Inc.</w:t>
            </w:r>
          </w:p>
        </w:tc>
        <w:tc>
          <w:tcPr>
            <w:tcW w:w="4240" w:type="dxa"/>
            <w:vAlign w:val="bottom"/>
          </w:tcPr>
          <w:p>
            <w:pPr>
              <w:spacing w:after="0"/>
              <w:rPr>
                <w:sz w:val="20"/>
                <w:szCs w:val="20"/>
                <w:color w:val="auto"/>
              </w:rPr>
            </w:pPr>
          </w:p>
        </w:tc>
      </w:tr>
      <w:tr>
        <w:trPr>
          <w:trHeight w:val="40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15, 2022</w:t>
            </w:r>
          </w:p>
        </w:tc>
        <w:tc>
          <w:tcPr>
            <w:tcW w:w="34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/s/ Robert Alpert</w:t>
            </w:r>
          </w:p>
        </w:tc>
      </w:tr>
      <w:tr>
        <w:trPr>
          <w:trHeight w:val="160"/>
        </w:trPr>
        <w:tc>
          <w:tcPr>
            <w:tcW w:w="36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40" w:type="dxa"/>
            <w:vAlign w:val="bottom"/>
            <w:tcBorders>
              <w:top w:val="single" w:sz="8" w:color="auto"/>
            </w:tcBorders>
          </w:tcPr>
          <w:p>
            <w:pPr>
              <w:jc w:val="center"/>
              <w:ind w:right="790"/>
              <w:spacing w:after="0" w:line="160" w:lineRule="exact"/>
              <w:rPr>
                <w:sz w:val="20"/>
                <w:szCs w:val="20"/>
                <w:color w:val="auto"/>
              </w:rPr>
            </w:pPr>
            <w:r>
              <w:rPr>
                <w:rFonts w:ascii="Times New Roman" w:cs="Times New Roman" w:eastAsia="Times New Roman" w:hAnsi="Times New Roman"/>
                <w:sz w:val="18"/>
                <w:szCs w:val="18"/>
                <w:b w:val="1"/>
                <w:bCs w:val="1"/>
                <w:color w:val="auto"/>
                <w:w w:val="99"/>
              </w:rPr>
              <w:t>Robert Alpert</w:t>
            </w:r>
          </w:p>
        </w:tc>
      </w:tr>
      <w:tr>
        <w:trPr>
          <w:trHeight w:val="238"/>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Co-Chief Executive Officer</w:t>
            </w:r>
          </w:p>
        </w:tc>
      </w:tr>
      <w:tr>
        <w:trPr>
          <w:trHeight w:val="40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15, 2022</w:t>
            </w:r>
          </w:p>
        </w:tc>
        <w:tc>
          <w:tcPr>
            <w:tcW w:w="34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8"/>
              </w:rPr>
              <w:t>/s/ C. Clark Webb</w:t>
            </w:r>
          </w:p>
        </w:tc>
      </w:tr>
      <w:tr>
        <w:trPr>
          <w:trHeight w:val="160"/>
        </w:trPr>
        <w:tc>
          <w:tcPr>
            <w:tcW w:w="36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40" w:type="dxa"/>
            <w:vAlign w:val="bottom"/>
            <w:tcBorders>
              <w:top w:val="single" w:sz="8" w:color="auto"/>
            </w:tcBorders>
          </w:tcPr>
          <w:p>
            <w:pPr>
              <w:jc w:val="center"/>
              <w:ind w:right="790"/>
              <w:spacing w:after="0" w:line="160" w:lineRule="exact"/>
              <w:rPr>
                <w:sz w:val="20"/>
                <w:szCs w:val="20"/>
                <w:color w:val="auto"/>
              </w:rPr>
            </w:pPr>
            <w:r>
              <w:rPr>
                <w:rFonts w:ascii="Times New Roman" w:cs="Times New Roman" w:eastAsia="Times New Roman" w:hAnsi="Times New Roman"/>
                <w:sz w:val="18"/>
                <w:szCs w:val="18"/>
                <w:b w:val="1"/>
                <w:bCs w:val="1"/>
                <w:color w:val="auto"/>
                <w:w w:val="98"/>
              </w:rPr>
              <w:t>C. Clark Webb</w:t>
            </w:r>
          </w:p>
        </w:tc>
      </w:tr>
      <w:tr>
        <w:trPr>
          <w:trHeight w:val="238"/>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Co-Chief Executive Officer</w:t>
            </w:r>
          </w:p>
        </w:tc>
      </w:tr>
      <w:tr>
        <w:trPr>
          <w:trHeight w:val="40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15, 2022</w:t>
            </w:r>
          </w:p>
        </w:tc>
        <w:tc>
          <w:tcPr>
            <w:tcW w:w="34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Amanda Coussens</w:t>
            </w:r>
          </w:p>
        </w:tc>
      </w:tr>
      <w:tr>
        <w:trPr>
          <w:trHeight w:val="160"/>
        </w:trPr>
        <w:tc>
          <w:tcPr>
            <w:tcW w:w="36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40" w:type="dxa"/>
            <w:vAlign w:val="bottom"/>
            <w:tcBorders>
              <w:top w:val="single" w:sz="8" w:color="auto"/>
            </w:tcBorders>
          </w:tcPr>
          <w:p>
            <w:pPr>
              <w:jc w:val="center"/>
              <w:ind w:right="770"/>
              <w:spacing w:after="0" w:line="160" w:lineRule="exact"/>
              <w:rPr>
                <w:sz w:val="20"/>
                <w:szCs w:val="20"/>
                <w:color w:val="auto"/>
              </w:rPr>
            </w:pPr>
            <w:r>
              <w:rPr>
                <w:rFonts w:ascii="Times New Roman" w:cs="Times New Roman" w:eastAsia="Times New Roman" w:hAnsi="Times New Roman"/>
                <w:sz w:val="18"/>
                <w:szCs w:val="18"/>
                <w:b w:val="1"/>
                <w:bCs w:val="1"/>
                <w:color w:val="auto"/>
              </w:rPr>
              <w:t>Amanda Coussens</w:t>
            </w:r>
          </w:p>
        </w:tc>
      </w:tr>
      <w:tr>
        <w:trPr>
          <w:trHeight w:val="238"/>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366"/>
        </w:trPr>
        <w:tc>
          <w:tcPr>
            <w:tcW w:w="36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47</w:t>
            </w:r>
          </w:p>
        </w:tc>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29"/>
        </w:trPr>
        <w:tc>
          <w:tcPr>
            <w:tcW w:w="36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Robert Alpert, certify that:</w:t>
      </w:r>
    </w:p>
    <w:p>
      <w:pPr>
        <w:spacing w:after="0" w:line="97"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03" w:lineRule="exact"/>
        <w:rPr>
          <w:rFonts w:ascii="Times New Roman" w:cs="Times New Roman" w:eastAsia="Times New Roman" w:hAnsi="Times New Roman"/>
          <w:sz w:val="18"/>
          <w:szCs w:val="18"/>
          <w:color w:val="auto"/>
        </w:rPr>
      </w:pPr>
    </w:p>
    <w:p>
      <w:pPr>
        <w:jc w:val="both"/>
        <w:ind w:left="1020" w:right="20" w:hanging="504"/>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020" w:right="520" w:hanging="504"/>
        <w:spacing w:after="0" w:line="295"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4"/>
        <w:spacing w:after="0" w:line="24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520" w:hanging="475"/>
        <w:spacing w:after="0"/>
        <w:tabs>
          <w:tab w:leader="none" w:pos="25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w:t>
      </w:r>
    </w:p>
    <w:p>
      <w:pPr>
        <w:spacing w:after="0" w:line="7" w:lineRule="exact"/>
        <w:rPr>
          <w:sz w:val="20"/>
          <w:szCs w:val="20"/>
          <w:color w:val="auto"/>
        </w:rPr>
      </w:pPr>
    </w:p>
    <w:p>
      <w:pPr>
        <w:ind w:left="2040" w:right="240"/>
        <w:spacing w:after="0" w:line="235" w:lineRule="auto"/>
        <w:rPr>
          <w:sz w:val="20"/>
          <w:szCs w:val="20"/>
          <w:color w:val="auto"/>
        </w:rPr>
      </w:pPr>
      <w:r>
        <w:rPr>
          <w:rFonts w:ascii="Times New Roman" w:cs="Times New Roman" w:eastAsia="Times New Roman" w:hAnsi="Times New Roman"/>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2040" w:right="340" w:firstLine="5"/>
        <w:spacing w:after="0" w:line="239" w:lineRule="auto"/>
        <w:tabs>
          <w:tab w:leader="none" w:pos="251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80" w:firstLine="5"/>
        <w:spacing w:after="0" w:line="239" w:lineRule="auto"/>
        <w:tabs>
          <w:tab w:leader="none" w:pos="250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60" w:firstLine="5"/>
        <w:spacing w:after="0" w:line="246" w:lineRule="auto"/>
        <w:tabs>
          <w:tab w:leader="none" w:pos="251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020" w:right="460" w:hanging="504"/>
        <w:spacing w:after="0" w:line="24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firstLine="5"/>
        <w:spacing w:after="0" w:line="239" w:lineRule="auto"/>
        <w:tabs>
          <w:tab w:leader="none" w:pos="25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80" w:firstLine="5"/>
        <w:spacing w:after="0" w:line="242" w:lineRule="auto"/>
        <w:tabs>
          <w:tab w:leader="none" w:pos="251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Robert Alpert</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C. Clark Webb, certify that:</w:t>
      </w:r>
    </w:p>
    <w:p>
      <w:pPr>
        <w:spacing w:after="0" w:line="97"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03" w:lineRule="exact"/>
        <w:rPr>
          <w:rFonts w:ascii="Times New Roman" w:cs="Times New Roman" w:eastAsia="Times New Roman" w:hAnsi="Times New Roman"/>
          <w:sz w:val="18"/>
          <w:szCs w:val="18"/>
          <w:color w:val="auto"/>
        </w:rPr>
      </w:pPr>
    </w:p>
    <w:p>
      <w:pPr>
        <w:jc w:val="both"/>
        <w:ind w:left="1020" w:right="20" w:hanging="504"/>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020" w:right="520" w:hanging="504"/>
        <w:spacing w:after="0" w:line="295"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27" w:lineRule="exact"/>
        <w:rPr>
          <w:sz w:val="20"/>
          <w:szCs w:val="20"/>
          <w:color w:val="auto"/>
        </w:rPr>
      </w:pPr>
    </w:p>
    <w:p>
      <w:pPr>
        <w:ind w:left="1020" w:right="20"/>
        <w:spacing w:after="0" w:line="235"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2040" w:right="240" w:firstLine="5"/>
        <w:spacing w:after="0" w:line="239" w:lineRule="auto"/>
        <w:tabs>
          <w:tab w:leader="none" w:pos="250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40" w:firstLine="5"/>
        <w:spacing w:after="0" w:line="239" w:lineRule="auto"/>
        <w:tabs>
          <w:tab w:leader="none" w:pos="251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80" w:firstLine="5"/>
        <w:spacing w:after="0" w:line="239" w:lineRule="auto"/>
        <w:tabs>
          <w:tab w:leader="none" w:pos="250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60" w:firstLine="5"/>
        <w:spacing w:after="0" w:line="246" w:lineRule="auto"/>
        <w:tabs>
          <w:tab w:leader="none" w:pos="251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020" w:right="460" w:hanging="504"/>
        <w:spacing w:after="0" w:line="24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firstLine="5"/>
        <w:spacing w:after="0" w:line="239" w:lineRule="auto"/>
        <w:tabs>
          <w:tab w:leader="none" w:pos="25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80" w:firstLine="5"/>
        <w:spacing w:after="0" w:line="242" w:lineRule="auto"/>
        <w:tabs>
          <w:tab w:leader="none" w:pos="251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 Clark Webb</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97"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03" w:lineRule="exact"/>
        <w:rPr>
          <w:rFonts w:ascii="Times New Roman" w:cs="Times New Roman" w:eastAsia="Times New Roman" w:hAnsi="Times New Roman"/>
          <w:sz w:val="18"/>
          <w:szCs w:val="18"/>
          <w:color w:val="auto"/>
        </w:rPr>
      </w:pPr>
    </w:p>
    <w:p>
      <w:pPr>
        <w:jc w:val="both"/>
        <w:ind w:left="1020" w:right="20" w:hanging="504"/>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020" w:right="520" w:hanging="504"/>
        <w:spacing w:after="0" w:line="295"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27" w:lineRule="exact"/>
        <w:rPr>
          <w:sz w:val="20"/>
          <w:szCs w:val="20"/>
          <w:color w:val="auto"/>
        </w:rPr>
      </w:pPr>
    </w:p>
    <w:p>
      <w:pPr>
        <w:ind w:left="1020" w:right="20"/>
        <w:spacing w:after="0" w:line="235"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2040" w:right="240" w:firstLine="5"/>
        <w:spacing w:after="0" w:line="239" w:lineRule="auto"/>
        <w:tabs>
          <w:tab w:leader="none" w:pos="250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40" w:firstLine="5"/>
        <w:spacing w:after="0" w:line="239" w:lineRule="auto"/>
        <w:tabs>
          <w:tab w:leader="none" w:pos="251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80" w:firstLine="5"/>
        <w:spacing w:after="0" w:line="239" w:lineRule="auto"/>
        <w:tabs>
          <w:tab w:leader="none" w:pos="250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60" w:firstLine="5"/>
        <w:spacing w:after="0" w:line="246" w:lineRule="auto"/>
        <w:tabs>
          <w:tab w:leader="none" w:pos="251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020" w:right="460" w:hanging="504"/>
        <w:spacing w:after="0" w:line="247"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firstLine="5"/>
        <w:spacing w:after="0" w:line="239" w:lineRule="auto"/>
        <w:tabs>
          <w:tab w:leader="none" w:pos="25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80" w:firstLine="5"/>
        <w:spacing w:after="0" w:line="242" w:lineRule="auto"/>
        <w:tabs>
          <w:tab w:leader="none" w:pos="251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Amanda Coussens</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ind w:right="20"/>
        <w:spacing w:after="0" w:line="239"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2"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15, 2022</w:t>
            </w:r>
          </w:p>
        </w:tc>
        <w:tc>
          <w:tcPr>
            <w:tcW w:w="23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Alpert</w:t>
            </w:r>
          </w:p>
        </w:tc>
      </w:tr>
      <w:tr>
        <w:trPr>
          <w:trHeight w:val="160"/>
        </w:trPr>
        <w:tc>
          <w:tcPr>
            <w:tcW w:w="36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Robert Alpert</w:t>
            </w:r>
          </w:p>
        </w:tc>
      </w:tr>
      <w:tr>
        <w:trPr>
          <w:trHeight w:val="238"/>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w:t>
            </w:r>
          </w:p>
        </w:tc>
      </w:tr>
      <w:tr>
        <w:trPr>
          <w:trHeight w:val="331"/>
        </w:trPr>
        <w:tc>
          <w:tcPr>
            <w:tcW w:w="3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ind w:right="20"/>
        <w:spacing w:after="0" w:line="239"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2" w:lineRule="exact"/>
        <w:rPr>
          <w:sz w:val="20"/>
          <w:szCs w:val="20"/>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15, 2022</w:t>
            </w:r>
          </w:p>
        </w:tc>
        <w:tc>
          <w:tcPr>
            <w:tcW w:w="23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 Clark Webb</w:t>
            </w:r>
          </w:p>
        </w:tc>
      </w:tr>
      <w:tr>
        <w:trPr>
          <w:trHeight w:val="160"/>
        </w:trPr>
        <w:tc>
          <w:tcPr>
            <w:tcW w:w="36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C. Clark Webb</w:t>
            </w:r>
          </w:p>
        </w:tc>
      </w:tr>
      <w:tr>
        <w:trPr>
          <w:trHeight w:val="238"/>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w:t>
            </w:r>
          </w:p>
        </w:tc>
      </w:tr>
      <w:tr>
        <w:trPr>
          <w:trHeight w:val="331"/>
        </w:trPr>
        <w:tc>
          <w:tcPr>
            <w:tcW w:w="3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ind w:right="20"/>
        <w:spacing w:after="0" w:line="239"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2"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15, 2022</w:t>
            </w:r>
          </w:p>
        </w:tc>
        <w:tc>
          <w:tcPr>
            <w:tcW w:w="23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Amanda Coussens</w:t>
            </w:r>
          </w:p>
        </w:tc>
      </w:tr>
      <w:tr>
        <w:trPr>
          <w:trHeight w:val="160"/>
        </w:trPr>
        <w:tc>
          <w:tcPr>
            <w:tcW w:w="36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Amanda Coussens</w:t>
            </w:r>
          </w:p>
        </w:tc>
      </w:tr>
      <w:tr>
        <w:trPr>
          <w:trHeight w:val="238"/>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331"/>
        </w:trPr>
        <w:tc>
          <w:tcPr>
            <w:tcW w:w="3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2)"/>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lvl w:ilvl="1">
      <w:lvlJc w:val="left"/>
      <w:lvlText w:val="(%2)"/>
      <w:numFmt w:val="lowerLetter"/>
      <w:start w:val="1"/>
    </w:lvl>
  </w:abstractNum>
  <w:abstractNum w:abstractNumId="15">
    <w:nsid w:val="628C895D"/>
    <w:multiLevelType w:val="hybridMultilevel"/>
    <w:lvl w:ilvl="0">
      <w:lvlJc w:val="left"/>
      <w:lvlText w:val="%1"/>
      <w:numFmt w:val="decimal"/>
      <w:start w:val="1"/>
    </w:lvl>
    <w:lvl w:ilvl="1">
      <w:lvlJc w:val="left"/>
      <w:lvlText w:val="(%2)"/>
      <w:numFmt w:val="lowerLetter"/>
      <w:start w:val="2"/>
    </w:lvl>
  </w:abstractNum>
  <w:abstractNum w:abstractNumId="16">
    <w:nsid w:val="333AB105"/>
    <w:multiLevelType w:val="hybridMultilevel"/>
    <w:lvl w:ilvl="0">
      <w:lvlJc w:val="left"/>
      <w:lvlText w:val="%1."/>
      <w:numFmt w:val="decimal"/>
      <w:start w:val="5"/>
    </w:lvl>
    <w:lvl w:ilvl="1">
      <w:lvlJc w:val="left"/>
      <w:lvlText w:val="(%2)"/>
      <w:numFmt w:val="lowerLetter"/>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lvl w:ilvl="1">
      <w:lvlJc w:val="left"/>
      <w:lvlText w:val="(%2)"/>
      <w:numFmt w:val="lowerLetter"/>
      <w:start w:val="1"/>
    </w:lvl>
  </w:abstractNum>
  <w:abstractNum w:abstractNumId="19">
    <w:nsid w:val="2D1D5AE9"/>
    <w:multiLevelType w:val="hybridMultilevel"/>
    <w:lvl w:ilvl="0">
      <w:lvlJc w:val="left"/>
      <w:lvlText w:val="%1."/>
      <w:numFmt w:val="decimal"/>
      <w:start w:val="5"/>
    </w:lvl>
    <w:lvl w:ilvl="1">
      <w:lvlJc w:val="left"/>
      <w:lvlText w:val="(%2)"/>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5"/>
    </w:lvl>
    <w:lvl w:ilvl="1">
      <w:lvlJc w:val="left"/>
      <w:lvlText w:val="(%2)"/>
      <w:numFmt w:val="lowerLetter"/>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43" Type="http://schemas.openxmlformats.org/officeDocument/2006/relationships/hyperlink" Target="https://www.sec.gov/Archives/edgar/data/1841968/000119312521308150/d247132dex31.htm" TargetMode="External"/><Relationship Id="rId344" Type="http://schemas.openxmlformats.org/officeDocument/2006/relationships/hyperlink" Target="https://www.sec.gov/Archives/edgar/data/1841968/000119312521308150/d247132dex32.htm" TargetMode="External"/><Relationship Id="rId345" Type="http://schemas.openxmlformats.org/officeDocument/2006/relationships/hyperlink" Target="https://www.sec.gov/Archives/edgar/data/1841968/000119312521308150/d24713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2022-08-15T13:46:57Z</dcterms:created>
  <dcterms:modified xsi:type="dcterms:W3CDTF">2022-08-15T13:46:57Z</dcterms:modified>
</cp:coreProperties>
</file>