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October 26, 2005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(Commission File Number)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jc w:val="center"/>
              <w:ind w:left="652"/>
              <w:spacing w:after="0"/>
              <w:rPr>
                <w:sz w:val="20"/>
                <w:szCs w:val="20"/>
                <w:color w:val="auto"/>
              </w:rPr>
            </w:pPr>
            <w:r>
              <w:rPr>
                <w:rFonts w:ascii="Arial" w:cs="Arial" w:eastAsia="Arial" w:hAnsi="Arial"/>
                <w:sz w:val="18"/>
                <w:szCs w:val="18"/>
                <w:b w:val="1"/>
                <w:bCs w:val="1"/>
                <w:color w:val="auto"/>
                <w:w w:val="88"/>
              </w:rPr>
              <w:t>Delaware</w:t>
            </w:r>
          </w:p>
        </w:tc>
        <w:tc>
          <w:tcPr>
            <w:tcW w:w="6680" w:type="dxa"/>
            <w:vAlign w:val="bottom"/>
            <w:gridSpan w:val="3"/>
          </w:tcPr>
          <w:p>
            <w:pPr>
              <w:jc w:val="right"/>
              <w:ind w:right="2252"/>
              <w:spacing w:after="0"/>
              <w:rPr>
                <w:sz w:val="20"/>
                <w:szCs w:val="20"/>
                <w:color w:val="auto"/>
              </w:rPr>
            </w:pPr>
            <w:r>
              <w:rPr>
                <w:rFonts w:ascii="Arial" w:cs="Arial" w:eastAsia="Arial" w:hAnsi="Arial"/>
                <w:sz w:val="18"/>
                <w:szCs w:val="18"/>
                <w:b w:val="1"/>
                <w:bCs w:val="1"/>
                <w:color w:val="auto"/>
              </w:rPr>
              <w:t>74-2961657</w:t>
            </w:r>
          </w:p>
        </w:tc>
      </w:tr>
      <w:tr>
        <w:trPr>
          <w:trHeight w:val="110"/>
        </w:trPr>
        <w:tc>
          <w:tcPr>
            <w:tcW w:w="4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760" w:type="dxa"/>
            <w:vAlign w:val="bottom"/>
          </w:tcPr>
          <w:p>
            <w:pPr>
              <w:jc w:val="center"/>
              <w:ind w:left="652"/>
              <w:spacing w:after="0"/>
              <w:rPr>
                <w:sz w:val="20"/>
                <w:szCs w:val="20"/>
                <w:color w:val="auto"/>
              </w:rPr>
            </w:pPr>
            <w:r>
              <w:rPr>
                <w:rFonts w:ascii="Arial" w:cs="Arial" w:eastAsia="Arial" w:hAnsi="Arial"/>
                <w:sz w:val="18"/>
                <w:szCs w:val="18"/>
                <w:i w:val="1"/>
                <w:iCs w:val="1"/>
                <w:color w:val="auto"/>
                <w:w w:val="91"/>
              </w:rPr>
              <w:t>(State of Other Jurisdiction of Incorporation)</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365"/>
        </w:trPr>
        <w:tc>
          <w:tcPr>
            <w:tcW w:w="4760" w:type="dxa"/>
            <w:vAlign w:val="bottom"/>
          </w:tcPr>
          <w:p>
            <w:pPr>
              <w:jc w:val="center"/>
              <w:ind w:left="65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6680" w:type="dxa"/>
            <w:vAlign w:val="bottom"/>
            <w:gridSpan w:val="3"/>
          </w:tcPr>
          <w:p>
            <w:pPr>
              <w:jc w:val="right"/>
              <w:ind w:right="2452"/>
              <w:spacing w:after="0"/>
              <w:rPr>
                <w:sz w:val="20"/>
                <w:szCs w:val="20"/>
                <w:color w:val="auto"/>
              </w:rPr>
            </w:pPr>
            <w:r>
              <w:rPr>
                <w:rFonts w:ascii="Arial" w:cs="Arial" w:eastAsia="Arial" w:hAnsi="Arial"/>
                <w:sz w:val="18"/>
                <w:szCs w:val="18"/>
                <w:b w:val="1"/>
                <w:bCs w:val="1"/>
                <w:color w:val="auto"/>
              </w:rPr>
              <w:t>78758</w:t>
            </w:r>
          </w:p>
        </w:tc>
      </w:tr>
      <w:tr>
        <w:trPr>
          <w:trHeight w:val="110"/>
        </w:trPr>
        <w:tc>
          <w:tcPr>
            <w:tcW w:w="4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760" w:type="dxa"/>
            <w:vAlign w:val="bottom"/>
          </w:tcPr>
          <w:p>
            <w:pPr>
              <w:jc w:val="center"/>
              <w:ind w:left="6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4760" w:type="dxa"/>
            <w:vAlign w:val="bottom"/>
          </w:tcPr>
          <w:p>
            <w:pPr>
              <w:spacing w:after="0"/>
              <w:rPr>
                <w:sz w:val="24"/>
                <w:szCs w:val="24"/>
                <w:color w:val="auto"/>
              </w:rPr>
            </w:pPr>
          </w:p>
        </w:tc>
        <w:tc>
          <w:tcPr>
            <w:tcW w:w="6680" w:type="dxa"/>
            <w:vAlign w:val="bottom"/>
            <w:gridSpan w:val="3"/>
          </w:tcPr>
          <w:p>
            <w:pPr>
              <w:jc w:val="right"/>
              <w:ind w:right="5092"/>
              <w:spacing w:after="0"/>
              <w:rPr>
                <w:sz w:val="20"/>
                <w:szCs w:val="20"/>
                <w:color w:val="auto"/>
              </w:rPr>
            </w:pPr>
            <w:r>
              <w:rPr>
                <w:rFonts w:ascii="Arial" w:cs="Arial" w:eastAsia="Arial" w:hAnsi="Arial"/>
                <w:sz w:val="18"/>
                <w:szCs w:val="18"/>
                <w:b w:val="1"/>
                <w:bCs w:val="1"/>
                <w:color w:val="auto"/>
              </w:rPr>
              <w:t>(512) 836-6464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4860"/>
        <w:spacing w:after="0"/>
        <w:tabs>
          <w:tab w:leader="none" w:pos="57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8"/>
          <w:szCs w:val="18"/>
          <w:color w:val="auto"/>
        </w:rPr>
        <w:t>x No</w:t>
      </w:r>
    </w:p>
    <w:p>
      <w:pPr>
        <w:spacing w:after="0" w:line="225" w:lineRule="exact"/>
        <w:rPr>
          <w:sz w:val="24"/>
          <w:szCs w:val="24"/>
          <w:color w:val="auto"/>
        </w:rPr>
      </w:pPr>
    </w:p>
    <w:p>
      <w:pPr>
        <w:ind w:right="560" w:firstLine="43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On October 26, 2005, Active Power, Inc. issued a press release reporting its results of operations for its fiscal quarter ended September 30, 2005. A copy of the press release is furnished herewith as Exhibit 99.1.</w:t>
      </w:r>
    </w:p>
    <w:p>
      <w:pPr>
        <w:spacing w:after="0" w:line="186" w:lineRule="exact"/>
        <w:rPr>
          <w:sz w:val="20"/>
          <w:szCs w:val="20"/>
          <w:color w:val="auto"/>
        </w:rPr>
      </w:pPr>
    </w:p>
    <w:p>
      <w:pPr>
        <w:jc w:val="both"/>
        <w:ind w:right="160" w:firstLine="439"/>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110"/>
        </w:trPr>
        <w:tc>
          <w:tcPr>
            <w:tcW w:w="5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720" w:type="dxa"/>
            <w:vAlign w:val="bottom"/>
            <w:tcBorders>
              <w:bottom w:val="single" w:sz="8" w:color="auto"/>
            </w:tcBorders>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Press Release of Active Power, Inc. dated October 26, 2005</w:t>
            </w:r>
          </w:p>
        </w:tc>
      </w:tr>
      <w:tr>
        <w:trPr>
          <w:trHeight w:val="353"/>
        </w:trPr>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spacing w:after="0"/>
        <w:tabs>
          <w:tab w:leader="none" w:pos="7360" w:val="left"/>
          <w:tab w:leader="none" w:pos="8040" w:val="left"/>
        </w:tabs>
        <w:rPr>
          <w:sz w:val="20"/>
          <w:szCs w:val="20"/>
          <w:color w:val="auto"/>
        </w:rPr>
      </w:pPr>
      <w:r>
        <w:rPr>
          <w:rFonts w:ascii="Arial" w:cs="Arial" w:eastAsia="Arial" w:hAnsi="Arial"/>
          <w:sz w:val="18"/>
          <w:szCs w:val="18"/>
          <w:color w:val="auto"/>
        </w:rPr>
        <w:t>Dated: October 26,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80010</wp:posOffset>
            </wp:positionV>
            <wp:extent cx="2152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1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Chairman of the Board, President and</w:t>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700"/>
          </w:cols>
          <w:pgMar w:left="240" w:top="584"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6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20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6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right"/>
              <w:ind w:right="362"/>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Active Power, Inc. dated October 26, 2005</w:t>
            </w:r>
          </w:p>
        </w:tc>
      </w:tr>
      <w:tr>
        <w:trPr>
          <w:trHeight w:val="353"/>
        </w:trPr>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THIRD QUARTER RESULTS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AUSTIN, Texas (October 26, 2005) -- Active Power, Inc. (NASDAQ: ACPW) today announced results for its third quarter ended September 30, 2005. Revenue for the third quarter of fiscal 2005 was $4.5 million, up 11% from the same period last year and down 3% from the previous quarter.</w:t>
      </w:r>
    </w:p>
    <w:p>
      <w:pPr>
        <w:spacing w:after="0" w:line="139"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Net loss for the third quarter of 2005 was $5.2 million, or 11 cents per share, compared to a net loss of $10.9 million, or 26 cents per share, for the same period last year and a net loss of $5.6 million, or 12 cents per share in the second quarter of 2005. The 2004 results included a $4.8 million litigation settlement.</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and investments usage for the quarter was $6.8 million, as compared to $5.9 million for the same period last year. This expected increase in cash and investments usage during the quarter is attributed to the settlement of a sales tax audit and the renewal of the Company’s director and officer liability insurance. Cash and investments at September 30, 2005 were $48.4 million.</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achieved positive gross margin in the third quarter due in large part to the continued growth of our direct channel business,” said Joe Pinkerton, Chairman and CEO of Active Power. “Orders for our megawatt-class UPS increased sharply last quarter and we expect this segment of our business to expand over the next several quarters. We achieved our 60% cost reduction target for CoolAir™ DC and remain on schedule to commercially launch this product at an industry event next month. To that end, we recently engaged 12 manufacturer’s representative firms that will focus on selling our CoolAir units in North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p>
    <w:p>
      <w:pPr>
        <w:spacing w:after="0" w:line="225" w:lineRule="exact"/>
        <w:rPr>
          <w:sz w:val="20"/>
          <w:szCs w:val="20"/>
          <w:color w:val="auto"/>
        </w:rPr>
      </w:pPr>
    </w:p>
    <w:p>
      <w:pPr>
        <w:ind w:left="580" w:right="20" w:hanging="31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in August the receipt of a 5.4 MVA megawatt-class UPS order from Caterpillar that will be used to protect the state-of-the-art high speed printing operation of a large communications company in the Southeast United States. This order is the largest single megawatt-class UPS order received to date. We now believe this order will be shipped in the first half of next year.</w:t>
      </w:r>
    </w:p>
    <w:p>
      <w:pPr>
        <w:spacing w:after="0" w:line="126" w:lineRule="exact"/>
        <w:rPr>
          <w:rFonts w:ascii="Arial" w:cs="Arial" w:eastAsia="Arial" w:hAnsi="Arial"/>
          <w:sz w:val="18"/>
          <w:szCs w:val="18"/>
          <w:color w:val="auto"/>
        </w:rPr>
      </w:pPr>
    </w:p>
    <w:p>
      <w:pPr>
        <w:ind w:left="580" w:hanging="31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positive gross margin for the quarter due primarily to an increase of sales through our Active Power branded channel.</w:t>
      </w:r>
    </w:p>
    <w:p>
      <w:pPr>
        <w:spacing w:after="0" w:line="157" w:lineRule="exact"/>
        <w:rPr>
          <w:rFonts w:ascii="Arial" w:cs="Arial" w:eastAsia="Arial" w:hAnsi="Arial"/>
          <w:sz w:val="18"/>
          <w:szCs w:val="18"/>
          <w:color w:val="auto"/>
        </w:rPr>
      </w:pPr>
    </w:p>
    <w:p>
      <w:pPr>
        <w:ind w:left="580" w:right="380" w:hanging="312"/>
        <w:spacing w:after="0" w:line="33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Completed the engagement of 12 manufacturer’s representative firms that will sell our CoolAir product throughout North America. We have trained seven of these groups and anticipate having over 20 representative firms enlisted and trained by the end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580" w:right="300" w:hanging="312"/>
        <w:spacing w:after="0" w:line="188" w:lineRule="auto"/>
        <w:tabs>
          <w:tab w:leader="none" w:pos="580" w:val="left"/>
        </w:tabs>
        <w:numPr>
          <w:ilvl w:val="0"/>
          <w:numId w:val="3"/>
        </w:numPr>
        <w:rPr>
          <w:rFonts w:ascii="Arial" w:cs="Arial" w:eastAsia="Arial" w:hAnsi="Arial"/>
          <w:sz w:val="35"/>
          <w:szCs w:val="35"/>
          <w:color w:val="auto"/>
          <w:vertAlign w:val="superscript"/>
        </w:rPr>
      </w:pPr>
      <w:r>
        <w:rPr>
          <w:rFonts w:ascii="Arial" w:cs="Arial" w:eastAsia="Arial" w:hAnsi="Arial"/>
          <w:sz w:val="18"/>
          <w:szCs w:val="18"/>
          <w:color w:val="auto"/>
        </w:rPr>
        <w:t>Engaged Numeric Power Systems, Ltd. to distribute our CleanSource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DC flywheel products in India, where the demand for robust backup power is rapidly expanding. Numeric Power Systems is the leading UPS manufacturer in India.</w:t>
      </w:r>
    </w:p>
    <w:p>
      <w:pPr>
        <w:spacing w:after="0" w:line="142" w:lineRule="exact"/>
        <w:rPr>
          <w:rFonts w:ascii="Arial" w:cs="Arial" w:eastAsia="Arial" w:hAnsi="Arial"/>
          <w:sz w:val="35"/>
          <w:szCs w:val="35"/>
          <w:color w:val="auto"/>
          <w:vertAlign w:val="superscript"/>
        </w:rPr>
      </w:pPr>
    </w:p>
    <w:p>
      <w:pPr>
        <w:ind w:left="580" w:right="180" w:hanging="31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launch target by reducing the cost per unit energy of CoolAir DC by 60% since Q3 2004. Over the past two years the cost per unit energy of CoolAir DC has decreased by a factor of 14.</w:t>
      </w:r>
    </w:p>
    <w:p>
      <w:pPr>
        <w:spacing w:after="0" w:line="119"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32"/>
          <w:szCs w:val="32"/>
          <w:color w:val="auto"/>
          <w:vertAlign w:val="superscript"/>
        </w:rPr>
      </w:pPr>
      <w:r>
        <w:rPr>
          <w:rFonts w:ascii="Arial" w:cs="Arial" w:eastAsia="Arial" w:hAnsi="Arial"/>
          <w:sz w:val="16"/>
          <w:szCs w:val="16"/>
          <w:color w:val="auto"/>
        </w:rPr>
        <w:t>Shipped 2 MVA of megawatt-class CleanSource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UPS to a food processing facility in Northern Africa. This order was announced in June of this year.</w:t>
      </w:r>
    </w:p>
    <w:p>
      <w:pPr>
        <w:spacing w:after="0" w:line="50" w:lineRule="exact"/>
        <w:rPr>
          <w:rFonts w:ascii="Arial" w:cs="Arial" w:eastAsia="Arial" w:hAnsi="Arial"/>
          <w:sz w:val="32"/>
          <w:szCs w:val="32"/>
          <w:color w:val="auto"/>
          <w:vertAlign w:val="superscript"/>
        </w:rPr>
      </w:pPr>
    </w:p>
    <w:p>
      <w:pPr>
        <w:ind w:left="580" w:right="420" w:hanging="312"/>
        <w:spacing w:after="0" w:line="252"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systems to eight different governmental agencies around the world. We also shipped multiple units to healthcare, broadcast and datacenter customers, which continue to be strong markets for our systems.</w:t>
      </w:r>
    </w:p>
    <w:p>
      <w:pPr>
        <w:spacing w:after="0" w:line="132"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3 MW of CleanSource DC products to customers in Q3. Sales of our DC flywheel solution during 2005 have remained strong.</w:t>
      </w:r>
    </w:p>
    <w:p>
      <w:pPr>
        <w:spacing w:after="0" w:line="157" w:lineRule="exact"/>
        <w:rPr>
          <w:rFonts w:ascii="Arial" w:cs="Arial" w:eastAsia="Arial" w:hAnsi="Arial"/>
          <w:sz w:val="18"/>
          <w:szCs w:val="18"/>
          <w:color w:val="auto"/>
        </w:rPr>
      </w:pPr>
    </w:p>
    <w:p>
      <w:pPr>
        <w:ind w:left="580" w:hanging="31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a mobile and containerized continuous power system, which integrates an Active Power CleanSource flywheel UPS, diesel engine generator and transfer switch, for use at the Chinese National Olympics.</w:t>
      </w:r>
    </w:p>
    <w:p>
      <w:pPr>
        <w:spacing w:after="0" w:line="118" w:lineRule="exact"/>
        <w:rPr>
          <w:rFonts w:ascii="Arial" w:cs="Arial" w:eastAsia="Arial" w:hAnsi="Arial"/>
          <w:sz w:val="18"/>
          <w:szCs w:val="18"/>
          <w:color w:val="auto"/>
        </w:rPr>
      </w:pPr>
    </w:p>
    <w:p>
      <w:pPr>
        <w:ind w:left="580" w:hanging="31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our strong international presence with shipments to seven countries. International sales constituted 62% of revenue in Q3.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Active Power expects Q4 2005 revenue to be approximately $4.5 to $5.5 million, and Q4 earnings per share to be a loss of approximately 10 to 12 cents. We expect cash and investments usage in Q4 to be in the range of $4.0 to $5.0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1"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The Company will host a conference call today, Wednesday, October 26, at 11:00 a.m. Eastern Time, to further review the Company’s fiscal Q3 results. A replay of the webcast will be available until November 10</w:t>
      </w:r>
      <w:r>
        <w:rPr>
          <w:rFonts w:ascii="Arial" w:cs="Arial" w:eastAsia="Arial" w:hAnsi="Arial"/>
          <w:sz w:val="26"/>
          <w:szCs w:val="26"/>
          <w:color w:val="auto"/>
          <w:vertAlign w:val="superscript"/>
        </w:rPr>
        <w:t>th</w:t>
      </w:r>
      <w:r>
        <w:rPr>
          <w:rFonts w:ascii="Arial" w:cs="Arial" w:eastAsia="Arial" w:hAnsi="Arial"/>
          <w:sz w:val="16"/>
          <w:szCs w:val="16"/>
          <w:color w:val="auto"/>
        </w:rPr>
        <w:t>. Investors may access the live broadcast and replay through our web site: www.activepower.com.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CleanSource</w:t>
      </w:r>
      <w:r>
        <w:rPr>
          <w:rFonts w:ascii="Arial" w:cs="Arial" w:eastAsia="Arial" w:hAnsi="Arial"/>
          <w:sz w:val="29"/>
          <w:szCs w:val="29"/>
          <w:color w:val="auto"/>
          <w:vertAlign w:val="superscript"/>
        </w:rPr>
        <w:t>®</w:t>
      </w:r>
      <w:r>
        <w:rPr>
          <w:rFonts w:ascii="Arial" w:cs="Arial" w:eastAsia="Arial" w:hAnsi="Arial"/>
          <w:sz w:val="18"/>
          <w:szCs w:val="18"/>
          <w:color w:val="auto"/>
        </w:rPr>
        <w:t>, that provides a highly reliable, low-cost and non-toxic replacement for lead-acid batteries used in conventional power quality installations. Active Power has also recently developed a new battery-free extended runtime product line (CoolAir™) based on its proprietary thermal and compressed air storage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dependence on our relationship with Caterpillar</w:t>
      </w:r>
      <w:r>
        <w:rPr>
          <w:rFonts w:ascii="Arial" w:cs="Arial" w:eastAsia="Arial" w:hAnsi="Arial"/>
          <w:sz w:val="28"/>
          <w:szCs w:val="28"/>
          <w:color w:val="auto"/>
          <w:vertAlign w:val="superscript"/>
        </w:rPr>
        <w:t>®</w:t>
      </w:r>
      <w:r>
        <w:rPr>
          <w:rFonts w:ascii="Arial" w:cs="Arial" w:eastAsia="Arial" w:hAnsi="Arial"/>
          <w:sz w:val="17"/>
          <w:szCs w:val="17"/>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20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Chibib, Investors, 512.744.9453, mchibib@activepower.com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Derek Jones, Corporate Communications, 512.744.9210, djones@activepower.com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Three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2"/>
              </w:rPr>
              <w:t>Nine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left="392"/>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revenue</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Service and spares revenue</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536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Cost of service and spares revenue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1,542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7,317</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&amp; administrative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3,109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10,061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 settlement expense</w:t>
            </w:r>
          </w:p>
        </w:tc>
        <w:tc>
          <w:tcPr>
            <w:tcW w:w="6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420"/>
              <w:spacing w:after="0"/>
              <w:rPr>
                <w:sz w:val="20"/>
                <w:szCs w:val="20"/>
                <w:color w:val="auto"/>
              </w:rPr>
            </w:pPr>
            <w:r>
              <w:rPr>
                <w:rFonts w:ascii="Arial" w:cs="Arial" w:eastAsia="Arial" w:hAnsi="Arial"/>
                <w:sz w:val="14"/>
                <w:szCs w:val="14"/>
                <w:color w:val="auto"/>
              </w:rPr>
              <w:t>Amortization of deferred stock compensation</w:t>
            </w:r>
          </w:p>
        </w:tc>
        <w:tc>
          <w:tcPr>
            <w:tcW w:w="66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10,190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30,782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34,416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(5,674)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(11,001)</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(18,154)</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1,212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Gain due to change in market value of investment rights</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(5,188)</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(10,930)</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(16,119)</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&amp; diluted</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(0.11)</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(0.26)</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(0.34)</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Shares used in computing net loss per share, basic &amp; diluted</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48,693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42,559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47,810</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42,389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(5,188)</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(10,930)</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(16,119)</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(loss) on investments in marketable securities</w:t>
            </w:r>
          </w:p>
        </w:tc>
        <w:tc>
          <w:tcPr>
            <w:tcW w:w="6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420"/>
              <w:spacing w:after="0"/>
              <w:rPr>
                <w:sz w:val="20"/>
                <w:szCs w:val="20"/>
                <w:color w:val="auto"/>
              </w:rPr>
            </w:pPr>
            <w:r>
              <w:rPr>
                <w:rFonts w:ascii="Arial" w:cs="Arial" w:eastAsia="Arial" w:hAnsi="Arial"/>
                <w:sz w:val="14"/>
                <w:szCs w:val="14"/>
                <w:color w:val="auto"/>
              </w:rPr>
              <w:t>Realized loss on marketable securities</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(5,152)</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(10,642)</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(16,119)</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-1296670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-1296670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-1296670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-1296670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-1296670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-1296670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-1296670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-1296670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-1296670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-1296670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-1296670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-1296670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-327025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-327025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-327025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-327025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-327025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-327025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-327025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-327025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-327025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-327025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-327025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-327025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335" w:type="dxa"/>
            <w:vAlign w:val="bottom"/>
            <w:gridSpan w:val="2"/>
          </w:tcPr>
          <w:p>
            <w:pPr>
              <w:jc w:val="center"/>
              <w:ind w:right="325"/>
              <w:spacing w:after="0"/>
              <w:rPr>
                <w:sz w:val="20"/>
                <w:szCs w:val="20"/>
                <w:color w:val="auto"/>
              </w:rPr>
            </w:pPr>
            <w:r>
              <w:rPr>
                <w:rFonts w:ascii="Arial" w:cs="Arial" w:eastAsia="Arial" w:hAnsi="Arial"/>
                <w:sz w:val="14"/>
                <w:szCs w:val="14"/>
                <w:b w:val="1"/>
                <w:bCs w:val="1"/>
                <w:color w:val="auto"/>
                <w:w w:val="85"/>
              </w:rPr>
              <w:t>September 30,</w:t>
            </w:r>
          </w:p>
        </w:tc>
        <w:tc>
          <w:tcPr>
            <w:tcW w:w="130" w:type="dxa"/>
            <w:vAlign w:val="bottom"/>
          </w:tcPr>
          <w:p>
            <w:pPr>
              <w:spacing w:after="0"/>
              <w:rPr>
                <w:sz w:val="14"/>
                <w:szCs w:val="14"/>
                <w:color w:val="auto"/>
              </w:rPr>
            </w:pPr>
          </w:p>
        </w:tc>
        <w:tc>
          <w:tcPr>
            <w:tcW w:w="127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7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335" w:type="dxa"/>
            <w:vAlign w:val="bottom"/>
            <w:gridSpan w:val="2"/>
          </w:tcPr>
          <w:p>
            <w:pPr>
              <w:jc w:val="center"/>
              <w:ind w:right="345"/>
              <w:spacing w:after="0"/>
              <w:rPr>
                <w:sz w:val="20"/>
                <w:szCs w:val="20"/>
                <w:color w:val="auto"/>
              </w:rPr>
            </w:pPr>
            <w:r>
              <w:rPr>
                <w:rFonts w:ascii="Arial" w:cs="Arial" w:eastAsia="Arial" w:hAnsi="Arial"/>
                <w:sz w:val="14"/>
                <w:szCs w:val="14"/>
                <w:b w:val="1"/>
                <w:bCs w:val="1"/>
                <w:color w:val="auto"/>
                <w:w w:val="89"/>
              </w:rPr>
              <w:t>(unaudited)</w:t>
            </w:r>
          </w:p>
        </w:tc>
        <w:tc>
          <w:tcPr>
            <w:tcW w:w="130" w:type="dxa"/>
            <w:vAlign w:val="bottom"/>
          </w:tcPr>
          <w:p>
            <w:pPr>
              <w:spacing w:after="0"/>
              <w:rPr>
                <w:sz w:val="21"/>
                <w:szCs w:val="21"/>
                <w:color w:val="auto"/>
              </w:rPr>
            </w:pPr>
          </w:p>
        </w:tc>
        <w:tc>
          <w:tcPr>
            <w:tcW w:w="117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5" w:type="dxa"/>
            <w:vAlign w:val="bottom"/>
          </w:tcPr>
          <w:p>
            <w:pPr>
              <w:spacing w:after="0"/>
              <w:rPr>
                <w:sz w:val="12"/>
                <w:szCs w:val="12"/>
                <w:color w:val="auto"/>
              </w:rPr>
            </w:pPr>
          </w:p>
        </w:tc>
        <w:tc>
          <w:tcPr>
            <w:tcW w:w="1155"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25"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11,955</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25" w:type="dxa"/>
            <w:vAlign w:val="bottom"/>
          </w:tcPr>
          <w:p>
            <w:pPr>
              <w:spacing w:after="0"/>
              <w:rPr>
                <w:sz w:val="12"/>
                <w:szCs w:val="12"/>
                <w:color w:val="auto"/>
              </w:rPr>
            </w:pPr>
          </w:p>
        </w:tc>
        <w:tc>
          <w:tcPr>
            <w:tcW w:w="1155"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investments in marketable securities</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32,351</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25" w:type="dxa"/>
            <w:vAlign w:val="bottom"/>
          </w:tcPr>
          <w:p>
            <w:pPr>
              <w:spacing w:after="0"/>
              <w:rPr>
                <w:sz w:val="12"/>
                <w:szCs w:val="12"/>
                <w:color w:val="auto"/>
              </w:rPr>
            </w:pPr>
          </w:p>
        </w:tc>
        <w:tc>
          <w:tcPr>
            <w:tcW w:w="1155" w:type="dxa"/>
            <w:vAlign w:val="bottom"/>
          </w:tcPr>
          <w:p>
            <w:pPr>
              <w:jc w:val="right"/>
              <w:spacing w:after="0" w:line="149" w:lineRule="exact"/>
              <w:rPr>
                <w:sz w:val="20"/>
                <w:szCs w:val="20"/>
                <w:color w:val="auto"/>
              </w:rPr>
            </w:pPr>
            <w:r>
              <w:rPr>
                <w:rFonts w:ascii="Arial" w:cs="Arial" w:eastAsia="Arial" w:hAnsi="Arial"/>
                <w:sz w:val="14"/>
                <w:szCs w:val="14"/>
                <w:color w:val="auto"/>
              </w:rPr>
              <w:t>4,727</w:t>
            </w: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jc w:val="right"/>
              <w:spacing w:after="0" w:line="149" w:lineRule="exact"/>
              <w:rPr>
                <w:sz w:val="20"/>
                <w:szCs w:val="20"/>
                <w:color w:val="auto"/>
              </w:rPr>
            </w:pPr>
            <w:r>
              <w:rPr>
                <w:rFonts w:ascii="Arial" w:cs="Arial" w:eastAsia="Arial" w:hAnsi="Arial"/>
                <w:sz w:val="14"/>
                <w:szCs w:val="14"/>
                <w:color w:val="auto"/>
              </w:rPr>
              <w:t>4,143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5,028</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40" w:type="dxa"/>
            <w:vAlign w:val="bottom"/>
          </w:tcPr>
          <w:p>
            <w:pPr>
              <w:ind w:left="420"/>
              <w:spacing w:after="0"/>
              <w:rPr>
                <w:sz w:val="20"/>
                <w:szCs w:val="20"/>
                <w:color w:val="auto"/>
              </w:rPr>
            </w:pPr>
            <w:r>
              <w:rPr>
                <w:rFonts w:ascii="Arial" w:cs="Arial" w:eastAsia="Arial" w:hAnsi="Arial"/>
                <w:sz w:val="14"/>
                <w:szCs w:val="14"/>
                <w:color w:val="auto"/>
              </w:rPr>
              <w:t>Prepaid expenses and other</w:t>
            </w:r>
          </w:p>
        </w:tc>
        <w:tc>
          <w:tcPr>
            <w:tcW w:w="125" w:type="dxa"/>
            <w:vAlign w:val="bottom"/>
          </w:tcPr>
          <w:p>
            <w:pPr>
              <w:spacing w:after="0"/>
              <w:rPr>
                <w:sz w:val="14"/>
                <w:szCs w:val="14"/>
                <w:color w:val="auto"/>
              </w:rPr>
            </w:pPr>
          </w:p>
        </w:tc>
        <w:tc>
          <w:tcPr>
            <w:tcW w:w="1155" w:type="dxa"/>
            <w:vAlign w:val="bottom"/>
          </w:tcPr>
          <w:p>
            <w:pPr>
              <w:jc w:val="right"/>
              <w:spacing w:after="0"/>
              <w:rPr>
                <w:sz w:val="20"/>
                <w:szCs w:val="20"/>
                <w:color w:val="auto"/>
              </w:rPr>
            </w:pPr>
            <w:r>
              <w:rPr>
                <w:rFonts w:ascii="Arial" w:cs="Arial" w:eastAsia="Arial" w:hAnsi="Arial"/>
                <w:sz w:val="14"/>
                <w:szCs w:val="14"/>
                <w:color w:val="auto"/>
              </w:rPr>
              <w:t>718</w:t>
            </w: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170" w:type="dxa"/>
            <w:vAlign w:val="bottom"/>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540" w:type="dxa"/>
            <w:vAlign w:val="bottom"/>
          </w:tcPr>
          <w:p>
            <w:pPr>
              <w:spacing w:after="0"/>
              <w:rPr>
                <w:sz w:val="7"/>
                <w:szCs w:val="7"/>
                <w:color w:val="auto"/>
              </w:rPr>
            </w:pPr>
          </w:p>
        </w:tc>
        <w:tc>
          <w:tcPr>
            <w:tcW w:w="125" w:type="dxa"/>
            <w:vAlign w:val="bottom"/>
            <w:tcBorders>
              <w:bottom w:val="single" w:sz="8" w:color="auto"/>
            </w:tcBorders>
          </w:tcPr>
          <w:p>
            <w:pPr>
              <w:spacing w:after="0"/>
              <w:rPr>
                <w:sz w:val="7"/>
                <w:szCs w:val="7"/>
                <w:color w:val="auto"/>
              </w:rPr>
            </w:pPr>
          </w:p>
        </w:tc>
        <w:tc>
          <w:tcPr>
            <w:tcW w:w="1155"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117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54,895</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5" w:type="dxa"/>
            <w:vAlign w:val="bottom"/>
          </w:tcPr>
          <w:p>
            <w:pPr>
              <w:spacing w:after="0"/>
              <w:rPr>
                <w:sz w:val="12"/>
                <w:szCs w:val="12"/>
                <w:color w:val="auto"/>
              </w:rPr>
            </w:pPr>
          </w:p>
        </w:tc>
        <w:tc>
          <w:tcPr>
            <w:tcW w:w="1155" w:type="dxa"/>
            <w:vAlign w:val="bottom"/>
          </w:tcPr>
          <w:p>
            <w:pPr>
              <w:jc w:val="right"/>
              <w:spacing w:after="0" w:line="149" w:lineRule="exact"/>
              <w:rPr>
                <w:sz w:val="20"/>
                <w:szCs w:val="20"/>
                <w:color w:val="auto"/>
              </w:rPr>
            </w:pPr>
            <w:r>
              <w:rPr>
                <w:rFonts w:ascii="Arial" w:cs="Arial" w:eastAsia="Arial" w:hAnsi="Arial"/>
                <w:sz w:val="14"/>
                <w:szCs w:val="14"/>
                <w:color w:val="auto"/>
              </w:rPr>
              <w:t>7,485</w:t>
            </w: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jc w:val="right"/>
              <w:spacing w:after="0" w:line="149" w:lineRule="exact"/>
              <w:rPr>
                <w:sz w:val="20"/>
                <w:szCs w:val="20"/>
                <w:color w:val="auto"/>
              </w:rPr>
            </w:pPr>
            <w:r>
              <w:rPr>
                <w:rFonts w:ascii="Arial" w:cs="Arial" w:eastAsia="Arial" w:hAnsi="Arial"/>
                <w:sz w:val="14"/>
                <w:szCs w:val="14"/>
                <w:color w:val="auto"/>
              </w:rPr>
              <w:t>7,829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Long-term investments in marketable securities</w:t>
            </w:r>
          </w:p>
        </w:tc>
        <w:tc>
          <w:tcPr>
            <w:tcW w:w="125" w:type="dxa"/>
            <w:vAlign w:val="bottom"/>
          </w:tcPr>
          <w:p>
            <w:pPr>
              <w:spacing w:after="0"/>
              <w:rPr>
                <w:sz w:val="12"/>
                <w:szCs w:val="12"/>
                <w:color w:val="auto"/>
              </w:rPr>
            </w:pPr>
          </w:p>
        </w:tc>
        <w:tc>
          <w:tcPr>
            <w:tcW w:w="1155" w:type="dxa"/>
            <w:vAlign w:val="bottom"/>
          </w:tcPr>
          <w:p>
            <w:pPr>
              <w:jc w:val="right"/>
              <w:spacing w:after="0" w:line="149" w:lineRule="exact"/>
              <w:rPr>
                <w:sz w:val="20"/>
                <w:szCs w:val="20"/>
                <w:color w:val="auto"/>
              </w:rPr>
            </w:pPr>
            <w:r>
              <w:rPr>
                <w:rFonts w:ascii="Arial" w:cs="Arial" w:eastAsia="Arial" w:hAnsi="Arial"/>
                <w:sz w:val="14"/>
                <w:szCs w:val="14"/>
                <w:color w:val="auto"/>
              </w:rPr>
              <w:t>3,974</w:t>
            </w: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jc w:val="right"/>
              <w:spacing w:after="0" w:line="149" w:lineRule="exact"/>
              <w:rPr>
                <w:sz w:val="20"/>
                <w:szCs w:val="20"/>
                <w:color w:val="auto"/>
              </w:rPr>
            </w:pPr>
            <w:r>
              <w:rPr>
                <w:rFonts w:ascii="Arial" w:cs="Arial" w:eastAsia="Arial" w:hAnsi="Arial"/>
                <w:sz w:val="14"/>
                <w:szCs w:val="14"/>
                <w:color w:val="auto"/>
              </w:rPr>
              <w:t>6,001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27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25"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67,182</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25" w:type="dxa"/>
            <w:vAlign w:val="bottom"/>
          </w:tcPr>
          <w:p>
            <w:pPr>
              <w:spacing w:after="0"/>
              <w:rPr>
                <w:sz w:val="12"/>
                <w:szCs w:val="12"/>
                <w:color w:val="auto"/>
              </w:rPr>
            </w:pPr>
          </w:p>
        </w:tc>
        <w:tc>
          <w:tcPr>
            <w:tcW w:w="1155"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25"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2,302</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25" w:type="dxa"/>
            <w:vAlign w:val="bottom"/>
          </w:tcPr>
          <w:p>
            <w:pPr>
              <w:spacing w:after="0"/>
              <w:rPr>
                <w:sz w:val="12"/>
                <w:szCs w:val="12"/>
                <w:color w:val="auto"/>
              </w:rPr>
            </w:pPr>
          </w:p>
        </w:tc>
        <w:tc>
          <w:tcPr>
            <w:tcW w:w="1155" w:type="dxa"/>
            <w:vAlign w:val="bottom"/>
          </w:tcPr>
          <w:p>
            <w:pPr>
              <w:jc w:val="right"/>
              <w:spacing w:after="0" w:line="149" w:lineRule="exact"/>
              <w:rPr>
                <w:sz w:val="20"/>
                <w:szCs w:val="20"/>
                <w:color w:val="auto"/>
              </w:rPr>
            </w:pPr>
            <w:r>
              <w:rPr>
                <w:rFonts w:ascii="Arial" w:cs="Arial" w:eastAsia="Arial" w:hAnsi="Arial"/>
                <w:sz w:val="14"/>
                <w:szCs w:val="14"/>
                <w:color w:val="auto"/>
              </w:rPr>
              <w:t>3,876</w:t>
            </w: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jc w:val="right"/>
              <w:spacing w:after="0" w:line="149" w:lineRule="exact"/>
              <w:rPr>
                <w:sz w:val="20"/>
                <w:szCs w:val="20"/>
                <w:color w:val="auto"/>
              </w:rPr>
            </w:pPr>
            <w:r>
              <w:rPr>
                <w:rFonts w:ascii="Arial" w:cs="Arial" w:eastAsia="Arial" w:hAnsi="Arial"/>
                <w:sz w:val="14"/>
                <w:szCs w:val="14"/>
                <w:color w:val="auto"/>
              </w:rPr>
              <w:t>3,410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25" w:type="dxa"/>
            <w:vAlign w:val="bottom"/>
          </w:tcPr>
          <w:p>
            <w:pPr>
              <w:spacing w:after="0"/>
              <w:rPr>
                <w:sz w:val="12"/>
                <w:szCs w:val="12"/>
                <w:color w:val="auto"/>
              </w:rPr>
            </w:pPr>
          </w:p>
        </w:tc>
        <w:tc>
          <w:tcPr>
            <w:tcW w:w="1155"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125" w:type="dxa"/>
            <w:vAlign w:val="bottom"/>
          </w:tcPr>
          <w:p>
            <w:pPr>
              <w:spacing w:after="0"/>
              <w:rPr>
                <w:sz w:val="12"/>
                <w:szCs w:val="12"/>
                <w:color w:val="auto"/>
              </w:rPr>
            </w:pPr>
          </w:p>
        </w:tc>
        <w:tc>
          <w:tcPr>
            <w:tcW w:w="1335"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30" w:type="dxa"/>
            <w:vAlign w:val="bottom"/>
          </w:tcPr>
          <w:p>
            <w:pPr>
              <w:spacing w:after="0"/>
              <w:rPr>
                <w:sz w:val="12"/>
                <w:szCs w:val="12"/>
                <w:color w:val="auto"/>
              </w:rPr>
            </w:pPr>
          </w:p>
        </w:tc>
        <w:tc>
          <w:tcPr>
            <w:tcW w:w="127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234,647</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125" w:type="dxa"/>
            <w:vAlign w:val="bottom"/>
          </w:tcPr>
          <w:p>
            <w:pPr>
              <w:spacing w:after="0"/>
              <w:rPr>
                <w:sz w:val="12"/>
                <w:szCs w:val="12"/>
                <w:color w:val="auto"/>
              </w:rPr>
            </w:pPr>
          </w:p>
        </w:tc>
        <w:tc>
          <w:tcPr>
            <w:tcW w:w="1335"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(173,917)</w:t>
            </w:r>
          </w:p>
        </w:tc>
        <w:tc>
          <w:tcPr>
            <w:tcW w:w="130" w:type="dxa"/>
            <w:vAlign w:val="bottom"/>
          </w:tcPr>
          <w:p>
            <w:pPr>
              <w:spacing w:after="0"/>
              <w:rPr>
                <w:sz w:val="12"/>
                <w:szCs w:val="12"/>
                <w:color w:val="auto"/>
              </w:rPr>
            </w:pPr>
          </w:p>
        </w:tc>
        <w:tc>
          <w:tcPr>
            <w:tcW w:w="127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accumulated comprehensive income</w:t>
            </w:r>
          </w:p>
        </w:tc>
        <w:tc>
          <w:tcPr>
            <w:tcW w:w="125" w:type="dxa"/>
            <w:vAlign w:val="bottom"/>
            <w:shd w:val="clear" w:color="auto" w:fill="CCEEFF"/>
          </w:tcPr>
          <w:p>
            <w:pPr>
              <w:spacing w:after="0"/>
              <w:rPr>
                <w:sz w:val="12"/>
                <w:szCs w:val="12"/>
                <w:color w:val="auto"/>
              </w:rPr>
            </w:pPr>
          </w:p>
        </w:tc>
        <w:tc>
          <w:tcPr>
            <w:tcW w:w="1335"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130" w:type="dxa"/>
            <w:vAlign w:val="bottom"/>
            <w:shd w:val="clear" w:color="auto" w:fill="CCEEFF"/>
          </w:tcPr>
          <w:p>
            <w:pPr>
              <w:spacing w:after="0"/>
              <w:rPr>
                <w:sz w:val="12"/>
                <w:szCs w:val="12"/>
                <w:color w:val="auto"/>
              </w:rPr>
            </w:pPr>
          </w:p>
        </w:tc>
        <w:tc>
          <w:tcPr>
            <w:tcW w:w="127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25" w:type="dxa"/>
            <w:vAlign w:val="bottom"/>
            <w:shd w:val="clear" w:color="auto" w:fill="CCEEFF"/>
          </w:tcPr>
          <w:p>
            <w:pPr>
              <w:spacing w:after="0"/>
              <w:rPr>
                <w:sz w:val="12"/>
                <w:szCs w:val="12"/>
                <w:color w:val="auto"/>
              </w:rPr>
            </w:pP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60,687</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25"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155"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67,182</w:t>
            </w:r>
          </w:p>
        </w:tc>
        <w:tc>
          <w:tcPr>
            <w:tcW w:w="18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-1950085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-1950085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-1950085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-1950085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-1950085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-1950085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2019-12-14T17:58:53Z</dcterms:created>
  <dcterms:modified xsi:type="dcterms:W3CDTF">2019-12-14T17:58:53Z</dcterms:modified>
</cp:coreProperties>
</file>