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560" w:type="dxa"/>
            <w:vAlign w:val="bottom"/>
            <w:gridSpan w:val="8"/>
          </w:tcPr>
          <w:p>
            <w:pPr>
              <w:spacing w:after="0"/>
              <w:rPr>
                <w:sz w:val="20"/>
                <w:szCs w:val="20"/>
                <w:color w:val="auto"/>
              </w:rPr>
            </w:pPr>
            <w:r>
              <w:rPr>
                <w:rFonts w:ascii="Arial" w:cs="Arial" w:eastAsia="Arial" w:hAnsi="Arial"/>
                <w:sz w:val="22"/>
                <w:szCs w:val="22"/>
                <w:color w:val="auto"/>
              </w:rPr>
              <w:t>SEC Form 5</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24"/>
                <w:szCs w:val="24"/>
                <w:b w:val="1"/>
                <w:bCs w:val="1"/>
                <w:color w:val="auto"/>
              </w:rPr>
              <w:t>FORM 5</w:t>
            </w:r>
          </w:p>
        </w:tc>
        <w:tc>
          <w:tcPr>
            <w:tcW w:w="6420" w:type="dxa"/>
            <w:vAlign w:val="bottom"/>
            <w:gridSpan w:val="21"/>
          </w:tcPr>
          <w:p>
            <w:pPr>
              <w:jc w:val="center"/>
              <w:ind w:right="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6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6"/>
            <w:vMerge w:val="restart"/>
          </w:tcPr>
          <w:p>
            <w:pPr>
              <w:jc w:val="center"/>
              <w:ind w:right="242"/>
              <w:spacing w:after="0" w:line="143" w:lineRule="exact"/>
              <w:rPr>
                <w:sz w:val="20"/>
                <w:szCs w:val="20"/>
                <w:color w:val="auto"/>
              </w:rPr>
            </w:pPr>
            <w:r>
              <w:rPr>
                <w:rFonts w:ascii="Arial" w:cs="Arial" w:eastAsia="Arial" w:hAnsi="Arial"/>
                <w:sz w:val="14"/>
                <w:szCs w:val="14"/>
                <w:color w:val="auto"/>
                <w:w w:val="95"/>
              </w:rPr>
              <w:t>Washington, D.C. 20549</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gridSpan w:val="9"/>
            <w:vMerge w:val="restart"/>
          </w:tcPr>
          <w:p>
            <w:pPr>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4"/>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420" w:type="dxa"/>
            <w:vAlign w:val="bottom"/>
            <w:gridSpan w:val="21"/>
            <w:vMerge w:val="restart"/>
          </w:tcPr>
          <w:p>
            <w:pPr>
              <w:jc w:val="center"/>
              <w:ind w:right="9"/>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6420" w:type="dxa"/>
            <w:vAlign w:val="bottom"/>
            <w:gridSpan w:val="21"/>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84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20" w:type="dxa"/>
            <w:vAlign w:val="bottom"/>
            <w:gridSpan w:val="21"/>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vMerge w:val="continue"/>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6"/>
            <w:vMerge w:val="restart"/>
          </w:tcPr>
          <w:p>
            <w:pPr>
              <w:jc w:val="center"/>
              <w:ind w:right="242"/>
              <w:spacing w:after="0"/>
              <w:rPr>
                <w:sz w:val="20"/>
                <w:szCs w:val="20"/>
                <w:color w:val="auto"/>
              </w:rPr>
            </w:pPr>
            <w:r>
              <w:rPr>
                <w:rFonts w:ascii="Arial" w:cs="Arial" w:eastAsia="Arial" w:hAnsi="Arial"/>
                <w:sz w:val="22"/>
                <w:szCs w:val="22"/>
                <w:b w:val="1"/>
                <w:bCs w:val="1"/>
                <w:color w:val="auto"/>
                <w:w w:val="98"/>
              </w:rPr>
              <w:t>OWNERSHIP</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2"/>
                <w:szCs w:val="12"/>
                <w:color w:val="auto"/>
              </w:rPr>
              <w:t>Estimated average burden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3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gridSpan w:val="4"/>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80" w:type="dxa"/>
            <w:vAlign w:val="bottom"/>
            <w:gridSpan w:val="18"/>
            <w:vMerge w:val="restart"/>
          </w:tcPr>
          <w:p>
            <w:pPr>
              <w:jc w:val="center"/>
              <w:ind w:left="583"/>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80" w:type="dxa"/>
            <w:vAlign w:val="bottom"/>
            <w:gridSpan w:val="18"/>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7"/>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80" w:type="dxa"/>
            <w:vAlign w:val="bottom"/>
            <w:gridSpan w:val="18"/>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1"/>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21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5"/>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040" w:type="dxa"/>
            <w:vAlign w:val="bottom"/>
            <w:tcBorders>
              <w:bottom w:val="single" w:sz="8" w:color="2C2C2C"/>
            </w:tcBorders>
            <w:gridSpan w:val="11"/>
          </w:tcPr>
          <w:p>
            <w:pPr>
              <w:spacing w:after="0"/>
              <w:rPr>
                <w:sz w:val="6"/>
                <w:szCs w:val="6"/>
                <w:color w:val="auto"/>
              </w:rPr>
            </w:pPr>
          </w:p>
        </w:tc>
        <w:tc>
          <w:tcPr>
            <w:tcW w:w="10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8"/>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1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gridSpan w:val="5"/>
            <w:vMerge w:val="restart"/>
          </w:tcPr>
          <w:p>
            <w:pPr>
              <w:spacing w:after="0" w:line="250" w:lineRule="exact"/>
              <w:rPr>
                <w:rFonts w:ascii="Arial" w:cs="Arial" w:eastAsia="Arial" w:hAnsi="Arial"/>
                <w:sz w:val="22"/>
                <w:szCs w:val="22"/>
                <w:color w:val="0000EE"/>
                <w:w w:val="86"/>
              </w:rPr>
            </w:pPr>
            <w:hyperlink r:id="rId8">
              <w:r>
                <w:rPr>
                  <w:rFonts w:ascii="Arial" w:cs="Arial" w:eastAsia="Arial" w:hAnsi="Arial"/>
                  <w:sz w:val="22"/>
                  <w:szCs w:val="22"/>
                  <w:color w:val="0000EE"/>
                  <w:w w:val="86"/>
                </w:rPr>
                <w:t>Rubin Jason Peter</w:t>
              </w:r>
            </w:hyperlink>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8"/>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gridSpan w:val="8"/>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tcBorders>
              <w:bottom w:val="single" w:sz="8" w:color="0000EE"/>
            </w:tcBorders>
            <w:gridSpan w:val="5"/>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gridSpan w:val="5"/>
          </w:tcPr>
          <w:p>
            <w:pPr>
              <w:spacing w:after="0"/>
              <w:rPr>
                <w:sz w:val="4"/>
                <w:szCs w:val="4"/>
                <w:color w:val="auto"/>
              </w:rPr>
            </w:pPr>
          </w:p>
        </w:tc>
        <w:tc>
          <w:tcPr>
            <w:tcW w:w="94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4"/>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300" w:type="dxa"/>
            <w:vAlign w:val="bottom"/>
          </w:tcPr>
          <w:p>
            <w:pPr>
              <w:spacing w:after="0"/>
              <w:rPr>
                <w:sz w:val="12"/>
                <w:szCs w:val="1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660" w:type="dxa"/>
            <w:vAlign w:val="bottom"/>
            <w:vMerge w:val="restart"/>
          </w:tcPr>
          <w:p>
            <w:pPr>
              <w:ind w:left="200"/>
              <w:spacing w:after="0" w:line="135" w:lineRule="exact"/>
              <w:rPr>
                <w:sz w:val="20"/>
                <w:szCs w:val="20"/>
                <w:color w:val="auto"/>
              </w:rPr>
            </w:pPr>
            <w:r>
              <w:rPr>
                <w:rFonts w:ascii="Arial" w:cs="Arial" w:eastAsia="Arial" w:hAnsi="Arial"/>
                <w:sz w:val="14"/>
                <w:szCs w:val="14"/>
                <w:color w:val="auto"/>
              </w:rPr>
              <w:t>below)</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(Last)</w:t>
            </w:r>
          </w:p>
        </w:tc>
        <w:tc>
          <w:tcPr>
            <w:tcW w:w="1860" w:type="dxa"/>
            <w:vAlign w:val="bottom"/>
            <w:gridSpan w:val="3"/>
            <w:vMerge w:val="restart"/>
          </w:tcPr>
          <w:p>
            <w:pPr>
              <w:ind w:left="620"/>
              <w:spacing w:after="0" w:line="149" w:lineRule="exact"/>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(Middle)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40" w:type="dxa"/>
            <w:vAlign w:val="bottom"/>
            <w:gridSpan w:val="14"/>
            <w:vMerge w:val="restart"/>
          </w:tcPr>
          <w:p>
            <w:pPr>
              <w:spacing w:after="0" w:line="149" w:lineRule="exact"/>
              <w:rPr>
                <w:sz w:val="20"/>
                <w:szCs w:val="20"/>
                <w:color w:val="auto"/>
              </w:rPr>
            </w:pPr>
            <w:r>
              <w:rPr>
                <w:rFonts w:ascii="Arial" w:cs="Arial" w:eastAsia="Arial" w:hAnsi="Arial"/>
                <w:sz w:val="14"/>
                <w:szCs w:val="14"/>
                <w:color w:val="auto"/>
              </w:rPr>
              <w:t>3. Statement for Issuer's Fiscal Year Ended (Month/Day/Year)</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40" w:type="dxa"/>
            <w:vAlign w:val="bottom"/>
            <w:gridSpan w:val="1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80" w:type="dxa"/>
            <w:vAlign w:val="bottom"/>
            <w:gridSpan w:val="6"/>
            <w:vMerge w:val="restart"/>
          </w:tcPr>
          <w:p>
            <w:pPr>
              <w:ind w:left="540"/>
              <w:spacing w:after="0"/>
              <w:rPr>
                <w:sz w:val="20"/>
                <w:szCs w:val="20"/>
                <w:color w:val="auto"/>
              </w:rPr>
            </w:pPr>
            <w:r>
              <w:rPr>
                <w:rFonts w:ascii="Arial" w:cs="Arial" w:eastAsia="Arial" w:hAnsi="Arial"/>
                <w:sz w:val="18"/>
                <w:szCs w:val="18"/>
                <w:color w:val="0000FF"/>
                <w:w w:val="93"/>
              </w:rPr>
              <w:t>VP of Manufacturing</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vMerge w:val="restart"/>
          </w:tcPr>
          <w:p>
            <w:pPr>
              <w:spacing w:after="0"/>
              <w:rPr>
                <w:sz w:val="20"/>
                <w:szCs w:val="20"/>
                <w:color w:val="auto"/>
              </w:rPr>
            </w:pPr>
            <w:r>
              <w:rPr>
                <w:rFonts w:ascii="Arial" w:cs="Arial" w:eastAsia="Arial" w:hAnsi="Arial"/>
                <w:sz w:val="18"/>
                <w:szCs w:val="18"/>
                <w:color w:val="0000FF"/>
              </w:rPr>
              <w:t>C/O ACTIVE POWER, INC.</w:t>
            </w:r>
          </w:p>
        </w:tc>
        <w:tc>
          <w:tcPr>
            <w:tcW w:w="1220" w:type="dxa"/>
            <w:vAlign w:val="bottom"/>
          </w:tcPr>
          <w:p>
            <w:pPr>
              <w:spacing w:after="0"/>
              <w:rPr>
                <w:sz w:val="19"/>
                <w:szCs w:val="19"/>
                <w:color w:val="auto"/>
              </w:rPr>
            </w:pPr>
          </w:p>
        </w:tc>
        <w:tc>
          <w:tcPr>
            <w:tcW w:w="1120" w:type="dxa"/>
            <w:vAlign w:val="bottom"/>
            <w:gridSpan w:val="5"/>
          </w:tcPr>
          <w:p>
            <w:pPr>
              <w:ind w:left="220"/>
              <w:spacing w:after="0"/>
              <w:rPr>
                <w:sz w:val="20"/>
                <w:szCs w:val="20"/>
                <w:color w:val="auto"/>
              </w:rPr>
            </w:pPr>
            <w:r>
              <w:rPr>
                <w:rFonts w:ascii="Arial" w:cs="Arial" w:eastAsia="Arial" w:hAnsi="Arial"/>
                <w:sz w:val="18"/>
                <w:szCs w:val="18"/>
                <w:color w:val="0000FF"/>
                <w:w w:val="97"/>
              </w:rPr>
              <w:t>12/31/2012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80" w:type="dxa"/>
            <w:vAlign w:val="bottom"/>
            <w:gridSpan w:val="6"/>
            <w:vMerge w:val="continue"/>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tcPr>
          <w:p>
            <w:pPr>
              <w:spacing w:after="0" w:line="198" w:lineRule="exact"/>
              <w:rPr>
                <w:sz w:val="20"/>
                <w:szCs w:val="20"/>
                <w:color w:val="auto"/>
              </w:rPr>
            </w:pPr>
            <w:r>
              <w:rPr>
                <w:rFonts w:ascii="Arial" w:cs="Arial" w:eastAsia="Arial" w:hAnsi="Arial"/>
                <w:sz w:val="18"/>
                <w:szCs w:val="18"/>
                <w:color w:val="0000FF"/>
                <w:w w:val="99"/>
              </w:rPr>
              <w:t>2128 W. BRAKER LANE, BK12</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11"/>
          </w:tcPr>
          <w:p>
            <w:pPr>
              <w:jc w:val="center"/>
              <w:ind w:right="39"/>
              <w:spacing w:after="0" w:line="155" w:lineRule="exact"/>
              <w:rPr>
                <w:sz w:val="20"/>
                <w:szCs w:val="20"/>
                <w:color w:val="auto"/>
              </w:rPr>
            </w:pPr>
            <w:r>
              <w:rPr>
                <w:rFonts w:ascii="Arial" w:cs="Arial" w:eastAsia="Arial" w:hAnsi="Arial"/>
                <w:sz w:val="14"/>
                <w:szCs w:val="14"/>
                <w:color w:val="auto"/>
                <w:w w:val="95"/>
              </w:rPr>
              <w:t>4. If Amendment, Date of Original Filed (Month/Day/Year)</w:t>
            </w:r>
          </w:p>
        </w:tc>
        <w:tc>
          <w:tcPr>
            <w:tcW w:w="380" w:type="dxa"/>
            <w:vAlign w:val="bottom"/>
          </w:tcPr>
          <w:p>
            <w:pPr>
              <w:spacing w:after="0"/>
              <w:rPr>
                <w:sz w:val="15"/>
                <w:szCs w:val="15"/>
                <w:color w:val="auto"/>
              </w:rPr>
            </w:pPr>
          </w:p>
        </w:tc>
        <w:tc>
          <w:tcPr>
            <w:tcW w:w="3540" w:type="dxa"/>
            <w:vAlign w:val="bottom"/>
            <w:gridSpan w:val="1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2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8"/>
                <w:szCs w:val="18"/>
                <w:color w:val="0000FF"/>
                <w:w w:val="96"/>
              </w:rPr>
              <w:t>AUSTIN</w:t>
            </w:r>
          </w:p>
        </w:tc>
        <w:tc>
          <w:tcPr>
            <w:tcW w:w="1860" w:type="dxa"/>
            <w:vAlign w:val="bottom"/>
            <w:gridSpan w:val="3"/>
            <w:vMerge w:val="restart"/>
          </w:tcPr>
          <w:p>
            <w:pPr>
              <w:ind w:left="620"/>
              <w:spacing w:after="0"/>
              <w:rPr>
                <w:sz w:val="20"/>
                <w:szCs w:val="20"/>
                <w:color w:val="auto"/>
              </w:rPr>
            </w:pPr>
            <w:r>
              <w:rPr>
                <w:rFonts w:ascii="Arial" w:cs="Arial" w:eastAsia="Arial" w:hAnsi="Arial"/>
                <w:sz w:val="18"/>
                <w:szCs w:val="18"/>
                <w:color w:val="0000FF"/>
              </w:rPr>
              <w:t>TX</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20" w:type="dxa"/>
            <w:vAlign w:val="bottom"/>
            <w:gridSpan w:val="10"/>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20" w:type="dxa"/>
            <w:vAlign w:val="bottom"/>
            <w:gridSpan w:val="13"/>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4"/>
                <w:szCs w:val="14"/>
                <w:color w:val="auto"/>
                <w:w w:val="94"/>
              </w:rPr>
              <w:t>Person</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vMerge w:val="restart"/>
          </w:tcPr>
          <w:p>
            <w:pPr>
              <w:ind w:left="62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22"/>
          </w:tcPr>
          <w:p>
            <w:pPr>
              <w:ind w:left="6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7"/>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1040" w:type="dxa"/>
            <w:vAlign w:val="bottom"/>
            <w:gridSpan w:val="7"/>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40" w:type="dxa"/>
            <w:vAlign w:val="bottom"/>
            <w:gridSpan w:val="7"/>
          </w:tcPr>
          <w:p>
            <w:pPr>
              <w:ind w:left="2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jc w:val="center"/>
              <w:ind w:left="4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7"/>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7"/>
            <w:vMerge w:val="restart"/>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7"/>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9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750</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2,384</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198</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3.85</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2,186</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line="324" w:lineRule="exact"/>
              <w:rPr>
                <w:sz w:val="20"/>
                <w:szCs w:val="20"/>
                <w:color w:val="auto"/>
              </w:rPr>
            </w:pPr>
            <w:r>
              <w:rPr>
                <w:rFonts w:ascii="Arial" w:cs="Arial" w:eastAsia="Arial" w:hAnsi="Arial"/>
                <w:sz w:val="35"/>
                <w:szCs w:val="35"/>
                <w:color w:val="0000FF"/>
                <w:vertAlign w:val="subscript"/>
              </w:rPr>
              <w:t>750</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2,936</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198</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4.2</w:t>
            </w:r>
            <w:r>
              <w:rPr>
                <w:rFonts w:ascii="Arial" w:cs="Arial" w:eastAsia="Arial" w:hAnsi="Arial"/>
                <w:sz w:val="22"/>
                <w:szCs w:val="22"/>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2,738</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750</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3,488</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198</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w:t>
            </w:r>
            <w:r>
              <w:rPr>
                <w:rFonts w:ascii="Arial" w:cs="Arial" w:eastAsia="Arial" w:hAnsi="Arial"/>
                <w:sz w:val="11"/>
                <w:szCs w:val="11"/>
                <w:color w:val="008000"/>
                <w:w w:val="76"/>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3,290</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2"/>
          </w:tcPr>
          <w:p>
            <w:pPr>
              <w:ind w:left="9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80" w:type="dxa"/>
            <w:vAlign w:val="bottom"/>
            <w:gridSpan w:val="18"/>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5"/>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jc w:val="center"/>
              <w:ind w:right="89"/>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jc w:val="center"/>
              <w:ind w:right="89"/>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jc w:val="right"/>
              <w:ind w:right="8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Date</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1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282"/>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750</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750</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jc w:val="center"/>
              <w:spacing w:after="0"/>
              <w:rPr>
                <w:sz w:val="20"/>
                <w:szCs w:val="20"/>
                <w:color w:val="auto"/>
              </w:rPr>
            </w:pPr>
            <w:r>
              <w:rPr>
                <w:rFonts w:ascii="Arial" w:cs="Arial" w:eastAsia="Arial" w:hAnsi="Arial"/>
                <w:sz w:val="14"/>
                <w:szCs w:val="14"/>
                <w:color w:val="0000FF"/>
                <w:w w:val="82"/>
              </w:rPr>
              <w:t>11,250</w:t>
            </w:r>
            <w:r>
              <w:rPr>
                <w:rFonts w:ascii="Arial" w:cs="Arial" w:eastAsia="Arial" w:hAnsi="Arial"/>
                <w:sz w:val="22"/>
                <w:szCs w:val="22"/>
                <w:color w:val="008000"/>
                <w:w w:val="82"/>
                <w:vertAlign w:val="superscript"/>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05/17/2012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27"/>
                <w:szCs w:val="27"/>
                <w:color w:val="0000FF"/>
                <w:vertAlign w:val="subscript"/>
              </w:rPr>
              <w:t>750</w:t>
            </w:r>
            <w:r>
              <w:rPr>
                <w:rFonts w:ascii="Arial" w:cs="Arial" w:eastAsia="Arial" w:hAnsi="Arial"/>
                <w:sz w:val="11"/>
                <w:szCs w:val="11"/>
                <w:color w:val="008000"/>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27"/>
                <w:szCs w:val="27"/>
                <w:color w:val="0000FF"/>
                <w:vertAlign w:val="subscript"/>
              </w:rPr>
              <w:t>750</w:t>
            </w: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jc w:val="center"/>
              <w:spacing w:after="0"/>
              <w:rPr>
                <w:sz w:val="20"/>
                <w:szCs w:val="20"/>
                <w:color w:val="auto"/>
              </w:rPr>
            </w:pPr>
            <w:r>
              <w:rPr>
                <w:rFonts w:ascii="Arial" w:cs="Arial" w:eastAsia="Arial" w:hAnsi="Arial"/>
                <w:sz w:val="14"/>
                <w:szCs w:val="14"/>
                <w:color w:val="0000FF"/>
                <w:w w:val="82"/>
              </w:rPr>
              <w:t>10,500</w:t>
            </w:r>
            <w:r>
              <w:rPr>
                <w:rFonts w:ascii="Arial" w:cs="Arial" w:eastAsia="Arial" w:hAnsi="Arial"/>
                <w:sz w:val="22"/>
                <w:szCs w:val="22"/>
                <w:color w:val="008000"/>
                <w:w w:val="82"/>
                <w:vertAlign w:val="superscript"/>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08/17/2012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750</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750</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jc w:val="center"/>
              <w:spacing w:after="0"/>
              <w:rPr>
                <w:sz w:val="20"/>
                <w:szCs w:val="20"/>
                <w:color w:val="auto"/>
              </w:rPr>
            </w:pPr>
            <w:r>
              <w:rPr>
                <w:rFonts w:ascii="Arial" w:cs="Arial" w:eastAsia="Arial" w:hAnsi="Arial"/>
                <w:sz w:val="14"/>
                <w:szCs w:val="14"/>
                <w:color w:val="0000FF"/>
                <w:w w:val="83"/>
              </w:rPr>
              <w:t>9,750</w:t>
            </w:r>
            <w:r>
              <w:rPr>
                <w:rFonts w:ascii="Arial" w:cs="Arial" w:eastAsia="Arial" w:hAnsi="Arial"/>
                <w:sz w:val="22"/>
                <w:szCs w:val="22"/>
                <w:color w:val="008000"/>
                <w:w w:val="83"/>
                <w:vertAlign w:val="superscript"/>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11/17/2012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-7910195</wp:posOffset>
            </wp:positionV>
            <wp:extent cx="7322820" cy="79667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2820" cy="79667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upon the vesting of restricted stock units.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amounts included herein have been adjusted to reflect the reverse stock split of Active Power Inc.'s outstanding Common Stock at a reverse split ratio of five-for-one effective as of 5:00 p.m. EST on December 21,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With continued service, the restricted stock units, representing a right to receive a total of 12,000 shares, vest in a series of sixteen equal quarterly installments upon the completion of each quarter beginning in 5/17/2012. Vested shares are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0000FF"/>
                <w:w w:val="85"/>
              </w:rPr>
              <w:t>Jason Peter Rubin</w:t>
            </w:r>
          </w:p>
        </w:tc>
        <w:tc>
          <w:tcPr>
            <w:tcW w:w="8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02/14/2013</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77277" TargetMode="External"/><Relationship Id="rId9"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2019-12-17T04:48:58Z</dcterms:created>
  <dcterms:modified xsi:type="dcterms:W3CDTF">2019-12-17T04:48:58Z</dcterms:modified>
</cp:coreProperties>
</file>