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3"/>
        </w:trPr>
        <w:tc>
          <w:tcPr>
            <w:tcW w:w="2380" w:type="dxa"/>
            <w:vAlign w:val="bottom"/>
          </w:tcPr>
          <w:p>
            <w:pPr>
              <w:spacing w:after="0"/>
              <w:rPr>
                <w:sz w:val="20"/>
                <w:szCs w:val="20"/>
                <w:color w:val="auto"/>
              </w:rPr>
            </w:pPr>
            <w:r>
              <w:rPr>
                <w:rFonts w:ascii="Arial" w:cs="Arial" w:eastAsia="Arial" w:hAnsi="Arial"/>
                <w:sz w:val="18"/>
                <w:szCs w:val="18"/>
                <w:i w:val="1"/>
                <w:iCs w:val="1"/>
                <w:color w:val="auto"/>
              </w:rPr>
              <w:t>(Check One):</w:t>
            </w:r>
          </w:p>
        </w:tc>
        <w:tc>
          <w:tcPr>
            <w:tcW w:w="5680" w:type="dxa"/>
            <w:vAlign w:val="bottom"/>
          </w:tcPr>
          <w:p>
            <w:pPr>
              <w:jc w:val="center"/>
              <w:ind w:left="901"/>
              <w:spacing w:after="0"/>
              <w:rPr>
                <w:sz w:val="20"/>
                <w:szCs w:val="20"/>
                <w:color w:val="auto"/>
              </w:rPr>
            </w:pPr>
            <w:r>
              <w:rPr>
                <w:rFonts w:ascii="Arial" w:cs="Arial" w:eastAsia="Arial" w:hAnsi="Arial"/>
                <w:sz w:val="22"/>
                <w:szCs w:val="22"/>
                <w:b w:val="1"/>
                <w:bCs w:val="1"/>
                <w:color w:val="auto"/>
                <w:w w:val="97"/>
              </w:rPr>
              <w:t>UNITED STATES</w:t>
            </w:r>
          </w:p>
        </w:tc>
        <w:tc>
          <w:tcPr>
            <w:tcW w:w="0" w:type="dxa"/>
            <w:vAlign w:val="bottom"/>
          </w:tcPr>
          <w:p>
            <w:pPr>
              <w:spacing w:after="0"/>
              <w:rPr>
                <w:sz w:val="1"/>
                <w:szCs w:val="1"/>
                <w:color w:val="auto"/>
              </w:rPr>
            </w:pPr>
          </w:p>
        </w:tc>
      </w:tr>
      <w:tr>
        <w:trPr>
          <w:trHeight w:val="270"/>
        </w:trPr>
        <w:tc>
          <w:tcPr>
            <w:tcW w:w="2380" w:type="dxa"/>
            <w:vAlign w:val="bottom"/>
          </w:tcPr>
          <w:p>
            <w:pPr>
              <w:ind w:left="260"/>
              <w:spacing w:after="0" w:line="270" w:lineRule="exact"/>
              <w:rPr>
                <w:sz w:val="20"/>
                <w:szCs w:val="20"/>
                <w:color w:val="auto"/>
              </w:rPr>
            </w:pPr>
            <w:r>
              <w:rPr>
                <w:rFonts w:ascii="MS PGothic" w:cs="MS PGothic" w:eastAsia="MS PGothic" w:hAnsi="MS PGothic"/>
                <w:sz w:val="24"/>
                <w:szCs w:val="24"/>
                <w:color w:val="auto"/>
              </w:rPr>
              <w:t>☐</w:t>
            </w:r>
            <w:r>
              <w:rPr>
                <w:rFonts w:ascii="Arial" w:cs="Arial" w:eastAsia="Arial" w:hAnsi="Arial"/>
                <w:sz w:val="18"/>
                <w:szCs w:val="18"/>
                <w:color w:val="auto"/>
              </w:rPr>
              <w:t xml:space="preserve"> Form 10-K</w:t>
            </w:r>
          </w:p>
        </w:tc>
        <w:tc>
          <w:tcPr>
            <w:tcW w:w="5680" w:type="dxa"/>
            <w:vAlign w:val="bottom"/>
          </w:tcPr>
          <w:p>
            <w:pPr>
              <w:jc w:val="center"/>
              <w:ind w:left="901"/>
              <w:spacing w:after="0"/>
              <w:rPr>
                <w:sz w:val="20"/>
                <w:szCs w:val="20"/>
                <w:color w:val="auto"/>
              </w:rPr>
            </w:pPr>
            <w:r>
              <w:rPr>
                <w:rFonts w:ascii="Arial" w:cs="Arial" w:eastAsia="Arial" w:hAnsi="Arial"/>
                <w:sz w:val="22"/>
                <w:szCs w:val="22"/>
                <w:b w:val="1"/>
                <w:bCs w:val="1"/>
                <w:color w:val="auto"/>
                <w:w w:val="99"/>
              </w:rPr>
              <w:t>SECURITIES AND EXCHANGE COMMISSION</w:t>
            </w:r>
          </w:p>
        </w:tc>
        <w:tc>
          <w:tcPr>
            <w:tcW w:w="0" w:type="dxa"/>
            <w:vAlign w:val="bottom"/>
          </w:tcPr>
          <w:p>
            <w:pPr>
              <w:spacing w:after="0"/>
              <w:rPr>
                <w:sz w:val="1"/>
                <w:szCs w:val="1"/>
                <w:color w:val="auto"/>
              </w:rPr>
            </w:pPr>
          </w:p>
        </w:tc>
      </w:tr>
      <w:tr>
        <w:trPr>
          <w:trHeight w:val="298"/>
        </w:trPr>
        <w:tc>
          <w:tcPr>
            <w:tcW w:w="2380" w:type="dxa"/>
            <w:vAlign w:val="bottom"/>
          </w:tcPr>
          <w:p>
            <w:pPr>
              <w:ind w:left="260"/>
              <w:spacing w:after="0" w:line="276" w:lineRule="exact"/>
              <w:rPr>
                <w:sz w:val="20"/>
                <w:szCs w:val="20"/>
                <w:color w:val="auto"/>
              </w:rPr>
            </w:pPr>
            <w:r>
              <w:rPr>
                <w:rFonts w:ascii="MS PGothic" w:cs="MS PGothic" w:eastAsia="MS PGothic" w:hAnsi="MS PGothic"/>
                <w:sz w:val="24"/>
                <w:szCs w:val="24"/>
                <w:color w:val="auto"/>
              </w:rPr>
              <w:t>☐</w:t>
            </w:r>
            <w:r>
              <w:rPr>
                <w:rFonts w:ascii="Arial" w:cs="Arial" w:eastAsia="Arial" w:hAnsi="Arial"/>
                <w:sz w:val="18"/>
                <w:szCs w:val="18"/>
                <w:color w:val="auto"/>
              </w:rPr>
              <w:t xml:space="preserve"> Form 20-F</w:t>
            </w:r>
          </w:p>
        </w:tc>
        <w:tc>
          <w:tcPr>
            <w:tcW w:w="5680" w:type="dxa"/>
            <w:vAlign w:val="bottom"/>
          </w:tcPr>
          <w:p>
            <w:pPr>
              <w:jc w:val="center"/>
              <w:ind w:left="901"/>
              <w:spacing w:after="0"/>
              <w:rPr>
                <w:sz w:val="20"/>
                <w:szCs w:val="20"/>
                <w:color w:val="auto"/>
              </w:rPr>
            </w:pPr>
            <w:r>
              <w:rPr>
                <w:rFonts w:ascii="Arial" w:cs="Arial" w:eastAsia="Arial" w:hAnsi="Arial"/>
                <w:sz w:val="22"/>
                <w:szCs w:val="22"/>
                <w:b w:val="1"/>
                <w:bCs w:val="1"/>
                <w:color w:val="auto"/>
                <w:w w:val="88"/>
              </w:rPr>
              <w:t>Washington, D.C. 20549</w:t>
            </w:r>
          </w:p>
        </w:tc>
        <w:tc>
          <w:tcPr>
            <w:tcW w:w="0" w:type="dxa"/>
            <w:vAlign w:val="bottom"/>
          </w:tcPr>
          <w:p>
            <w:pPr>
              <w:spacing w:after="0"/>
              <w:rPr>
                <w:sz w:val="1"/>
                <w:szCs w:val="1"/>
                <w:color w:val="auto"/>
              </w:rPr>
            </w:pPr>
          </w:p>
        </w:tc>
      </w:tr>
      <w:tr>
        <w:trPr>
          <w:trHeight w:val="364"/>
        </w:trPr>
        <w:tc>
          <w:tcPr>
            <w:tcW w:w="2380" w:type="dxa"/>
            <w:vAlign w:val="bottom"/>
          </w:tcPr>
          <w:p>
            <w:pPr>
              <w:ind w:left="260"/>
              <w:spacing w:after="0" w:line="276" w:lineRule="exact"/>
              <w:rPr>
                <w:sz w:val="20"/>
                <w:szCs w:val="20"/>
                <w:color w:val="auto"/>
              </w:rPr>
            </w:pPr>
            <w:r>
              <w:rPr>
                <w:rFonts w:ascii="MS PGothic" w:cs="MS PGothic" w:eastAsia="MS PGothic" w:hAnsi="MS PGothic"/>
                <w:sz w:val="24"/>
                <w:szCs w:val="24"/>
                <w:color w:val="auto"/>
              </w:rPr>
              <w:t>☐</w:t>
            </w:r>
            <w:r>
              <w:rPr>
                <w:rFonts w:ascii="Arial" w:cs="Arial" w:eastAsia="Arial" w:hAnsi="Arial"/>
                <w:sz w:val="18"/>
                <w:szCs w:val="18"/>
                <w:color w:val="auto"/>
              </w:rPr>
              <w:t xml:space="preserve"> Form 11-K</w:t>
            </w:r>
          </w:p>
        </w:tc>
        <w:tc>
          <w:tcPr>
            <w:tcW w:w="5680" w:type="dxa"/>
            <w:vAlign w:val="bottom"/>
            <w:vMerge w:val="restart"/>
          </w:tcPr>
          <w:p>
            <w:pPr>
              <w:jc w:val="center"/>
              <w:ind w:left="901"/>
              <w:spacing w:after="0"/>
              <w:rPr>
                <w:sz w:val="20"/>
                <w:szCs w:val="20"/>
                <w:color w:val="auto"/>
              </w:rPr>
            </w:pPr>
            <w:r>
              <w:rPr>
                <w:rFonts w:ascii="Arial" w:cs="Arial" w:eastAsia="Arial" w:hAnsi="Arial"/>
                <w:sz w:val="32"/>
                <w:szCs w:val="32"/>
                <w:b w:val="1"/>
                <w:bCs w:val="1"/>
                <w:color w:val="auto"/>
                <w:w w:val="98"/>
              </w:rPr>
              <w:t>FORM 12b-25</w:t>
            </w:r>
          </w:p>
        </w:tc>
        <w:tc>
          <w:tcPr>
            <w:tcW w:w="0" w:type="dxa"/>
            <w:vAlign w:val="bottom"/>
          </w:tcPr>
          <w:p>
            <w:pPr>
              <w:spacing w:after="0"/>
              <w:rPr>
                <w:sz w:val="1"/>
                <w:szCs w:val="1"/>
                <w:color w:val="auto"/>
              </w:rPr>
            </w:pPr>
          </w:p>
        </w:tc>
      </w:tr>
      <w:tr>
        <w:trPr>
          <w:trHeight w:val="216"/>
        </w:trPr>
        <w:tc>
          <w:tcPr>
            <w:tcW w:w="2380" w:type="dxa"/>
            <w:vAlign w:val="bottom"/>
          </w:tcPr>
          <w:p>
            <w:pPr>
              <w:ind w:left="2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10-Q</w:t>
            </w:r>
          </w:p>
        </w:tc>
        <w:tc>
          <w:tcPr>
            <w:tcW w:w="5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2380" w:type="dxa"/>
            <w:vAlign w:val="bottom"/>
          </w:tcPr>
          <w:p>
            <w:pPr>
              <w:ind w:left="260"/>
              <w:spacing w:after="0" w:line="276" w:lineRule="exact"/>
              <w:rPr>
                <w:sz w:val="20"/>
                <w:szCs w:val="20"/>
                <w:color w:val="auto"/>
              </w:rPr>
            </w:pPr>
            <w:r>
              <w:rPr>
                <w:rFonts w:ascii="MS PGothic" w:cs="MS PGothic" w:eastAsia="MS PGothic" w:hAnsi="MS PGothic"/>
                <w:sz w:val="24"/>
                <w:szCs w:val="24"/>
                <w:color w:val="auto"/>
              </w:rPr>
              <w:t>☐</w:t>
            </w:r>
            <w:r>
              <w:rPr>
                <w:rFonts w:ascii="Arial" w:cs="Arial" w:eastAsia="Arial" w:hAnsi="Arial"/>
                <w:sz w:val="18"/>
                <w:szCs w:val="18"/>
                <w:color w:val="auto"/>
              </w:rPr>
              <w:t xml:space="preserve"> Form 10-D</w:t>
            </w:r>
          </w:p>
        </w:tc>
        <w:tc>
          <w:tcPr>
            <w:tcW w:w="5680" w:type="dxa"/>
            <w:vAlign w:val="bottom"/>
          </w:tcPr>
          <w:p>
            <w:pPr>
              <w:jc w:val="center"/>
              <w:ind w:left="901"/>
              <w:spacing w:after="0"/>
              <w:rPr>
                <w:sz w:val="20"/>
                <w:szCs w:val="20"/>
                <w:color w:val="auto"/>
              </w:rPr>
            </w:pPr>
            <w:r>
              <w:rPr>
                <w:rFonts w:ascii="Arial" w:cs="Arial" w:eastAsia="Arial" w:hAnsi="Arial"/>
                <w:sz w:val="22"/>
                <w:szCs w:val="22"/>
                <w:b w:val="1"/>
                <w:bCs w:val="1"/>
                <w:color w:val="auto"/>
              </w:rPr>
              <w:t>NOTIFICATION OF LATE FILING</w:t>
            </w: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0" w:hanging="309"/>
        <w:spacing w:after="0"/>
        <w:tabs>
          <w:tab w:leader="none" w:pos="560" w:val="left"/>
        </w:tabs>
        <w:numPr>
          <w:ilvl w:val="0"/>
          <w:numId w:val="1"/>
        </w:numPr>
        <w:rPr>
          <w:rFonts w:ascii="MS PGothic" w:cs="MS PGothic" w:eastAsia="MS PGothic" w:hAnsi="MS PGothic"/>
          <w:sz w:val="24"/>
          <w:szCs w:val="24"/>
          <w:color w:val="auto"/>
        </w:rPr>
      </w:pPr>
      <w:r>
        <w:rPr>
          <w:rFonts w:ascii="Arial" w:cs="Arial" w:eastAsia="Arial" w:hAnsi="Arial"/>
          <w:sz w:val="18"/>
          <w:szCs w:val="18"/>
          <w:color w:val="auto"/>
        </w:rPr>
        <w:t>Form N-SAR</w:t>
      </w:r>
    </w:p>
    <w:p>
      <w:pPr>
        <w:spacing w:after="0" w:line="52" w:lineRule="exact"/>
        <w:rPr>
          <w:rFonts w:ascii="MS PGothic" w:cs="MS PGothic" w:eastAsia="MS PGothic" w:hAnsi="MS PGothic"/>
          <w:sz w:val="24"/>
          <w:szCs w:val="24"/>
          <w:color w:val="auto"/>
        </w:rPr>
      </w:pPr>
    </w:p>
    <w:p>
      <w:pPr>
        <w:ind w:left="560" w:hanging="309"/>
        <w:spacing w:after="0"/>
        <w:tabs>
          <w:tab w:leader="none" w:pos="560" w:val="left"/>
        </w:tabs>
        <w:numPr>
          <w:ilvl w:val="0"/>
          <w:numId w:val="1"/>
        </w:numPr>
        <w:rPr>
          <w:rFonts w:ascii="MS PGothic" w:cs="MS PGothic" w:eastAsia="MS PGothic" w:hAnsi="MS PGothic"/>
          <w:sz w:val="24"/>
          <w:szCs w:val="24"/>
          <w:color w:val="auto"/>
        </w:rPr>
      </w:pPr>
      <w:r>
        <w:rPr>
          <w:rFonts w:ascii="Arial" w:cs="Arial" w:eastAsia="Arial" w:hAnsi="Arial"/>
          <w:sz w:val="18"/>
          <w:szCs w:val="18"/>
          <w:color w:val="auto"/>
        </w:rPr>
        <w:t>Form N-CSR</w:t>
      </w:r>
    </w:p>
    <w:p>
      <w:pPr>
        <w:spacing w:after="0" w:line="21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000-30939</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(Commission File Number)</w:t>
      </w:r>
    </w:p>
    <w:p>
      <w:pPr>
        <w:spacing w:after="0" w:line="191"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 xml:space="preserve">For Period Ended: </w:t>
      </w:r>
      <w:r>
        <w:rPr>
          <w:rFonts w:ascii="Arial" w:cs="Arial" w:eastAsia="Arial" w:hAnsi="Arial"/>
          <w:sz w:val="18"/>
          <w:szCs w:val="18"/>
          <w:b w:val="1"/>
          <w:bCs w:val="1"/>
          <w:color w:val="auto"/>
        </w:rPr>
        <w:t>March 31, 2007</w:t>
      </w:r>
    </w:p>
    <w:p>
      <w:pPr>
        <w:sectPr>
          <w:pgSz w:w="11900" w:h="16838" w:orient="portrait"/>
          <w:cols w:equalWidth="0" w:num="1">
            <w:col w:w="11240"/>
          </w:cols>
          <w:pgMar w:left="240" w:top="184" w:right="419" w:bottom="1440" w:gutter="0" w:footer="0" w:header="0"/>
        </w:sectPr>
      </w:pPr>
    </w:p>
    <w:p>
      <w:pPr>
        <w:spacing w:after="0" w:line="21" w:lineRule="exact"/>
        <w:rPr>
          <w:sz w:val="24"/>
          <w:szCs w:val="24"/>
          <w:color w:val="auto"/>
        </w:rPr>
      </w:pPr>
    </w:p>
    <w:p>
      <w:pPr>
        <w:ind w:left="3340"/>
        <w:spacing w:after="0" w:line="201" w:lineRule="exact"/>
        <w:rPr>
          <w:sz w:val="20"/>
          <w:szCs w:val="20"/>
          <w:color w:val="auto"/>
        </w:rPr>
      </w:pPr>
      <w:r>
        <w:rPr>
          <w:rFonts w:ascii="MS PGothic" w:cs="MS PGothic" w:eastAsia="MS PGothic" w:hAnsi="MS PGothic"/>
          <w:sz w:val="20"/>
          <w:szCs w:val="20"/>
          <w:color w:val="auto"/>
        </w:rPr>
        <w:t>☐</w:t>
      </w:r>
    </w:p>
    <w:p>
      <w:pPr>
        <w:spacing w:after="0" w:line="103" w:lineRule="exact"/>
        <w:rPr>
          <w:sz w:val="24"/>
          <w:szCs w:val="24"/>
          <w:color w:val="auto"/>
        </w:rPr>
      </w:pPr>
    </w:p>
    <w:p>
      <w:pPr>
        <w:ind w:left="3340"/>
        <w:spacing w:after="0" w:line="201" w:lineRule="exact"/>
        <w:rPr>
          <w:sz w:val="20"/>
          <w:szCs w:val="20"/>
          <w:color w:val="auto"/>
        </w:rPr>
      </w:pPr>
      <w:r>
        <w:rPr>
          <w:rFonts w:ascii="MS PGothic" w:cs="MS PGothic" w:eastAsia="MS PGothic" w:hAnsi="MS PGothic"/>
          <w:sz w:val="20"/>
          <w:szCs w:val="20"/>
          <w:color w:val="auto"/>
        </w:rPr>
        <w:t>☐</w:t>
      </w:r>
    </w:p>
    <w:p>
      <w:pPr>
        <w:spacing w:after="0" w:line="97" w:lineRule="exact"/>
        <w:rPr>
          <w:sz w:val="24"/>
          <w:szCs w:val="24"/>
          <w:color w:val="auto"/>
        </w:rPr>
      </w:pPr>
    </w:p>
    <w:p>
      <w:pPr>
        <w:ind w:left="3340"/>
        <w:spacing w:after="0" w:line="201" w:lineRule="exact"/>
        <w:rPr>
          <w:sz w:val="20"/>
          <w:szCs w:val="20"/>
          <w:color w:val="auto"/>
        </w:rPr>
      </w:pPr>
      <w:r>
        <w:rPr>
          <w:rFonts w:ascii="MS PGothic" w:cs="MS PGothic" w:eastAsia="MS PGothic" w:hAnsi="MS PGothic"/>
          <w:sz w:val="20"/>
          <w:szCs w:val="20"/>
          <w:color w:val="auto"/>
        </w:rPr>
        <w:t>☐</w:t>
      </w:r>
    </w:p>
    <w:p>
      <w:pPr>
        <w:spacing w:after="0" w:line="97" w:lineRule="exact"/>
        <w:rPr>
          <w:sz w:val="24"/>
          <w:szCs w:val="24"/>
          <w:color w:val="auto"/>
        </w:rPr>
      </w:pPr>
    </w:p>
    <w:p>
      <w:pPr>
        <w:ind w:left="3340"/>
        <w:spacing w:after="0" w:line="201" w:lineRule="exact"/>
        <w:rPr>
          <w:sz w:val="20"/>
          <w:szCs w:val="20"/>
          <w:color w:val="auto"/>
        </w:rPr>
      </w:pPr>
      <w:r>
        <w:rPr>
          <w:rFonts w:ascii="MS PGothic" w:cs="MS PGothic" w:eastAsia="MS PGothic" w:hAnsi="MS PGothic"/>
          <w:sz w:val="20"/>
          <w:szCs w:val="20"/>
          <w:color w:val="auto"/>
        </w:rPr>
        <w:t>☐</w:t>
      </w:r>
    </w:p>
    <w:p>
      <w:pPr>
        <w:spacing w:after="0" w:line="97" w:lineRule="exact"/>
        <w:rPr>
          <w:sz w:val="24"/>
          <w:szCs w:val="24"/>
          <w:color w:val="auto"/>
        </w:rPr>
      </w:pPr>
    </w:p>
    <w:p>
      <w:pPr>
        <w:ind w:left="3340"/>
        <w:spacing w:after="0" w:line="201" w:lineRule="exact"/>
        <w:rPr>
          <w:sz w:val="20"/>
          <w:szCs w:val="20"/>
          <w:color w:val="auto"/>
        </w:rPr>
      </w:pP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Transition Report on Form 10-K</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Transition Report on Form 20-F</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Transition Report on Form 11-K</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Transition Report on Form 10-Q</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Transition Report on Form N-SAR</w:t>
      </w:r>
    </w:p>
    <w:p>
      <w:pPr>
        <w:spacing w:after="0" w:line="200" w:lineRule="exact"/>
        <w:rPr>
          <w:sz w:val="24"/>
          <w:szCs w:val="24"/>
          <w:color w:val="auto"/>
        </w:rPr>
      </w:pPr>
    </w:p>
    <w:p>
      <w:pPr>
        <w:sectPr>
          <w:pgSz w:w="11900" w:h="16838" w:orient="portrait"/>
          <w:cols w:equalWidth="0" w:num="2">
            <w:col w:w="3540" w:space="100"/>
            <w:col w:w="7600"/>
          </w:cols>
          <w:pgMar w:left="240" w:top="184" w:right="419" w:bottom="1440" w:gutter="0" w:footer="0" w:header="0"/>
          <w:type w:val="continuous"/>
        </w:sectPr>
      </w:pPr>
    </w:p>
    <w:p>
      <w:pPr>
        <w:spacing w:after="0" w:line="62"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3578225</wp:posOffset>
            </wp:positionH>
            <wp:positionV relativeFrom="paragraph">
              <wp:posOffset>-13970</wp:posOffset>
            </wp:positionV>
            <wp:extent cx="17278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7835" cy="8890"/>
                    </a:xfrm>
                    <a:prstGeom prst="rect">
                      <a:avLst/>
                    </a:prstGeom>
                    <a:noFill/>
                  </pic:spPr>
                </pic:pic>
              </a:graphicData>
            </a:graphic>
          </wp:anchor>
        </w:drawing>
      </w:r>
    </w:p>
    <w:p>
      <w:pPr>
        <w:spacing w:after="0" w:line="354"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PART I — REGISTRANT INFORMATION</w:t>
      </w:r>
    </w:p>
    <w:p>
      <w:pPr>
        <w:spacing w:after="0" w:line="30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Full Name of Registrant</w:t>
      </w:r>
    </w:p>
    <w:p>
      <w:pPr>
        <w:spacing w:after="0" w:line="20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if Applicable</w:t>
      </w:r>
    </w:p>
    <w:p>
      <w:pPr>
        <w:spacing w:after="0" w:line="20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2128 W. Braker Lane, BK 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 xml:space="preserve">Address of Principal Executive Office </w:t>
      </w:r>
      <w:r>
        <w:rPr>
          <w:rFonts w:ascii="Arial" w:cs="Arial" w:eastAsia="Arial" w:hAnsi="Arial"/>
          <w:sz w:val="14"/>
          <w:szCs w:val="14"/>
          <w:b w:val="1"/>
          <w:bCs w:val="1"/>
          <w:i w:val="1"/>
          <w:iCs w:val="1"/>
          <w:color w:val="auto"/>
        </w:rPr>
        <w:t>(Street and Number)</w:t>
      </w:r>
    </w:p>
    <w:p>
      <w:pPr>
        <w:spacing w:after="0" w:line="20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Austin, Texas 78758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PART II — RULES 12b-25(b) AND (c)</w:t>
      </w:r>
    </w:p>
    <w:p>
      <w:pPr>
        <w:spacing w:after="0" w:line="12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2" w:lineRule="exact"/>
        <w:rPr>
          <w:sz w:val="24"/>
          <w:szCs w:val="24"/>
          <w:color w:val="auto"/>
        </w:rPr>
      </w:pPr>
    </w:p>
    <w:p>
      <w:pPr>
        <w:ind w:left="820" w:hanging="304"/>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reason described in reasonable detail in Part III of this form could not be eliminated without unreasonable effort or expense</w:t>
      </w:r>
    </w:p>
    <w:p>
      <w:pPr>
        <w:spacing w:after="0" w:line="15" w:lineRule="exact"/>
        <w:rPr>
          <w:rFonts w:ascii="Arial" w:cs="Arial" w:eastAsia="Arial" w:hAnsi="Arial"/>
          <w:sz w:val="18"/>
          <w:szCs w:val="18"/>
          <w:color w:val="auto"/>
        </w:rPr>
      </w:pPr>
    </w:p>
    <w:p>
      <w:pPr>
        <w:ind w:left="820" w:hanging="314"/>
        <w:spacing w:after="0"/>
        <w:tabs>
          <w:tab w:leader="none" w:pos="82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N-SAR or Form N-CSR, or portion</w:t>
      </w:r>
    </w:p>
    <w:p>
      <w:pPr>
        <w:spacing w:after="0" w:line="32" w:lineRule="exact"/>
        <w:rPr>
          <w:rFonts w:ascii="Arial" w:cs="Arial" w:eastAsia="Arial" w:hAnsi="Arial"/>
          <w:sz w:val="16"/>
          <w:szCs w:val="16"/>
          <w:color w:val="auto"/>
        </w:rPr>
      </w:pPr>
    </w:p>
    <w:p>
      <w:pPr>
        <w:jc w:val="both"/>
        <w:ind w:left="820" w:right="80" w:hanging="812"/>
        <w:spacing w:after="0" w:line="203" w:lineRule="auto"/>
        <w:tabs>
          <w:tab w:leader="none" w:pos="820" w:val="left"/>
        </w:tabs>
        <w:numPr>
          <w:ilvl w:val="0"/>
          <w:numId w:val="2"/>
        </w:numPr>
        <w:rPr>
          <w:rFonts w:ascii="MS PGothic" w:cs="MS PGothic" w:eastAsia="MS PGothic" w:hAnsi="MS PGothic"/>
          <w:sz w:val="35"/>
          <w:szCs w:val="35"/>
          <w:color w:val="auto"/>
          <w:vertAlign w:val="subscript"/>
        </w:rPr>
      </w:pPr>
      <w:r>
        <w:rPr>
          <w:rFonts w:ascii="Arial" w:cs="Arial" w:eastAsia="Arial" w:hAnsi="Arial"/>
          <w:sz w:val="18"/>
          <w:szCs w:val="18"/>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 w:lineRule="exact"/>
        <w:rPr>
          <w:rFonts w:ascii="MS PGothic" w:cs="MS PGothic" w:eastAsia="MS PGothic" w:hAnsi="MS PGothic"/>
          <w:sz w:val="35"/>
          <w:szCs w:val="35"/>
          <w:color w:val="auto"/>
          <w:vertAlign w:val="subscript"/>
        </w:rPr>
      </w:pPr>
    </w:p>
    <w:p>
      <w:pPr>
        <w:ind w:left="820" w:hanging="304"/>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-815340</wp:posOffset>
            </wp:positionV>
            <wp:extent cx="8890" cy="823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823595"/>
                    </a:xfrm>
                    <a:prstGeom prst="rect">
                      <a:avLst/>
                    </a:prstGeom>
                    <a:noFill/>
                  </pic:spPr>
                </pic:pic>
              </a:graphicData>
            </a:graphic>
          </wp:anchor>
        </w:drawing>
      </w:r>
    </w:p>
    <w:p>
      <w:pPr>
        <w:sectPr>
          <w:pgSz w:w="11900" w:h="16838" w:orient="portrait"/>
          <w:cols w:equalWidth="0" w:num="1">
            <w:col w:w="11240"/>
          </w:cols>
          <w:pgMar w:left="240" w:top="184" w:right="419" w:bottom="1440" w:gutter="0" w:footer="0" w:header="0"/>
          <w:type w:val="continuous"/>
        </w:sectPr>
      </w:pPr>
    </w:p>
    <w:bookmarkStart w:id="1" w:name="page2"/>
    <w:bookmarkEnd w:id="1"/>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PART III — NARRATIVE</w:t>
      </w:r>
    </w:p>
    <w:p>
      <w:pPr>
        <w:spacing w:after="0" w:line="1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State below in reasonable detail why Forms 10-K, 20-F, 11-K, 10-Q, 10-D, N-SAR, N-CSR, or the transition report or portion thereof, could not be filed within the prescribed time period.</w:t>
      </w:r>
    </w:p>
    <w:p>
      <w:pPr>
        <w:spacing w:after="0" w:line="132"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color w:val="auto"/>
        </w:rPr>
        <w:t>Active Power, Inc. (the “Company”) is not able to timely file its Quarterly Report on Form 10-Q that complies with the SEC’s rules because the previously announced internal review of the Company’s historical stock option grants and related procedures and accounting has only recently been completed. The Company has previously announced that it expects to record additional material stock-based compensation expense as a result of the findings of the internal review and that it will be restating its historical financial statements. All of the Company’s financial and accounting resources have been dedicated to completing and filing the Company’s Annual Report on Form 10-K for the year ended December 31, 2006. The Company is continuing to finalize such report and intends to restate the annual and quarterly consolidated financial statements included in the Annual Report on Form 10-K for the year ended December 31, 2006. The Annual Report on Form 10-K for the year ended December 31, 2006 will be filed prior to the filing of the Company’s Quarterly Report on Form 10-Q for the quarter ended March 31, 2007. As soon as the Annual Report on 10-K has been completed, the Company will be able to finalize its work on the Quarterly Report on Form 10-Q and file it shortly thereafter. The Company currently anticipates that it will be able to file the Quarterly Report on Form 10-Q on or before the fifth calendar day following May 10,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 — OTHER INFORMATION</w:t>
      </w:r>
    </w:p>
    <w:p>
      <w:pPr>
        <w:spacing w:after="0" w:line="9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229"/>
        </w:trPr>
        <w:tc>
          <w:tcPr>
            <w:tcW w:w="434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b w:val="1"/>
                <w:bCs w:val="1"/>
                <w:color w:val="auto"/>
                <w:w w:val="89"/>
              </w:rPr>
              <w:t>John K. Penver, Chief Financial Officer</w:t>
            </w:r>
          </w:p>
        </w:tc>
        <w:tc>
          <w:tcPr>
            <w:tcW w:w="2420" w:type="dxa"/>
            <w:vAlign w:val="bottom"/>
            <w:tcBorders>
              <w:bottom w:val="single" w:sz="8" w:color="auto"/>
            </w:tcBorders>
          </w:tcPr>
          <w:p>
            <w:pPr>
              <w:jc w:val="right"/>
              <w:ind w:right="1182"/>
              <w:spacing w:after="0"/>
              <w:rPr>
                <w:sz w:val="20"/>
                <w:szCs w:val="20"/>
                <w:color w:val="auto"/>
              </w:rPr>
            </w:pPr>
            <w:r>
              <w:rPr>
                <w:rFonts w:ascii="Arial" w:cs="Arial" w:eastAsia="Arial" w:hAnsi="Arial"/>
                <w:sz w:val="18"/>
                <w:szCs w:val="18"/>
                <w:b w:val="1"/>
                <w:bCs w:val="1"/>
                <w:color w:val="auto"/>
              </w:rPr>
              <w:t>(512)</w:t>
            </w:r>
          </w:p>
        </w:tc>
        <w:tc>
          <w:tcPr>
            <w:tcW w:w="3740" w:type="dxa"/>
            <w:vAlign w:val="bottom"/>
            <w:tcBorders>
              <w:bottom w:val="single" w:sz="8" w:color="auto"/>
            </w:tcBorders>
          </w:tcPr>
          <w:p>
            <w:pPr>
              <w:jc w:val="right"/>
              <w:ind w:right="1622"/>
              <w:spacing w:after="0"/>
              <w:rPr>
                <w:sz w:val="20"/>
                <w:szCs w:val="20"/>
                <w:color w:val="auto"/>
              </w:rPr>
            </w:pPr>
            <w:r>
              <w:rPr>
                <w:rFonts w:ascii="Arial" w:cs="Arial" w:eastAsia="Arial" w:hAnsi="Arial"/>
                <w:sz w:val="18"/>
                <w:szCs w:val="18"/>
                <w:b w:val="1"/>
                <w:bCs w:val="1"/>
                <w:color w:val="auto"/>
              </w:rPr>
              <w:t>836-6464</w:t>
            </w:r>
          </w:p>
        </w:tc>
      </w:tr>
      <w:tr>
        <w:trPr>
          <w:trHeight w:val="169"/>
        </w:trPr>
        <w:tc>
          <w:tcPr>
            <w:tcW w:w="4340" w:type="dxa"/>
            <w:vAlign w:val="bottom"/>
          </w:tcPr>
          <w:p>
            <w:pPr>
              <w:jc w:val="center"/>
              <w:ind w:left="2"/>
              <w:spacing w:after="0"/>
              <w:rPr>
                <w:sz w:val="20"/>
                <w:szCs w:val="20"/>
                <w:color w:val="auto"/>
              </w:rPr>
            </w:pPr>
            <w:r>
              <w:rPr>
                <w:rFonts w:ascii="Arial" w:cs="Arial" w:eastAsia="Arial" w:hAnsi="Arial"/>
                <w:sz w:val="14"/>
                <w:szCs w:val="14"/>
                <w:b w:val="1"/>
                <w:bCs w:val="1"/>
                <w:color w:val="auto"/>
                <w:w w:val="88"/>
              </w:rPr>
              <w:t>(Name)</w:t>
            </w:r>
          </w:p>
        </w:tc>
        <w:tc>
          <w:tcPr>
            <w:tcW w:w="2420" w:type="dxa"/>
            <w:vAlign w:val="bottom"/>
          </w:tcPr>
          <w:p>
            <w:pPr>
              <w:jc w:val="center"/>
              <w:ind w:right="402"/>
              <w:spacing w:after="0"/>
              <w:rPr>
                <w:sz w:val="20"/>
                <w:szCs w:val="20"/>
                <w:color w:val="auto"/>
              </w:rPr>
            </w:pPr>
            <w:r>
              <w:rPr>
                <w:rFonts w:ascii="Arial" w:cs="Arial" w:eastAsia="Arial" w:hAnsi="Arial"/>
                <w:sz w:val="14"/>
                <w:szCs w:val="14"/>
                <w:b w:val="1"/>
                <w:bCs w:val="1"/>
                <w:color w:val="auto"/>
                <w:w w:val="88"/>
              </w:rPr>
              <w:t>(Area Code)</w:t>
            </w:r>
          </w:p>
        </w:tc>
        <w:tc>
          <w:tcPr>
            <w:tcW w:w="3740" w:type="dxa"/>
            <w:vAlign w:val="bottom"/>
          </w:tcPr>
          <w:p>
            <w:pPr>
              <w:jc w:val="center"/>
              <w:ind w:right="262"/>
              <w:spacing w:after="0"/>
              <w:rPr>
                <w:sz w:val="20"/>
                <w:szCs w:val="20"/>
                <w:color w:val="auto"/>
              </w:rPr>
            </w:pPr>
            <w:r>
              <w:rPr>
                <w:rFonts w:ascii="Arial" w:cs="Arial" w:eastAsia="Arial" w:hAnsi="Arial"/>
                <w:sz w:val="14"/>
                <w:szCs w:val="14"/>
                <w:b w:val="1"/>
                <w:bCs w:val="1"/>
                <w:color w:val="auto"/>
                <w:w w:val="88"/>
              </w:rPr>
              <w:t>(Telephone Number)</w:t>
            </w:r>
          </w:p>
        </w:tc>
      </w:tr>
    </w:tbl>
    <w:p>
      <w:pPr>
        <w:spacing w:after="0" w:line="47" w:lineRule="exact"/>
        <w:rPr>
          <w:sz w:val="20"/>
          <w:szCs w:val="20"/>
          <w:color w:val="auto"/>
        </w:rPr>
      </w:pPr>
    </w:p>
    <w:p>
      <w:pPr>
        <w:ind w:left="460" w:right="80" w:hanging="452"/>
        <w:spacing w:after="0" w:line="225" w:lineRule="exact"/>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 If answer is no, identify report(s).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on Form 10-K for the year ended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1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Is it anticipated that any significant change in results of operations from the corresponding period for the last fiscal year will be reflected by the earnings</w:t>
      </w:r>
    </w:p>
    <w:p>
      <w:pPr>
        <w:spacing w:after="0" w:line="38" w:lineRule="exact"/>
        <w:rPr>
          <w:sz w:val="20"/>
          <w:szCs w:val="20"/>
          <w:color w:val="auto"/>
        </w:rPr>
      </w:pPr>
    </w:p>
    <w:p>
      <w:pPr>
        <w:ind w:left="460"/>
        <w:spacing w:after="0" w:line="207" w:lineRule="exact"/>
        <w:tabs>
          <w:tab w:leader="none" w:pos="5200" w:val="left"/>
        </w:tabs>
        <w:rPr>
          <w:sz w:val="20"/>
          <w:szCs w:val="20"/>
          <w:color w:val="auto"/>
        </w:rPr>
      </w:pPr>
      <w:r>
        <w:rPr>
          <w:rFonts w:ascii="Arial" w:cs="Arial" w:eastAsia="Arial" w:hAnsi="Arial"/>
          <w:sz w:val="18"/>
          <w:szCs w:val="18"/>
          <w:color w:val="auto"/>
        </w:rPr>
        <w:t>statements to be included in the subject report or portion thereof?</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65"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32" w:lineRule="exact"/>
        <w:rPr>
          <w:sz w:val="20"/>
          <w:szCs w:val="20"/>
          <w:color w:val="auto"/>
        </w:rPr>
      </w:pPr>
    </w:p>
    <w:p>
      <w:pPr>
        <w:ind w:left="460"/>
        <w:spacing w:after="0" w:line="283" w:lineRule="auto"/>
        <w:rPr>
          <w:sz w:val="20"/>
          <w:szCs w:val="20"/>
          <w:color w:val="auto"/>
        </w:rPr>
      </w:pPr>
      <w:r>
        <w:rPr>
          <w:rFonts w:ascii="Arial" w:cs="Arial" w:eastAsia="Arial" w:hAnsi="Arial"/>
          <w:sz w:val="16"/>
          <w:szCs w:val="16"/>
          <w:i w:val="1"/>
          <w:iCs w:val="1"/>
          <w:color w:val="auto"/>
        </w:rPr>
        <w:t>All statements in this Form 12b-25, other than statements of historical fact are forward looking statements that are subject to risks and uncertainties that could cause such statements to differ materially from actual future events or results. Such forward looking statements are generally, but not necessarily, accompanied by words such as “plan,” “if,” “estimate,” “expect,” “believe,” “could,” “would,” “anticipate,” “may,” or other words that convey uncertainty of future events or outcomes. Specific examples of forward looking statements in this Form 12b-25 include, but are not limited to, statements concerning; specific periods for which restatement or adjustment of the Company’s previously issued financial statements or disclosures may be required; the size or effect of additional charges or liabilities arising out of related to any issues that may be identified in other investigations arising out of or related to the Special Committee’s internal investigation, if any; the length of time it may take for the Special Committee to complete its investigation; and the length of time it may take for the Company to file its Annual Report on Form 10-K for the year ended December 31, 2006 or to file its quarterly report on Form 10-Q for the three-month period ended March 31, 2007. These forward looking statements and other statements made elsewhere in this Form 12b-25 are made in reliance, in part, on the Private Securities Litigation Reform Act of 1995. These forward looking statements are based on current information and expectations, and involve a number of risks and uncertainties. Actual results may differ materially from those projected in such forward looking statements due to various factors, including but not limited to, inability to accurately predict revenue and budget for expenses for future periods; fluctuations in revenue and operating results; overall market performance; potential for significant losses to continue decreases and/or delays in capital spending; limited product offerings; inability to expand and integrate new distribution channels; inability to manage new and existing product distribution relationships; dependence on the Company’s relationship with Caterpillar®; competition; delays in research and development; dependence on sole or limited source suppliers; inability to increase product sales; inventory risks; dependence upon key personnel; inability to protect the Company’s intellectual property rights; potential future acquisitions; volatility of the Company’s stock price regardless of the Company’s actual financial performance; ability to successfully prosecute and defend any future litigation; additional issued identified by the Company arising out of or related to the Special Committee’s investigation into the Company’s historical stock option grants and related procedures and accounting; impact of additional tax liabilities that have not yet been estimated; future rule-making, regulatory or enforcement actions, pronouncements or guidance by the SEC, PCAOB, NASDAQ or other regulatory agencies; and other factors detailed in the Company’s filings with the Securities and Exchange Commission. Any one of these factors may cause the Company’s actual financial results to differ materially from its projected results. The forward looking statements in this Form 12b-25 speak only as of the date they are made. The Company undertakes no obligation to revise or update publicly any forward looking statement for any reason, including forward looking statements made herein relating to the nature and scope of the Special Committee’s ongoing internal investigation, the preliminary conclusions reached by the Company, its management, the Board of Directors, the Audit Committee or the Special Committee and the size or effect of previously unrecorded stock based compensation charges. Readers are referred to the Company’s Annual Report on Form 10-K, subsequent Quarterly Reports on Form 10-Q, recent Current Reports on Form 8-K, and other Securities and Exchange Commission filings which discuss the foregoing factors as well as other important risk factors that could affect the Company’s business,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43478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4"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(Name of Registrant as Specified in Charter)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12" w:lineRule="exact"/>
        <w:rPr>
          <w:sz w:val="20"/>
          <w:szCs w:val="20"/>
          <w:color w:val="auto"/>
        </w:rPr>
      </w:pPr>
    </w:p>
    <w:p>
      <w:pPr>
        <w:spacing w:after="0"/>
        <w:tabs>
          <w:tab w:leader="none" w:pos="460" w:val="left"/>
          <w:tab w:leader="none" w:pos="6080" w:val="left"/>
          <w:tab w:leader="none" w:pos="6440" w:val="left"/>
        </w:tabs>
        <w:rPr>
          <w:sz w:val="20"/>
          <w:szCs w:val="20"/>
          <w:color w:val="auto"/>
        </w:rPr>
      </w:pPr>
      <w:r>
        <w:rPr>
          <w:rFonts w:ascii="Arial" w:cs="Arial" w:eastAsia="Arial" w:hAnsi="Arial"/>
          <w:sz w:val="18"/>
          <w:szCs w:val="18"/>
          <w:color w:val="auto"/>
        </w:rPr>
        <w:t>Date</w:t>
        <w:tab/>
        <w:t>May 10,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10795</wp:posOffset>
            </wp:positionV>
            <wp:extent cx="31470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Financial Officer</w:t>
      </w:r>
    </w:p>
    <w:p>
      <w:pPr>
        <w:spacing w:after="0" w:line="186"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ATTENTION</w:t>
      </w:r>
    </w:p>
    <w:p>
      <w:pPr>
        <w:spacing w:after="0" w:line="20" w:lineRule="exact"/>
        <w:rPr>
          <w:sz w:val="20"/>
          <w:szCs w:val="20"/>
          <w:color w:val="auto"/>
        </w:rPr>
      </w:pPr>
    </w:p>
    <w:p>
      <w:pPr>
        <w:sectPr>
          <w:pgSz w:w="11900" w:h="16880" w:orient="portrait"/>
          <w:cols w:equalWidth="0" w:num="1">
            <w:col w:w="11420"/>
          </w:cols>
          <w:pgMar w:left="240" w:top="395" w:right="239" w:bottom="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3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7515"/>
                    </a:xfrm>
                    <a:prstGeom prst="rect">
                      <a:avLst/>
                    </a:prstGeom>
                    <a:noFill/>
                  </pic:spPr>
                </pic:pic>
              </a:graphicData>
            </a:graphic>
          </wp:anchor>
        </w:drawing>
        <w:t>Intentional misstatements or omissions of fact constitute Federal Criminal Violations (See 18 U.S.C. 1001).</w:t>
      </w:r>
    </w:p>
    <w:sectPr>
      <w:pgSz w:w="11900" w:h="16838" w:orient="portrait"/>
      <w:cols w:equalWidth="0" w:num="1">
        <w:col w:w="9019"/>
      </w:cols>
      <w:pgMar w:left="1440" w:top="3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2019-12-12T00:25:55Z</dcterms:created>
  <dcterms:modified xsi:type="dcterms:W3CDTF">2019-12-12T00:25:55Z</dcterms:modified>
</cp:coreProperties>
</file>