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September 26, 2006</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333-137054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123190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ACTIVE POWER,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2900" w:type="dxa"/>
            <w:vAlign w:val="bottom"/>
          </w:tcPr>
          <w:p>
            <w:pPr>
              <w:jc w:val="center"/>
              <w:ind w:right="1086"/>
              <w:spacing w:after="0"/>
              <w:rPr>
                <w:sz w:val="20"/>
                <w:szCs w:val="20"/>
                <w:color w:val="auto"/>
              </w:rPr>
            </w:pPr>
            <w:r>
              <w:rPr>
                <w:rFonts w:ascii="Arial" w:cs="Arial" w:eastAsia="Arial" w:hAnsi="Arial"/>
                <w:sz w:val="18"/>
                <w:szCs w:val="18"/>
                <w:b w:val="1"/>
                <w:bCs w:val="1"/>
                <w:color w:val="auto"/>
                <w:w w:val="88"/>
              </w:rPr>
              <w:t>Delaware</w:t>
            </w:r>
          </w:p>
        </w:tc>
        <w:tc>
          <w:tcPr>
            <w:tcW w:w="3600" w:type="dxa"/>
            <w:vAlign w:val="bottom"/>
          </w:tcPr>
          <w:p>
            <w:pPr>
              <w:jc w:val="center"/>
              <w:ind w:left="67"/>
              <w:spacing w:after="0"/>
              <w:rPr>
                <w:sz w:val="20"/>
                <w:szCs w:val="20"/>
                <w:color w:val="auto"/>
              </w:rPr>
            </w:pPr>
            <w:r>
              <w:rPr>
                <w:rFonts w:ascii="Arial" w:cs="Arial" w:eastAsia="Arial" w:hAnsi="Arial"/>
                <w:sz w:val="18"/>
                <w:szCs w:val="18"/>
                <w:b w:val="1"/>
                <w:bCs w:val="1"/>
                <w:color w:val="auto"/>
                <w:w w:val="84"/>
              </w:rPr>
              <w:t>4911</w:t>
            </w:r>
          </w:p>
        </w:tc>
        <w:tc>
          <w:tcPr>
            <w:tcW w:w="3100" w:type="dxa"/>
            <w:vAlign w:val="bottom"/>
          </w:tcPr>
          <w:p>
            <w:pPr>
              <w:jc w:val="right"/>
              <w:ind w:right="52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2900" w:type="dxa"/>
            <w:vAlign w:val="bottom"/>
          </w:tcPr>
          <w:p>
            <w:pPr>
              <w:jc w:val="center"/>
              <w:ind w:right="10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0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310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49"/>
        </w:trPr>
        <w:tc>
          <w:tcPr>
            <w:tcW w:w="2900" w:type="dxa"/>
            <w:vAlign w:val="bottom"/>
          </w:tcPr>
          <w:p>
            <w:pPr>
              <w:jc w:val="center"/>
              <w:ind w:right="1066"/>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360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8"/>
              </w:rPr>
              <w:t>Industrial Classification</w:t>
            </w:r>
          </w:p>
        </w:tc>
        <w:tc>
          <w:tcPr>
            <w:tcW w:w="3100" w:type="dxa"/>
            <w:vAlign w:val="bottom"/>
          </w:tcPr>
          <w:p>
            <w:pPr>
              <w:spacing w:after="0"/>
              <w:rPr>
                <w:sz w:val="12"/>
                <w:szCs w:val="12"/>
                <w:color w:val="auto"/>
              </w:rPr>
            </w:pPr>
          </w:p>
        </w:tc>
      </w:tr>
      <w:tr>
        <w:trPr>
          <w:trHeight w:val="174"/>
        </w:trPr>
        <w:tc>
          <w:tcPr>
            <w:tcW w:w="2900" w:type="dxa"/>
            <w:vAlign w:val="bottom"/>
          </w:tcPr>
          <w:p>
            <w:pPr>
              <w:spacing w:after="0"/>
              <w:rPr>
                <w:sz w:val="15"/>
                <w:szCs w:val="15"/>
                <w:color w:val="auto"/>
              </w:rPr>
            </w:pPr>
          </w:p>
        </w:tc>
        <w:tc>
          <w:tcPr>
            <w:tcW w:w="3600" w:type="dxa"/>
            <w:vAlign w:val="bottom"/>
          </w:tcPr>
          <w:p>
            <w:pPr>
              <w:jc w:val="center"/>
              <w:ind w:left="67"/>
              <w:spacing w:after="0"/>
              <w:rPr>
                <w:sz w:val="20"/>
                <w:szCs w:val="20"/>
                <w:color w:val="auto"/>
              </w:rPr>
            </w:pPr>
            <w:r>
              <w:rPr>
                <w:rFonts w:ascii="Arial" w:cs="Arial" w:eastAsia="Arial" w:hAnsi="Arial"/>
                <w:sz w:val="14"/>
                <w:szCs w:val="14"/>
                <w:b w:val="1"/>
                <w:bCs w:val="1"/>
                <w:color w:val="auto"/>
                <w:w w:val="89"/>
              </w:rPr>
              <w:t>Code Number)</w:t>
            </w:r>
          </w:p>
        </w:tc>
        <w:tc>
          <w:tcPr>
            <w:tcW w:w="3100" w:type="dxa"/>
            <w:vAlign w:val="bottom"/>
          </w:tcPr>
          <w:p>
            <w:pPr>
              <w:spacing w:after="0"/>
              <w:rPr>
                <w:sz w:val="15"/>
                <w:szCs w:val="15"/>
                <w:color w:val="auto"/>
              </w:rPr>
            </w:pP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320-9200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149860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6"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146"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20" w:firstLine="342"/>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5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152400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ind w:right="10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05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right="40"/>
        <w:spacing w:after="0" w:line="236" w:lineRule="auto"/>
        <w:rPr>
          <w:sz w:val="20"/>
          <w:szCs w:val="20"/>
          <w:color w:val="auto"/>
        </w:rPr>
      </w:pPr>
      <w:r>
        <w:rPr>
          <w:rFonts w:ascii="Arial" w:cs="Arial" w:eastAsia="Arial" w:hAnsi="Arial"/>
          <w:sz w:val="14"/>
          <w:szCs w:val="14"/>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a solicitation of an offer to buy these securities in any state where the offer or sale is not permitted.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SEPTEMBER 26,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895475"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Debt Securities, Common Stock,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Warrants and Units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Offered by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204470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By this prospectus and an accompanying prospectus supplement, we or any selling securityholder may from time to time offer and sell in one or more offerings any combination of the securities listed above. This prospectus provides a general description of the securities we or any selling securityholder may offer. Supplements to this prospectus will provide the specific terms of the securities that we actually offer, including the offering prices. In the prospectus supplement relating to sales by selling securityholders, we will identify each selling securityholder and the number of shares of our common stock that each selling securityholder may be selling. You should carefully read this prospectus, any applicable prospectus supplement and any information under the heading “Where You Can Find More Information” before you invest in any of these securities. This prospectus may not be used to sell securities unless it is accompanied by a prospectus supplement that describes those securities.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securityholder may sell these securities directly to or through underwriters, to other purchasers and/or through agents. For additional information on the method of sale, you should refer to the section in this prospectus entitled “Plan of Distribution.” If any underwriters are involved in the sale of any securities offered by this prospectus and any prospectus supplement, their names, and any applicable purchase price, fee, commission or discount arrangement between or among us, the selling securityholders and them, will be set forth, or will be calculable from the information set forth, in the applicable prospectus supplement.</w:t>
      </w:r>
    </w:p>
    <w:p>
      <w:pPr>
        <w:spacing w:after="0" w:line="143"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Our common stock is quoted on the Nasdaq National Market under the symbol “ACPW.” On September 25, 2006, the closing price of our common stock as reported by Nasdaq was $2.09 per share. We will apply to list any shares of common stock sold under this prospectus and any prospectus supplement on the Nasdaq National Market. We have not determined whether we will list any other securities we may offer on the Nasdaq National Market, or any other exchange or on the over-the-counter market. If we decide to seek listing of any securities, a prospectus supplement will disclose the name of such exchange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161925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6" w:lineRule="exact"/>
        <w:rPr>
          <w:sz w:val="20"/>
          <w:szCs w:val="20"/>
          <w:color w:val="auto"/>
        </w:rPr>
      </w:pPr>
    </w:p>
    <w:p>
      <w:pPr>
        <w:ind w:right="32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Risks associated with an investment in our securities will be described in this prospectus, in the applicable prospectus supplement and in certain of our filings with the Securities and Exchange Commission, as described under “ </w:t>
      </w:r>
      <w:hyperlink w:anchor="page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w:t>
      </w:r>
    </w:p>
    <w:p>
      <w:pPr>
        <w:spacing w:after="0" w:line="13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183515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2006.</w:t>
            </w: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1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2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Active Power, Inc.</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900" w:type="dxa"/>
            <w:vAlign w:val="bottom"/>
            <w:tcBorders>
              <w:top w:val="single" w:sz="8" w:color="0000EE"/>
            </w:tcBorders>
            <w:gridSpan w:val="9"/>
          </w:tcPr>
          <w:p>
            <w:pPr>
              <w:spacing w:after="0"/>
              <w:rPr>
                <w:sz w:val="24"/>
                <w:szCs w:val="24"/>
                <w:color w:val="auto"/>
              </w:rPr>
            </w:pPr>
          </w:p>
        </w:tc>
        <w:tc>
          <w:tcPr>
            <w:tcW w:w="2480" w:type="dxa"/>
            <w:vAlign w:val="bottom"/>
            <w:gridSpan w:val="6"/>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8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Special Note Regarding Forward-Looking Statements</w:t>
              </w:r>
            </w:hyperlink>
          </w:p>
        </w:tc>
        <w:tc>
          <w:tcPr>
            <w:tcW w:w="480" w:type="dxa"/>
            <w:vAlign w:val="bottom"/>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Ratio of Earnings to Fixed Charges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480" w:type="dxa"/>
            <w:vAlign w:val="bottom"/>
            <w:tcBorders>
              <w:top w:val="single" w:sz="8" w:color="0000EE"/>
            </w:tcBorders>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Our Business</w:t>
              </w:r>
            </w:hyperlink>
          </w:p>
        </w:tc>
        <w:tc>
          <w:tcPr>
            <w:tcW w:w="1800" w:type="dxa"/>
            <w:vAlign w:val="bottom"/>
            <w:gridSpan w:val="3"/>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16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Selling Securityholders</w:t>
              </w:r>
            </w:hyperlink>
          </w:p>
        </w:tc>
        <w:tc>
          <w:tcPr>
            <w:tcW w:w="2620" w:type="dxa"/>
            <w:vAlign w:val="bottom"/>
            <w:gridSpan w:val="8"/>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Description of Capital Stock</w:t>
              </w:r>
            </w:hyperlink>
          </w:p>
        </w:tc>
        <w:tc>
          <w:tcPr>
            <w:tcW w:w="2260" w:type="dxa"/>
            <w:vAlign w:val="bottom"/>
            <w:gridSpan w:val="5"/>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2140" w:type="dxa"/>
            <w:vAlign w:val="bottom"/>
            <w:gridSpan w:val="4"/>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7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Description of Warrants</w:t>
              </w:r>
            </w:hyperlink>
          </w:p>
        </w:tc>
        <w:tc>
          <w:tcPr>
            <w:tcW w:w="2580" w:type="dxa"/>
            <w:vAlign w:val="bottom"/>
            <w:gridSpan w:val="7"/>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Units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40" w:type="dxa"/>
            <w:vAlign w:val="bottom"/>
            <w:tcBorders>
              <w:top w:val="single" w:sz="8" w:color="0000EE"/>
            </w:tcBorders>
            <w:gridSpan w:val="7"/>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Plan of Distribution</w:t>
              </w:r>
            </w:hyperlink>
          </w:p>
        </w:tc>
        <w:tc>
          <w:tcPr>
            <w:tcW w:w="2840" w:type="dxa"/>
            <w:vAlign w:val="bottom"/>
            <w:gridSpan w:val="10"/>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2880" w:type="dxa"/>
            <w:vAlign w:val="bottom"/>
            <w:gridSpan w:val="11"/>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80" w:type="dxa"/>
            <w:vAlign w:val="bottom"/>
            <w:tcBorders>
              <w:top w:val="single" w:sz="8" w:color="0000EE"/>
            </w:tcBorders>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3300" w:type="dxa"/>
            <w:vAlign w:val="bottom"/>
            <w:gridSpan w:val="13"/>
          </w:tcPr>
          <w:p>
            <w:pPr>
              <w:spacing w:after="0"/>
              <w:rPr>
                <w:sz w:val="24"/>
                <w:szCs w:val="24"/>
                <w:color w:val="auto"/>
              </w:rPr>
            </w:pPr>
          </w:p>
        </w:tc>
        <w:tc>
          <w:tcPr>
            <w:tcW w:w="7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04"/>
        </w:trPr>
        <w:tc>
          <w:tcPr>
            <w:tcW w:w="428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214630</wp:posOffset>
            </wp:positionV>
            <wp:extent cx="1243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SEC, utilizing a “shelf” registration process. Under this shelf registration process, we may sell any combination of the securities described in this prospectus in one or more offerings. In addition, some of our securityholders may sell shares of our common stock under this shelf registration statement. This prospectus provides you with a general description of the securities that we or any selling securityholders may offer. Each time that we or any selling securityholders offer to sell securities, we will provide a prospectus supplement that will contain specific information about the terms of that offering and the securities offered by us and/or any selling securityholders in that offering. The prospectus supplement may also add, update or change information contained in this prospectus. If there is any inconsistency between the information in this prospectus and any prospectus supplement, you should rely on the information provided in the prospectus supplement. This prospectus does not contain all of the information included in the registration statement. The registration statement filed with the SEC includes exhibits that provide more details about the matters discussed in this prospectus. You should carefully read this prospectus, the related exhibits filed with the SEC and any prospectus supplement, together with the additional information described under the heading “Where You Can Find More Information” beginning on page 48.</w:t>
      </w:r>
    </w:p>
    <w:p>
      <w:pPr>
        <w:spacing w:after="0" w:line="10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and in any accompanying prospectus supplement. We have not authorized any other person to provide you with different information. If anyone provides you with different or inconsistent information, you should not rely on it. We are not making an offer of the securities covered by this prospectus in any state where the offer is not permitted. You should assume that the information appearing in this prospectus, any prospectus supplement and any other document incorporated by reference is accurate only as of the date on the front cover of those documents. Our business, financial condition, results of operations and prospects may have changed since those dates. We will disclose any material changes in our affairs in an amendment to this prospectus, a prospectus supplement or a future filing with the SEC incorporated by reference in this prospectus.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“Active Power,” “we,” “us” and “our” refer to Active Power, Inc. and its direct and indirect subsidiaries on a consolidated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References to “$” or “dollars” are to the currency of the United States of America.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ACTIVE POWER, INC.</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As of June 30, 2006, we have shipped over 1,300 flywheels, or more than 325 megawatts of our products, representing $91.4 million in revenue, to business locations in over 35 countries around the world since January 1, 1998. We are headquartered in Austin, Texas.</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address the requirements of those customers without backup generators that still need protection from utility disturbances, we also have developed our CoolAir™ DC extended runtime product.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to provide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second quarter of 2006, and we expect an international version will be available in late 2006.</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were founded in 1992 as a Texas corporation known as Magnetic Bearing Technologies, Inc. We began our efforts to develop a flywheel energy storage product for the power quality market in 1996 and subsequently changed our name to Active Power, Inc. We re-incorporated in Delaware in 2000 prior to our initial public offering.</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principal executive offices are located at 2128 W. Braker Lane, BK12, Austin, Texas 78758. Our telephone number is (512) 836-6464. Our website is www.activepower.com. The information found on our website or on websites linked to our website is not incorporated into or a part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You should carefully consider the risks described below before making a decision to invest in our securities or in evaluating Active Power and our business. In addition to the risks described below, you should also consider the specific risks set forth under the caption “Risk Factors” in the applicable prospectus supplement and under the caption “Risk Factors” in any of our filings with the Commission pursuant to Sections 13(a), 13(c), 14, or 15(d) of the Securities Exchange Act of 1934 (the “Exchange Act”) incorporated by reference herein, before making an investment decision. The risks and uncertainties described below and incorporated by reference herein, are not the only ones we face. Additional risks and uncertainties that we do not presently know, or that we currently view as immaterial, may also impair our business operations. This prospectus and any accompanying prospectus supplement is qualified in its entirety by these risk factors.</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June 30, 2006, we had an accumulated deficit of $192.7 million. To date, we have funded our operations principally through the sale of our stock, product revenue and development funding payments from Caterpillar.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in excess of our revenue after costs, and, as a result, we expect to continue to incur losses for at least the next several quarters.</w:t>
      </w:r>
    </w:p>
    <w:p>
      <w:pPr>
        <w:spacing w:after="0" w:line="1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Due to uncertainty surrounding market acceptance of our products, we may never achieve significant revenue or become profitable and we may have difficulty accurately predicting revenue for future periods.</w:t>
      </w:r>
    </w:p>
    <w:p>
      <w:pPr>
        <w:spacing w:after="0" w:line="1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generated a total of $91.4 million in product revenue between January 1, 1998 and June 30, 2006, with $11 million generated in the six-month period ended June 30, 2006. We are uncertain whether our products will achieve market acceptance such that our revenue will increase or whether we will be able to achieve significant revenue. Therefore, we have a very limited ability to predict future revenue.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Consequently, we may not be able to decrease our expenses, if desired, in a timely manner to offset any revenue shortfall. If our revenue does not increase as anticipated, we will continue to incur significant losses. As a result of the foregoing, we cannot assure you that our revenue will grow or remain stable in future periods or that we will become profitable.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systems or our thermal and compressed air based systems as alternatives to lead-acid batteries;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derive a significant portion of our quarterly revenue from a few relatively large transactions. The sales cycles for these large transactions tend to be longer than the sales cycle on smaller orders. The longer sales cycles for large transactions make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power quality products, particularly those with new or advanced technologies, is evolving and it is difficult to predict its potential size or future growth rate. Most of the organizations that may purchase our products have invested substantial resources in their existing power systems and, as a result, have been reluctant or slow to adopt a new technological approach, particularly during periods of reduced capital expenditures. Moreover, because our current products are alternatives to existing UPS and battery systems, they may never be accepted by the market or may be made obsolete by other advances in power quality technologies.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or increase our sales or marketing efforts to respond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 In addition, in some future quarters, our financial results may be below the expectations of public market analysts or investors. In such event, the market price of our common stock would likely fall.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on our ability to find new markets for our products.</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Historically, we have focused our sales efforts on the American and European markets. We intend to enter into new markets, such as Asia and Latin America. Our future success is dependent upon us introducing our products to new markets with power needs consistent with the attributes of our product offerings. If we are unable to successfully introduce our products to these new markets, our business will suffer.</w:t>
      </w:r>
    </w:p>
    <w:p>
      <w:pPr>
        <w:spacing w:after="0" w:line="1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since 2002 and plan to continue such efforts, which subjects us to additional business risks including increased logistical and financial complexity, political instability and currency fluctuations.</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percentage of our revenue derived from customers located outside of the United States was 45%, 50% and 48% in 2005, 2004 and 2003, respectively. In the six-month period ended June 30, 2006 we derived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36% of our total revenues from sales to international customers. Our international operations are subject to a number of risks, including:</w:t>
      </w:r>
    </w:p>
    <w:p>
      <w:pPr>
        <w:spacing w:after="0" w:line="21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creating and organizing foreign entities;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We may engage in hedging activities in the future; however, such hedging activities may not be effective and may result in foreign exchange hedging losses that could impair our financial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and increasing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market our existing UPS product line at higher and lower power range offerings, and on our ability to develop and market our TACAS-based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159"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quality, price and performance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are unable to expand our distribution channels and manage our existing and new product distribution relationships, our ability to grow our business may be impeded.</w:t>
      </w:r>
    </w:p>
    <w:p>
      <w:pPr>
        <w:spacing w:after="0" w:line="12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Recently, we have focused on establishing a direct sales channel that supplements our OEM channel. The future growth of our business will depend in part on our ability to sell our products through a direct sales channel in addition to sales through our OEM channel. This will require us to manage relationships with customers rather than rely on our OEM partners to manage these relationships. As part of our growth strategy, we plan to expand our relationships with distributors and develop relationships with new distributors. We will also look to identify and develop new relationships with additional parties that could serve as an outlet for our products, including CoolAir DC. If we are unable to successfully execute this strategy and manage our existing OEM channel partners, such as Caterpillar and Eaton Electrical, our national accounts team and our new manufacturer’s representatives, the future growth of our business may be impeded, which may adversely affect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hire and retain skilled personnel could adversely affect our stock price, operations and product development.</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with power quality marketplace experience. The recent decline in our stock price may diminish the financial attractiveness of the stock options we have issued, which may cause certain of our current employees to seek employment elsewhere as a result of this decreased financial incentive. The decline in our stock price may also impair our ability to recruit new employees. Our July 2006 reduction in force or any future workforce reductions could adversely affect the morale of remaining employees and our efforts to attract and retain highly skilled employees. These workforce cost reduction efforts, or their announcement, could cause a decrease or significant fluctuations, in our stock price. There may also be an increased risk of litigation as a result of reductions in our workforce.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terminated or diminished, for whatever reason, our business and financial prospects likely would suffer.</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Caterpillar and its dealer network are our largest customer overall and our primary OEM partner for our flywheel-based products. Caterpillar and its dealer network accounted for 42%, 54% and 60% of our revenue, during 2005, 2004 and 2003, respectively. In the six-month period ended June 30, 2006, Caterpillar and its dealer network accounted for 40% of our revenue. If our relationship with Caterpillar is terminated or diminished, or if Caterpillar’s distribution of the Cat UPS product is not successful or suffers an adverse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To date, sales by Caterpillar have been well short of the contractual minimums necessary for Caterpillar to retain exclusivity; however, we have continued to work with Caterpillar as our primary UPS OEM customer and have not sold the UPS to any of Caterpillar’s identified competitors.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agreement with Caterpillar expires in January 2007. While we intend to renew this agreement, and currently believe that Caterpillar desires and intends to renew the agreement, we cannot be sure that such renewal will take place. If we do not continue this OEM relationship with Caterpillar, our business and financial prospects likely would suffer.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2001, we outfitted a 127,000 square foot facility used for manufacturing and testing of our three-phase product line, including our flywheel-based DC and UPS products. To be financially successful, and to utilize the capacity of this facility to absorb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If we do not reach these necessary sales volume levels, or if we cannot sell our products at our suggested prices, our ability to reach profitability will be adversely affected.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manufacture large quantities of our products successfully. Even if we are successful in developing our manufacturing capability and processes, we do not know whether we will do so in time to meet our product commercialization schedule or to satisfy the requirements of our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recently introduced the CoolAir DC product but are not yet able to determine the rate of acceptance or likely success of this product.</w:t>
      </w:r>
    </w:p>
    <w:p>
      <w:pPr>
        <w:spacing w:after="0" w:line="2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began commercial production of our new CoolAir DC extended runtime product in the second quarter of 2006. Based on our experience with flywheel products, we believe that the market for power quality products is reluctant and slow to adopt new technologies and we anticipate this with CoolAir DC, as well. Acceptance of this product is an important part of our growth strategy and therefore is critical to our future success. If the market does not embrace this new technology, or if the market accepts it at a rate slower than what we anticipate, this could adversely impact our revenue, profitability and overall financial prospects. The successful market acceptance of our CoolAir DC product depends upon a number of factors including:</w:t>
      </w:r>
    </w:p>
    <w:p>
      <w:pPr>
        <w:spacing w:after="0" w:line="15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competitiveness of this product compared to existing or alternative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quality and reliability compared to existing products;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explain and sell the value and benefits of this new technology to our potential customers and to enable them to trust their mission-critical power needs to our new technology;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displace existing entrenched technologies and vendors;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adequate marketing and sales channel support to accelerate product acceptance.</w:t>
      </w:r>
    </w:p>
    <w:p>
      <w:pPr>
        <w:spacing w:after="0" w:line="16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CoolAir DC product relies on a new thermal and compressed air storage (TACAS) technology that has a limited operating history in commercial applications and requires a greater initial investment than competing solutions.</w:t>
      </w:r>
    </w:p>
    <w:p>
      <w:pPr>
        <w:spacing w:after="0" w:line="12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Our recently introduced CoolAir DC product relies on our TACAS technology that has a limited operating history in commercial applications. Potential customers may be hesitant to purchase a product with a limited operating history to protect their “mission-critical” applications. In addition, the initial cost to purchase our CoolAir DC product typically exceeds the cost of a traditional battery-based solution. The lack of an operating history for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TACAS technology and the higher start-up costs may cause the market for our CoolAir products to develop slower than we anticipate. We have invested significant amounts in the development of our TACAS technology and this technology is the focus of many of our future product plans. Therefore, if market acceptance of our TACAS-based products is slow to develop or fails to develop, we may lose a significant portion of our investment in this technology and our business and financial results will suffer.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 which may cause our results of operations to fluctuate.</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generally operate our business without any significant backlog of orders from customers. Normally our products are shipped and revenue is recognized at that time. The lack of backlog makes revenue in any quarter substantially dependent on orders booked and shipped throughout that quarter, and as a result, our results of operations tend to fluctuate from quarter to quarter, which may adversely impact the price of our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has, on occasion, experienced seasonal customer buying patterns. In recent years, we have generally experienced relatively weaker demand in the first calendar quarter of the year as customers delay purchasing decisions while capital budgets are being approved. We believe that this pattern will continue. In addition, we anticipate that demand for our products in Europe and Africa may decline in the summer months, as compared to other regions, because of reduced corporate buying patterns during the vacation season. Seasonality may cause our results of operations to fluctuate from quarter to quarter, which may adversely impact the price of our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larger volume customers may receive priority, resulting in delays in our acquiring components. If we are delayed in acquiring components for our products, the manufacture and shipment of our products will also be delayed. For example, we purchase a particular type of power module from Semikron International, which is a single source supplier. Lead times for ordering materials and components vary significantly and depend on factors such as specific supplier requirements, contract terms,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require us to absorb price increases. Manufacturing delays could negatively impact our ability to sell our products and could damage our customer relationships.</w:t>
      </w:r>
    </w:p>
    <w:p>
      <w:pPr>
        <w:spacing w:after="0" w:line="12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To assure the availability of our products to our customers, we outsource the manufacturing of selected components prior to the receipt of purchase orders from customers based on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make design changes to our products from time to time, which could lead to obsolescence of inventory.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based energy storage systems and flywheel-based power quality systems. We may face future competition from companies that are developing other types of emerging power technologies, such as high-speed composite flywheels, ultra capacitors and superconducting magnetic energy storage. Our CoolAir DC product competes primarily against battery cabinet product offerings but may also compete against other emerging power technologies in the future.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broader name and brand recognition, a larger installed base of customers and significantly greater financial, technical, marketing and other resources.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177"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likely would be time consuming and expensive to resolve and would divert management’s time and attention. Any potential intellectual property litigation also could force us to take specific actions, including:</w:t>
      </w:r>
    </w:p>
    <w:p>
      <w:pPr>
        <w:spacing w:after="0" w:line="183"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and investments, together with our other available sources of working capital, will be sufficient to fund corporate cash requirements for at least twelve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Historically the market price of our common stock has fluctuated significantly. From January 1, 2006 to September 25, 2006, the sales price of our common stock ranged from $2.05 to $5.91. In addition to those risks described earlier in this section, the market price of our common stock can be expected to fluctuate significantly in response to numerous other factors, many of which are beyond our control, including the following:</w:t>
      </w:r>
    </w:p>
    <w:p>
      <w:pPr>
        <w:spacing w:after="0" w:line="14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185"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growth in markets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business risks;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investors. However, there may be events in the future that we are not able to accurately predict or control. The factors listed in the section captioned “Risk Factors” as well as any cautionary language included in or incorporated by reference in the prospectus, provide examples of risks, uncertainties and events that may cause our actual results to differ materially from the expectations we described in our forward-looking statements. Except as required by law, we undertake no obligation to update publicly any forward-looking statements, whether as a result of new information, future events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Unless otherwise indicated in an accompanying prospectus supplement, we will use the net proceeds from the sale of the securities offered hereby for general corporate purposes, which may include working capital, capital expenditures, development costs, strategic investments or possible acquisitions. We have not allocated any portion of the net proceeds for any particular use at this time. The net proceeds may be invested temporarily until they are used for their stated purpose. Specific information concerning the use of proceeds from the sale of any securities will be included in the prospectus supplement relating to such securities. We will not receive any of the proceeds from the sale of securities that may be sold by selling securityholders.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deficiency of earnings to fixed charges for the indicated periods are set forth below. The information set forth below should be read in conjunction with the financial information incorporated by reference herein.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2001</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(in thousands, except for ratios)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Deficiency of earnings to fixed charges</w:t>
            </w: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$(27,962)</w:t>
            </w:r>
          </w:p>
        </w:tc>
        <w:tc>
          <w:tcPr>
            <w:tcW w:w="74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90"/>
              </w:rPr>
              <w:t>$(27,623)</w:t>
            </w:r>
          </w:p>
        </w:tc>
        <w:tc>
          <w:tcPr>
            <w:tcW w:w="7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$(21,703)</w:t>
            </w:r>
          </w:p>
        </w:tc>
        <w:tc>
          <w:tcPr>
            <w:tcW w:w="7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6"/>
              </w:rPr>
              <w:t>$(27,780)</w:t>
            </w:r>
          </w:p>
        </w:tc>
        <w:tc>
          <w:tcPr>
            <w:tcW w:w="76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6"/>
              </w:rPr>
              <w:t>$(22,891)</w:t>
            </w:r>
          </w:p>
        </w:tc>
        <w:tc>
          <w:tcPr>
            <w:tcW w:w="122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$(12,044)</w:t>
            </w:r>
          </w:p>
        </w:tc>
        <w:tc>
          <w:tcPr>
            <w:tcW w:w="0" w:type="dxa"/>
            <w:vAlign w:val="bottom"/>
          </w:tcPr>
          <w:p>
            <w:pPr>
              <w:spacing w:after="0"/>
              <w:rPr>
                <w:sz w:val="1"/>
                <w:szCs w:val="1"/>
                <w:color w:val="auto"/>
              </w:rPr>
            </w:pPr>
          </w:p>
        </w:tc>
      </w:tr>
      <w:tr>
        <w:trPr>
          <w:trHeight w:val="270"/>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Ratio of earnings to fixed charges</w:t>
            </w: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 charges consist of interest incurred on indebtedness. We had no fixed charges for the periods presented above.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had no shares of preferred stock outstanding for any period presented. As a result, the ratio of earnings to combined fixed charges and preferred stock dividends is the same as the ratio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As of June 30, 2006, we have shipped over 1,300 flywheels, or more than 325 megawatts of our products, representing $91.4 million in revenue, to business locations in over 35 countries around the world since January 1, 1998. We are headquartered in Austin, Texas.</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targetting higher power density applications above 200 kVA since the majority of these customers already have back-up 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To address the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second quarter of 2006, and we expect an international version will be available in late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According to a 2006 Frost &amp; Sullivan report, the overall annual worldwide UPS market exceeds $5.76 billion in sales, with an average annual growth rate of 6% projected through 2012. The UPS market consists of single-phase and three-phase segments based on user power level requirements. The three-phase segment is typically used by commercial and industrial customers, and the single-phase segment is typically used by residential and other lower power level applications. Active Power targets the three-phase UPS market, covering 20 kVA and higher power applications, that was estimated to make up approximately 33% of this market in 2005, or approximately $1.8 billion per year. The segment of the market above 200kVA that we target with our flywheel products was estimated by Frost &amp; Sullivan to be approximately $740 million per year in 2005, and is projected to grow at a 5.4% annual rate through 2012. The market between 20-200kVA, which is where we target our CoolAir products, was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estimated to be approximately $1.1 billion per year in 2005 and is expected to grow at an annual rate of approximately 5% through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trends in power use will create additional market opportunities for us with our current product portfolio:</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Increasing awareness of need for backup power systems. </w:t>
      </w:r>
      <w:r>
        <w:rPr>
          <w:rFonts w:ascii="Arial" w:cs="Arial" w:eastAsia="Arial" w:hAnsi="Arial"/>
          <w:sz w:val="16"/>
          <w:szCs w:val="16"/>
          <w:color w:val="auto"/>
        </w:rPr>
        <w:t>Increases in the size and frequency of natural disasters, utility grid failures, and a general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power demand, have increased the number of businesses that are exposed to the risks associated with, and the negative effects of, power quality interruptions. The transfer of manufacturing and enterprise services to developing countries with poor quality infrastructure also is increasing the visibility of the economic effects of poor power quality. Further, many developing economies lack adequate power infrastructure to ensure continuous power for industry, which impacts productivity and efficiency. Collectively, this increased awareness of the risks of business interruption due to power quality or supply interruption is driving more businesses to consider the need for more reliable backup power systems.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Trend toward higher power installations</w:t>
      </w:r>
      <w:r>
        <w:rPr>
          <w:rFonts w:ascii="Arial" w:cs="Arial" w:eastAsia="Arial" w:hAnsi="Arial"/>
          <w:sz w:val="16"/>
          <w:szCs w:val="16"/>
          <w:color w:val="auto"/>
        </w:rPr>
        <w:t>. New computing capabilities and developments in higher performance microprocessor designs are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power requirements for many industries. Often these higher power requirements are mirrored with shrinking space availability, requiring a power quality solution with greater power density that frees up space for more revenue generating computing applications. Alternatively, customers may desire to retrofit their existing facilities to handle more power since the cost of constructing new facility space continues to rise. High power installations are not limited to a particular vertical market or industry, but, by way of example, can include semiconductor plants, large hospital or medical complexes, large industrial manufacturing plants, broadcast/communications facilities, transportation facilities (airports, etc), and large computer data centers. Furthermore, in high power installations, customers are more likely to be comfortable with our products because they already are familiar with battery-free alternative technologies such as flywheels, rotary UPS systems, and are more likely to be using a backup power generator for their applications.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Extended runtime applications</w:t>
      </w:r>
      <w:r>
        <w:rPr>
          <w:rFonts w:ascii="Arial" w:cs="Arial" w:eastAsia="Arial" w:hAnsi="Arial"/>
          <w:sz w:val="16"/>
          <w:szCs w:val="16"/>
          <w:color w:val="auto"/>
        </w:rPr>
        <w:t>. In certain applications, where extended bridging power may be required, users are looking to increase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backup time that their power quality solutions can provide. The longer the backup time, the greater the ability to operate through a complete power disturbance or to conduct an orderly shut down of operations that can minimize the economic impact of a utility power interruption. A large portion of the 5-200 kVA UPS market, particularly in North America, currently operates without backup generator systems and have tended to rely only on battery-based UPS systems. These customers typically need five to fifteen minutes of runtime from their energy storage system, which today is primarily being served by battery-based technology. The backup power systems for many of these customers do not provide power to their cooling systems during a utility disturbance. This only increases the likelihood of a thermal overload of their computing systems increasing the risk of a disturbance to the customer’s mission-critical applications. As a result, a computing facility may overheat despite the availability of sufficient backup power for computer systems during a utility disturbance. The ability to solve cooling problems during a utility power disturbance, and the ability to extend the available runtime while eliminating the need for a costly generator or HVAC backup system is critical to meeting the backup power quality needs of the small and mid-sized commercial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Strengths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strengths and differentiators can be summarized as follows:</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Differentiated product offering that provides cost-saving opportunities. </w:t>
      </w:r>
      <w:r>
        <w:rPr>
          <w:rFonts w:ascii="Arial" w:cs="Arial" w:eastAsia="Arial" w:hAnsi="Arial"/>
          <w:sz w:val="15"/>
          <w:szCs w:val="15"/>
          <w:color w:val="auto"/>
        </w:rPr>
        <w:t>We believe our products offer higher reliability than competing battery alternatives</w:t>
      </w:r>
      <w:r>
        <w:rPr>
          <w:rFonts w:ascii="Arial" w:cs="Arial" w:eastAsia="Arial" w:hAnsi="Arial"/>
          <w:sz w:val="15"/>
          <w:szCs w:val="15"/>
          <w:i w:val="1"/>
          <w:iCs w:val="1"/>
          <w:color w:val="auto"/>
        </w:rPr>
        <w:t xml:space="preserve"> </w:t>
      </w:r>
      <w:r>
        <w:rPr>
          <w:rFonts w:ascii="Arial" w:cs="Arial" w:eastAsia="Arial" w:hAnsi="Arial"/>
          <w:sz w:val="15"/>
          <w:szCs w:val="15"/>
          <w:color w:val="auto"/>
        </w:rPr>
        <w:t>and are more easily maintained. We offer products with an estimated 20-year design life, compared to battery solutions that have average lifespans of as little as 3.5 years. Given their durable construction, and lack of heat-sensitive electrochemicals, our products can work in harsh environments with high reliability and without the operating costs associated with heating or cooling that may otherwise be required by a backup power system. Our flywheel products can provide up to 15 times more power in the same space as an alternative battery-based system. This increased power density allows us to free up valuable revenue-generating space for customers, or to allow them to provide higher backup power levels in their current space without the need for additional build out. Our flywheel products operate with up to 98% power efficiency that, given the long product lifetime, can translate into significant cost savings over the product’s lifecycle.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estimate, when considering the need for ongoing maintenance, replacement costs and the physical environmental requirements of battery-based products, that the total cost of ownership of our flywheel-based products, which includes purchase price, installation, maintenance and energy costs accumulated over a 10-year period, is less than half of that of comparable battery-based system. Our megawatt class UPS platform allows us to compete for large system installations where there are fewer competitors and where battery-based solutions are less favorable due to greater space requirements and higher maintenance costs. We began production of our CoolAir product platform in the second quarter of 2006. CoolAir provides a minute-for-minute alternative to the backup power of batteries while also providing backup cooling during an outage. The CoolAir product platform also broadens our product range into the extended runtime category.</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Significant near-term growth opportunities in large commercial markets. </w:t>
      </w:r>
      <w:r>
        <w:rPr>
          <w:rFonts w:ascii="Arial" w:cs="Arial" w:eastAsia="Arial" w:hAnsi="Arial"/>
          <w:sz w:val="16"/>
          <w:szCs w:val="16"/>
          <w:color w:val="auto"/>
        </w:rPr>
        <w:t>With the increasing importance of consistent and reliable electric power, we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significant interest in our products and expect this to result in near-term and sustained growth opportunities. The build-out of large data centers in North America and Europe and the relative unreliability of utility-provided electricity have resulted in a global increase in investment in backup power systems in a wide range of industries, including healthcare, broadcast and communications, transportation and manufacturing. We currently are focused on serving the American and European markets. These markets represent approximately 65% of the global $5.76 billion UPS market according to a 2006 Frost &amp; Sullivan study. We plan to expand into other geographies beginning in 2007 including markets located in Asia and Latin America, where we believe that these same global power demand trends will offer us significant near and long-term growth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Well-respected and established distribution partners. </w:t>
      </w:r>
      <w:r>
        <w:rPr>
          <w:rFonts w:ascii="Arial" w:cs="Arial" w:eastAsia="Arial" w:hAnsi="Arial"/>
          <w:sz w:val="16"/>
          <w:szCs w:val="16"/>
          <w:color w:val="auto"/>
        </w:rPr>
        <w:t>We maintain strategic alliances with several of the leading power technology distribution partners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including Caterpillar, Eaton Electrical and General Electric, each of which has endorsed our products. These alliances provide us with sales distribution channels into commercialized global markets. For example, Caterpillar distributes our flywheel UPS system under the Caterpillar brand name through their global dealer network. We have a partnership with GE that gives GE the non-exclusive right to purchase and sell our CleanSource DC products, and Eaton Electrical also provides us with sales and services support for the CleanSource DC products. We have added other regional distributors for our CleanSource DC products, including Fuji Electric in Japan and Vega Power (ASEA E&amp;T) in the Republic of Korea.</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One of few economically viable, environmentally friendly and safe solutions. </w:t>
      </w:r>
      <w:r>
        <w:rPr>
          <w:rFonts w:ascii="Arial" w:cs="Arial" w:eastAsia="Arial" w:hAnsi="Arial"/>
          <w:sz w:val="16"/>
          <w:szCs w:val="16"/>
          <w:color w:val="auto"/>
        </w:rPr>
        <w:t>With the low operating costs (less than half the total costs of battery-based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over a 10-year period) and 20-year design life span of our products, we believe we offer one of only a few economically viable, environmentally friendly and safe products available on the market today. Given heightened social awareness and increased environmental concerns, we believe our products are well-positioned to capitalize on this trend. We believe that we are particularly well-positioned for the European market, which is characterized by higher energy costs, more significant economic incentives to use green power and a greater environmental awareness. Our products do not have the safety, toxicity and environmental concerns of battery-based solutions and they are not subject to the same physical operating requirements and can perform in harsh climates and extreme conditions far better than battery-based products. Poorly maintained battery installations can present fire and safety risks up to and including fires and explosion, and we have successfully sold our products to many customers due to their problems with batteries (high cost, high maintenance, disposal issues, low reliability) and their need for a safer and environmentally friendly alternative.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Active Power’s primary operating goal is to provide innovative three-phase power quality solutions to enable businesses to continue to operate in the event of electrical power disturbances. Key elements of our strategy include: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Migrate to a systems solution provider from current product focus</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believe that our approach of focusing on a solutions-based offering, including service, will accelerate our growth potential and path to operating profitability. Our history of product development has resulted in new and innovative products for solving power quality and reliability issues, including our CleanSource flywheel-based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products and our CoolAir TACAS-based products. Over the last five years we have improved and broadened our range of three-phase power quality products and introduced new technologies to meet user requirements at higher and lower power levels. During this period, we primarily have employed a narrow sales channel strategy to sell our products, which resulted in our functioning largely as a product supplier to our OEM partners and direct customers. However, our experience in the market has led us to conclude that many customers prefer to be provided with a complete power quality solution, including our products, ancillary products that are needed to complete the system solution such as switching gear and generators, design and installation services, as well as regular product maintenance and repair services. We believe that changing our sales focus to one of solutions-based rather than product-focused offerings will allow us to increase revenue opportunities, increase direct end-user contact to facilitate continuing product development, create opportunities for repeat business, and enhance our ability to sell higher margin service and repair business to our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Broaden our available markets and channels of distribution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Historically, the majority of our sales were made through our OEM channels. As recently as 2003, 72% of our revenues were made via our OEM channels, with the majority of this revenue coming from Caterpillar. Since then we have focused on establishing a direct sales channel that supplements our OEM channel while enabling us to expand into new geographies. We began this strategy by adding direct sales employees with power industry sales experience in Western Europe and in parts of the Caribbean and Mexico. By adding more direct and solution-focused sales personnel, we have increased the proportion of direct sales from 7% of revenue in 2002 to 48% of revenues in 2005. As we increase sales in a region, we add service personnel and project management skills to manage customer implementations and provide post-sales support. We also are adding new sales offices, complete with demonstration and service capabilities, to complement our sales activities and to create a more local presence for our international customers.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OEM channel has provided brand credibility to our company and our products, particularly in new markets and with larger customers, such as our multi-megawatt project customers, the OEM channel has not been effective in markets where, for example, the OEM did not have a significant existing power quality business in that market. In such situations we have elected to broaden our sales channels and have started selling products directly with Active Power personnel and through third-party representatives such as manufacturers’ representatives and value-added resellers (VARs). We will continue to evaluate our OEM, VAR partners and manufacturers’ representatives in each market to ensure adequate performance and growth, and to enhance the sales potential of each of our geographic regions. We also will continue to manage potential channel conflicts within markets, and continue to support the requirements of our partners to enable our success with this multi-channel global sales strategy.</w:t>
      </w:r>
    </w:p>
    <w:p>
      <w:pPr>
        <w:spacing w:after="0" w:line="118"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In 2005, we added approximately 23 manufacturers’ representatives primarily focused in North America. We also began to add more direct sales employees and sales agents to broaden our reach. We have developed a national account team in North America, which is focused on directly selling multiple units to Fortune 100 companies as a more efficient way of increasing sales volume. As we have expanded our direct selling capabilities, we also have expanded into new international markets and hired additional direct sales resources, particularly in Europe, the Middle East and Africa (EMEA) during 2005 and 2006.</w:t>
      </w:r>
    </w:p>
    <w:p>
      <w:pPr>
        <w:spacing w:after="0" w:line="98"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As we complete the broadening of our sales channels in the Americas and EMEA, we plan to expand our sales capabilities into other regions, principally Latin America and Asia beginning in 2007. These regions fit the profile of areas where our products have been most successful to date: areas with poor power infrastructure and with growing economies. We anticipate that this expansion will increase the available market for our products and provide opportunities for further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customer service capabilities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expand our customer service capabilities so that we can:</w:t>
      </w:r>
    </w:p>
    <w:p>
      <w:pPr>
        <w:spacing w:after="0" w:line="212"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direct customer relationships;</w:t>
      </w:r>
    </w:p>
    <w:p>
      <w:pPr>
        <w:spacing w:after="0" w:line="211" w:lineRule="exact"/>
        <w:rPr>
          <w:rFonts w:ascii="Arial" w:cs="Arial" w:eastAsia="Arial" w:hAnsi="Arial"/>
          <w:sz w:val="18"/>
          <w:szCs w:val="18"/>
          <w:color w:val="auto"/>
        </w:rPr>
      </w:pPr>
    </w:p>
    <w:p>
      <w:pPr>
        <w:ind w:left="5620" w:right="5600" w:hanging="5166"/>
        <w:spacing w:after="0" w:line="408" w:lineRule="auto"/>
        <w:tabs>
          <w:tab w:leader="none" w:pos="77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 revenue and margins through increased service offerings; and 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more direct feedback from customers.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increasing the size and geographical coverage of our service organization to mirror our expanding direct sales force and to enhance the direct service capabilities we provide to our end-user customers. Historically, our OEM partners managed end-user customers and captured the service revenues. We will place additional emphasis on developing new and innovative service solutions to augment our current offerings and to provide enhanced value for the customer. Service operations have been highly profitable segments for established power quality companies, and we believe that our expanded service organization will play a key role in generating new sales prospects, increasing revenues and providing us with more future sales opportunities as a result of direct client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next-generation products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intend to continue to use our expertise in power electronics and advanced electromechanical technologies, combined with an integrated solutions approach to developing new and enhanced products, to continue to create innovative, environmentally friendly solutions that lower the cost and to increase the quality of electric power.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continue to improve our designs for simplicity, service and cost. We also will continue with judicious cost reductions and feature enhancements to increase customer value and ensure competitively priced and comprehensively serviced solutions. In the last five years we have invested over $57 million in research and development of new products, features and technologies associated with power quality. We now have what we believe to be one of the broadest product offerings in the power quality market. We intend to leverage customer feedback and market intelligence so that we can capitalize on our engineering investment in our product and technology platforms, and we plan to introduce new product categories, features and benefits that will help us maintain our position as a technology leader in power quality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our marketing focus to build the Active Power brand</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intend to further support our sales channels by increasing our marketing focus and by building the Active Power brand. In 2006 we added additional resources and changed our marketing focus to better leverage our multi-channel sales strategy with a more structured marketing philosophy. We believe a structured approach is necessary to create an integrated, scalable marketing plan that can support each channel, each product and each geography. We believe that more and better sales tools, more lead generation and more brand awareness due to our increased investment and market focus will lead to greater sales success.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Flywheel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flywheel energy storage system provides a highly reliable, low-cost and non-toxic replacement for lead-acid batteries used in conventional power quality installations. We have shipped over 1,300 flywheels, or more than 325 megawatts of our products to business locations in over 35 countries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Flywheel Market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principle of using stored energy in the form of a flywheel to bridge the gap between a power failure and an emergency diesel generator has been well accepted in Europe and around the world since the 1970s. In some mature markets, these type of products have the majority of the large capacity UPS business. These earlier “diesel-rotary” UPS products were limited by roller-bearing technology and possessed no more than five seconds of stored energy, requiring special arrangements for the selection and starting of the diesel generator engine. The mechanically “in-line” nature of the system also limited the output power of these products. In the 1990s advances in design including the use of permanent magnets to reduce the load on main bearings increased the performance of flywheel-designed products. Against this background, the Active Power designed products deploy far more advanced technology and can address a large market that is knowledgeable and familiar with flywheel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flywheel products generally compete in the &gt;200kVA UPS market. The size of this market was estimated in 2005 to be approximately $740 million in annual sales in a 2006 Frost &amp; Sullivan market study, and is anticipated to grow by 5.4% annually through 2012. Traditionally this market has been served by battery-based UPS technologies; however, substitute products, such as flywheels, are now offering viable alternatives to conventional UPS technology.</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the &gt;200kVA power level, the primary market includes medium and large data centers, operator centers, telecommunications switching gear, broadcasting equipment and process-control (industrial) equipment. UPS systems at this level require special support for installing, auditing and maintaining the system. Hence, more products at this level are sold via direct sales and manufacturers’ representatives. In the reseller channel, mechanical and electrical contractors contribute significantly to the sales process and are an important advocate of a vendor’s product who can design a UPS manufacturer into a customer application. Most applications within this power category serve mission-critical applications. Therefore, downtime or power interruption for these applications can lead to severe financial losses for customers. This also makes this segment of the UPS market somewhat less sensitive to price because products are more likely to be evaluated in terms of product reliability, performance and power quality.</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Due to the mission critical nature of the applications supported, customers are more likely to select established power quality brands and prefer a direct relationship with the supplier. Therefore, assurance of a well-developed service organization is viewed as critically important. Today this market segment is dominated by a small number of global UPS manufacturers, including Liebert, American Power Conversion, MGE and Eaton. These companies have strong brand recognition, global service capabilities and broad distribution channels. Smaller, local companies also compete in most major markets.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biggest driver of growth for UPS systems, particularly in this high power segment, is the increase in power requirements of network and data storage equipment. This growth in power requirements is driving a change in backup power systems and we believe the number of new installations and build outs also will have a major impact on UPS growth. As power consumption is increasing, customers are looking to more efficient UPS designs that can save space, and that can operate with higher levels of efficiency to reduce electricity expenses. Conventional UPS systems use lead-acid battery-based backup solutions. While this technology is mature, there are known limitations, including the need to constantly monitor the level of availability, significant space requirements, susceptibility to high and low temperatures requiring that they be placed in temperature controlled rooms, toxicity and safety concerns, and significant annual operating and service costs. Alternative technologies that can offer higher reliability, lower total cost of operation and smaller, space efficient design, and that are safe and non-toxic, should be able to capture market share in this market segment. Flywheel-based products offer these advantages and have been in the market for a number of years to prove their reliability and efficiency. Flywheel products have been in the European market for several decades, and are more established as a viable battery alternative in that market generally. We believe that success in that market will be mirrored in other regions of the world, especially as flywheel-based products become more established.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successful market penetration of the UPS market primarily depends on two factors. First, our ability to compete with existing double-conversion, battery-based UPS systems. Second, the acceptance of our flywheel-based UPS in industrial applications where batteries are not an option due to the harsh operating environment. Our current flywheel products have a shorter runtime than the battery-based systems (typically 15 seconds to 60 seconds as compared to 5 minutes to 15 minutes with battery-based solutions) at a comparable installed cost. However, our flywheel UPS, when compared to equivalent lead-acid battery-based solutions, offers a significantly higher power density (4 to 15 times greater), lower lifecycle cost, lower maintenance requirements, higher power efficiency (98% as compared with high 80 to low 90 percentages for comparable battery-based double-conversion UPS systems), broader power range, and a higher operating temperature range. These product features allow us to compete more effectively with battery-based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Flywheel Technology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patented flywheel energy storage system stores kinetic energy by constantly spinning a compact steel wheel (“flywheel”) acting as a motor driven by utility power in a low-friction environment. When the user requires short-term backup power (i.e.,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backup power for extended electrical outages. We believe that, relative to other energy storage alternatives, our system provides high quality, reliable power at an effective cost.</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primary benefits of our flywheel-based systems include power density and power efficiency of up to 98%. On average, our flywheel-based UPS systems can produce twice as much power as comparable battery-based systems and only require approximately one-half of the equivalent space, or footprint, resulting in a fourfold improvement in power density. Power density for backup power equipment is defined as the amount of backup power a product can provide in a given area. Providing a greater power density allows increased power loads in customer data centers and frees up space for computing systems instead of backup power quality systems. Power efficiency is a measure of the amount of power consumed by the power quality or backup system when operating. This consumed power is also called the standby loss. The more power efficient a backup power system is, the less power it consumes. Our flywheel-based products have lower standby losses (&lt;2%) than an equivalent battery-based system, meaning that they have higher power efficiency. As the customer’s costs of electricity rise, we believe that the efficiency of our flywheel-based systems offer greater energy savings resulting in lower total cost of ownership for the customer than battery-based systems.</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Rather than rely on the flywheel concepts developed for other applications, we focused our development efforts on providing products that meet the specific needs of the three-phase power quality market. Users requiring backup power products desire products that can deliver high quality, reliable power at a reasonable price. As a result of these needs, we developed a flywheel system that operates at lower speeds (under 8,000 rotations per minute) than the original flywheel applications developed for space-based missions, and with increased reliability. These speeds are comparable to those of automobile engines and industrial machinery. This lower flywheel speed has allowed us to achieve a lower cost design by using an inexpensive bearing system and conventional steel in place of expensive composite materials.</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73025</wp:posOffset>
            </wp:positionV>
            <wp:extent cx="2984500" cy="2058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8450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flywheel rotor is designed to spin in a near frictionless environment by the use of a low-cost combination of a magnetic and mechanical bearing system. The friction in the spinning chamber is further reduced by the creation of a partial vacuum, which reduces the amount of air in the chamber that otherwise creates drag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15 seconds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40" w:lineRule="exact"/>
        <w:rPr>
          <w:sz w:val="20"/>
          <w:szCs w:val="20"/>
          <w:color w:val="auto"/>
        </w:rPr>
      </w:pPr>
    </w:p>
    <w:p>
      <w:pPr>
        <w:jc w:val="center"/>
        <w:ind w:right="9780"/>
        <w:spacing w:after="0"/>
        <w:rPr>
          <w:sz w:val="20"/>
          <w:szCs w:val="20"/>
          <w:color w:val="auto"/>
        </w:rPr>
      </w:pPr>
      <w:r>
        <w:rPr>
          <w:rFonts w:ascii="Arial" w:cs="Arial" w:eastAsia="Arial" w:hAnsi="Arial"/>
          <w:sz w:val="16"/>
          <w:szCs w:val="16"/>
          <w:i w:val="1"/>
          <w:iCs w:val="1"/>
          <w:color w:val="auto"/>
        </w:rPr>
        <w:t>Our Flywheel Products</w:t>
      </w:r>
    </w:p>
    <w:p>
      <w:pPr>
        <w:spacing w:after="0" w:line="194" w:lineRule="exact"/>
        <w:rPr>
          <w:sz w:val="20"/>
          <w:szCs w:val="20"/>
          <w:color w:val="auto"/>
        </w:rPr>
      </w:pPr>
    </w:p>
    <w:p>
      <w:pPr>
        <w:jc w:val="center"/>
        <w:ind w:right="9760"/>
        <w:spacing w:after="0"/>
        <w:rPr>
          <w:sz w:val="20"/>
          <w:szCs w:val="20"/>
          <w:color w:val="auto"/>
        </w:rPr>
      </w:pPr>
      <w:r>
        <w:rPr>
          <w:rFonts w:ascii="Arial" w:cs="Arial" w:eastAsia="Arial" w:hAnsi="Arial"/>
          <w:sz w:val="18"/>
          <w:szCs w:val="18"/>
          <w:i w:val="1"/>
          <w:iCs w:val="1"/>
          <w:color w:val="auto"/>
        </w:rPr>
        <w:t>CleanSource DC</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CleanSource DC is a non-chemical replacement for lead-acid batteries used for short-term backup power in power quality installations. Utilizing our flywheel energy storage technology, CleanSource DC is a stand-alone direct current (DC) product that is compatible with all major brands of UPS. It is compact, quiet and has demonstrated field-proven reliability. When the UPS electronics detect a power disturbance, CleanSource DC draws on the power stored as kinetic energy in the flywheel to generate backup power.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CleanSource DC can operate in conjunction with or can replace battery strings used in UPS and continuous power systems, or CPS. It also can replace the batteries now used with fuel cells and micro-turbines to meet peak power demands. This system is available in a variety of delivered power ratings up to 500 kW per flywheel system. We also can configure the units in parallel to meet higher power requirements. CleanSource DC has been designed for much longer service intervals and more extreme operating environments than typical lead-acid battery installations. Our longest continually running CleanSource DC unit was installed in June 1998. Our installed CleanSource DC units have accumulated approximately 6.8 million hours of field-proven reliability through June 30, 2006. The CleanSource DC comprised approximately 13% of our total revenue during 2005.</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CleanSource UPS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built on the technological success of CleanSource DC by creating a battery-free UPS, CleanSource UPS, which now represents the majority of our current revenues. Instead of a UPS and string of batteries in two separate cabinets, we have integrated the UPS electronics and our flywheel energy storage system into one compact cabinet. Our installed CleanSource UPS units have accumulated over 15.7 million hours of field operation as of June 30, 2006. The CleanSource UPS product family comprised approximately 69% of our total revenue during 2005, and 70% of our revenue in the quarter ending June 30, 2006.</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diagram below, we can provide a highly reliable, cost-efficient power quality solution.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CleanSource UPS System Efficiencies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System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95250</wp:posOffset>
            </wp:positionV>
            <wp:extent cx="2658745" cy="1526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Due to its proprietary cost-efficient design, CleanSource UPS can be competitively priced in relation to the installed cost of a conventional battery-based UPS. Due to its high operating efficiency, small footprint and long service life, we believe that the total cost of ownership of CleanSource UPS, which includes the purchase price, installation, maintenance and energy costs accumulated over a 10-year period, is less than half of that of conventional battery-based UPS systems. We designed CleanSource UPS to be compatible with new and installed standby generators, extending their application to use in a continuous power system, or CPS. We currently offer our CleanSource UPS product line in 65 kVA – 1200 kVA power ranges, and it can be configured in parallel up to 3600 kVA.</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megawatt-class CleanSource UPS platform uses a separate power electronics platform than the CleanSource UPS systems in the 65 kVA – 900 kVA power ranges. With its compact and efficient design, we believe that our megawatt-class product gives us a significant competitive advantage in the high power UPS market, which is currently served by only a few battery-free companies. We also have the ability to configure multiple megawatt-class UPS systems together in parallel up to 3600 kVA, as evidenced by our having sold multiple 2400/2000 kVA UPS. The customers of high power UPS systems demand that they be highly configurable. We believe that the ability to link multiple of our megawatt class UPS machines in parallel to support higher power levels will allow us to address the multi-megawatt market for power quality equipment by offering our customers a large building block, thereby requiring fewer UPS systems, to address their multi-megawatt power quality needs. We installed our first paralleled megawatt-class UPS system in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Customers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Prior to 2003 our primary customers were OEMs. Our most significant OEM customer has been and continues to be Caterpillar, which distributes CleanSource UPS under its own brand name.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2004 and 2005 we continued to make progress with our Active Power-branded sales channel by selling CleanSource UPS and DC products directly and through manufacturers’ representatives throughout North America and in several other international regions. This sales and distribution channel has increased our end-user interaction and allowed us to respond to customer needs more quickly. Our Active Power-branded sales channel contributed 48% of our revenues during 2005, as compared to 40% in 2004 and 25% in 2003.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representative sample of customers that use our flywheel products, and includes customers sold directly by us or by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OEM partners: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00" w:type="dxa"/>
            <w:vAlign w:val="bottom"/>
          </w:tcPr>
          <w:p>
            <w:pPr>
              <w:ind w:left="14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gridSpan w:val="3"/>
          </w:tcPr>
          <w:p>
            <w:pPr>
              <w:ind w:left="2040"/>
              <w:spacing w:after="0"/>
              <w:rPr>
                <w:sz w:val="20"/>
                <w:szCs w:val="20"/>
                <w:color w:val="auto"/>
              </w:rPr>
            </w:pPr>
            <w:r>
              <w:rPr>
                <w:rFonts w:ascii="Arial" w:cs="Arial" w:eastAsia="Arial" w:hAnsi="Arial"/>
                <w:sz w:val="14"/>
                <w:szCs w:val="14"/>
                <w:b w:val="1"/>
                <w:bCs w:val="1"/>
                <w:color w:val="auto"/>
              </w:rPr>
              <w:t>Representative Customers</w:t>
            </w:r>
          </w:p>
        </w:tc>
      </w:tr>
      <w:tr>
        <w:trPr>
          <w:trHeight w:val="275"/>
        </w:trPr>
        <w:tc>
          <w:tcPr>
            <w:tcW w:w="342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3"/>
                <w:szCs w:val="23"/>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Southern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AEP</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Reliant Energy</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JEA</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Covington Electric Co-op</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First Energy</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Telemundo</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NBC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Christian Television Network</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ABC</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Level 3 Communications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AT&amp;T</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EchoStar Communications</w:t>
            </w:r>
          </w:p>
        </w:tc>
        <w:tc>
          <w:tcPr>
            <w:tcW w:w="3240" w:type="dxa"/>
            <w:vAlign w:val="bottom"/>
            <w:gridSpan w:val="2"/>
          </w:tcPr>
          <w:p>
            <w:pPr>
              <w:ind w:left="420"/>
              <w:spacing w:after="0"/>
              <w:rPr>
                <w:sz w:val="20"/>
                <w:szCs w:val="20"/>
                <w:color w:val="auto"/>
              </w:rPr>
            </w:pPr>
            <w:r>
              <w:rPr>
                <w:rFonts w:ascii="Arial" w:cs="Arial" w:eastAsia="Arial" w:hAnsi="Arial"/>
                <w:sz w:val="18"/>
                <w:szCs w:val="18"/>
                <w:color w:val="auto"/>
              </w:rPr>
              <w:t>•   Cable &amp; Wireless plc</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Abbot Laboratories</w:t>
            </w:r>
          </w:p>
        </w:tc>
        <w:tc>
          <w:tcPr>
            <w:tcW w:w="3240" w:type="dxa"/>
            <w:vAlign w:val="bottom"/>
            <w:gridSpan w:val="2"/>
          </w:tcPr>
          <w:p>
            <w:pPr>
              <w:ind w:left="420"/>
              <w:spacing w:after="0"/>
              <w:rPr>
                <w:sz w:val="20"/>
                <w:szCs w:val="20"/>
                <w:color w:val="auto"/>
              </w:rPr>
            </w:pPr>
            <w:r>
              <w:rPr>
                <w:rFonts w:ascii="Arial" w:cs="Arial" w:eastAsia="Arial" w:hAnsi="Arial"/>
                <w:sz w:val="18"/>
                <w:szCs w:val="18"/>
                <w:color w:val="auto"/>
              </w:rPr>
              <w:t>•   ABB Asea Brown Boveri</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GE Industrial Systems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STMicroelectronics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Michelin</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Goodyear</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Wyeth</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Groupe Tonic</w:t>
            </w: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Fuji Electric</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Siemens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Sun Microsystems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3M</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Hewlett-Packard</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Micron Technologies</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Freescale Semiconductor</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Visa</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GMAC</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MBNA</w:t>
            </w:r>
          </w:p>
        </w:tc>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31"/>
        </w:trPr>
        <w:tc>
          <w:tcPr>
            <w:tcW w:w="3420" w:type="dxa"/>
            <w:vAlign w:val="bottom"/>
            <w:gridSpan w:val="2"/>
          </w:tcPr>
          <w:p>
            <w:pPr>
              <w:spacing w:after="0"/>
              <w:rPr>
                <w:sz w:val="20"/>
                <w:szCs w:val="20"/>
                <w:color w:val="auto"/>
              </w:rPr>
            </w:pPr>
            <w:r>
              <w:rPr>
                <w:rFonts w:ascii="Arial" w:cs="Arial" w:eastAsia="Arial" w:hAnsi="Arial"/>
                <w:sz w:val="18"/>
                <w:szCs w:val="18"/>
                <w:color w:val="auto"/>
              </w:rPr>
              <w:t>Healthcare, Government, Other</w:t>
            </w:r>
          </w:p>
        </w:tc>
        <w:tc>
          <w:tcPr>
            <w:tcW w:w="20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00"/>
              <w:spacing w:after="0"/>
              <w:rPr>
                <w:sz w:val="20"/>
                <w:szCs w:val="20"/>
                <w:color w:val="auto"/>
              </w:rPr>
            </w:pPr>
            <w:r>
              <w:rPr>
                <w:rFonts w:ascii="Arial" w:cs="Arial" w:eastAsia="Arial" w:hAnsi="Arial"/>
                <w:sz w:val="18"/>
                <w:szCs w:val="18"/>
                <w:color w:val="auto"/>
              </w:rPr>
              <w:t>Albertson’s</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Nestlé</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HEB</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Lockheed Martin</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Fairview Hospital</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US Air Force</w:t>
            </w: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University of Michigan</w:t>
            </w:r>
          </w:p>
        </w:tc>
        <w:tc>
          <w:tcPr>
            <w:tcW w:w="3240" w:type="dxa"/>
            <w:vAlign w:val="bottom"/>
            <w:gridSpan w:val="2"/>
          </w:tcPr>
          <w:p>
            <w:pPr>
              <w:ind w:left="420"/>
              <w:spacing w:after="0"/>
              <w:rPr>
                <w:sz w:val="20"/>
                <w:szCs w:val="20"/>
                <w:color w:val="auto"/>
              </w:rPr>
            </w:pPr>
            <w:r>
              <w:rPr>
                <w:rFonts w:ascii="Arial" w:cs="Arial" w:eastAsia="Arial" w:hAnsi="Arial"/>
                <w:sz w:val="18"/>
                <w:szCs w:val="18"/>
                <w:color w:val="auto"/>
              </w:rPr>
              <w:t>•   US Dept. of Veterans’ Affairs</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CleanSource DC product competes with makers of lead-acid batteries and organizations developing battery-free technologies for UPS applications. Among the manufacturers of battery-free products, Piller, a European-based company, currently offers a flywheel energy storage system that competes with the CleanSource DC at comparable power levels. However, the Piller flywheel is only available with Piller’s proprietary UPS system. In addition, Pentadyne, a US-based private company, recently began to offer a DC flywheel energy storage system.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direct competitor.</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CleanSource UPS competes primarily with battery-based UPS manufacturers such as Eaton Electrical, Liebert and MGE UPS Systems. In addition, the CleanSource UPS competes with battery-free systems from Piller, Hitec and KS Techniques (previously EuroDiesel).</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With the megawatt-class CleanSource UPS, we are competing with the same group of competitors mentioned above. However, we believe this megawatt class UPS market currently comprises the largest percentage of battery-free UPS systems in the UPS market. We believe the broader market acceptance of battery-free technologies in this power range should strengthen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CoolAir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Overview</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CoolAir DC provides backup power for several minutes to hours depending on the customer application. CoolAir DC utilizes mature thermal and compressed air storage (TACAS) technologies combined in a proprietary manner to produce backup power and backup cooling during an electrical disturbance. CoolAir DC is initially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targeted at lower power levels than our flywheel products, and is sold as a minute-for-minute replacement for lead-acid batteries. In addition to offering a DC-only solution, when customers desire a complete backup solution with an extended runtime, we have introduced the CoolAir UPS that couples our CoolAir DC product with a third party double-conversion UPS.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CoolAir Market</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its current power levels, the CoolAir product primarily competes in the 20-200kVA UPS power market against conventional battery-based UPS systems. According to an independent market analysis of the 2005 global UPS market by Frost &amp; Sullivan, this segment represented approximately 20% of the global UPS market in 2005, with annual sales of approximately $1.1 billion, and is projected to grow at an annual rate of approximately 5% through 2012.</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primary customers in this power level include mission-critical and large-scale equipment, and typically are sold for operator centers, telecommunication equipment switching gear, broadcasting equipment, imaging diagnostic equipment, small and medium size data centers, and process and automation equipment. At this power level, compared to the market for our flywheel business, a greater percentage of sales is made regionally by local resellers. It is estimated that less than one-third of sales are made directly, compared to two thirds in the &gt;200kVA segment.</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Frost &amp; Sullivan estimated sales growth in the 20-200 kVA market at approximately 13% in 2005, faster than the growth rate in the overall UPS market, particularly in North America and Asia, driven by strong demand in the healthcare, high-tech manufacturing and the financial services industries. Frost &amp; Sullivan also expects this segment to continue to grow faster than the overall UPS market.</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primary drivers of growth in this segment are similar to those in our flywheel market and include renewed IT and process upgrades which are increasing power requirements for many organizations and forcing end-users to upgrade their existing power infrastructure. At this lower power level there are more competitors, particularly from Asia, which has contributed towards higher price competition and commoditization of product due to lack of innovation. Competitors have sourced manufacturing offshore to mitigate the effects of this price competition.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Applications in this power segment are often mission critical, which means a high level of user involvement and interaction between the supplier and customer during the purchase process to ensure proper configuration, service, assurance, level of reliability and delivery. This leads to increased involvement of local manufacturers’ representatives and local consulting or electrical engineers in the sales process. Often the choice of sales channel varies by geographic region due to local alliances, local tariffs and regional voltages, as well as a supplier’s position in a given market.</w:t>
      </w:r>
    </w:p>
    <w:p>
      <w:pPr>
        <w:spacing w:after="0" w:line="113" w:lineRule="exact"/>
        <w:rPr>
          <w:sz w:val="20"/>
          <w:szCs w:val="20"/>
          <w:color w:val="auto"/>
        </w:rPr>
      </w:pPr>
    </w:p>
    <w:p>
      <w:pPr>
        <w:jc w:val="both"/>
        <w:ind w:right="160" w:firstLine="456"/>
        <w:spacing w:after="0" w:line="318" w:lineRule="auto"/>
        <w:rPr>
          <w:sz w:val="20"/>
          <w:szCs w:val="20"/>
          <w:color w:val="auto"/>
        </w:rPr>
      </w:pPr>
      <w:r>
        <w:rPr>
          <w:rFonts w:ascii="Arial" w:cs="Arial" w:eastAsia="Arial" w:hAnsi="Arial"/>
          <w:sz w:val="15"/>
          <w:szCs w:val="15"/>
          <w:color w:val="auto"/>
        </w:rPr>
        <w:t>Like the high-power market, brand and service capabilities are important competitive differentiators. If a workstation or equipment fails, customers may suffer potentially significant economic losses. This increased awareness and application criticality have led to an increased level of brand loyalty in this market. Customers want high reliability and features such as product certifications, high power correction factors, maintenance bypass features and monitoring services. These customers also recognize the need for service and after-sales maintenance. UPS products have become more reliable and robust over time, but the backup battery system remains a prevalent source of failure in UPS systems. As a result, monitoring services are as valuable to customers as maintenance.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most of these UPS systems are used in conjunction with an application, growth in the UPS market should be tied to growth in the application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in recent years the proliferation of the Internet and PCs has been the primary driver of growth.</w:t>
      </w:r>
    </w:p>
    <w:p>
      <w:pPr>
        <w:spacing w:after="0" w:line="165"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Overall, brand recognition and service capabilities are the most likely basis of competition due to the maturity of the markets and the lack of product innovation to differentiate similar product offerings. The ability to offer space savings, higher reliability and better service often will determine success in a market, although some markets, particularly in Asia continue to be driven primarily by price.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Thermal and Compressed Air Storage System Technology</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September 2004 we first introduced a new battery-free technology that utilizes thermal and compressed air storage (TACAS) systems to provide backup power for an extended runtime (minutes to hours) while simultaneously providing backup cooling during an electrical outage or disturbance.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standby operation (when utility power is present), breathable compressed air can be used as an energy source stored in standard air cylinders. A nominal amount of electricity is used to keep the thermal storage material heated at the proper temperature using basic and redundant electric heating elements. In the event of a power disturbance, a valve is opened releasing the compressed air, which is routed through the thermal storage unit to gain additional energy. This heated air is then applied to an air motor (expansion turbine) that spins at high speeds and turns a permanent magnet alternator, which, in turn generates power that is used to support the critical load. Depending on the application, this product provides backup power for minutes to hours. When utility power is restored, the system can electrically recharge by using some electricity to compress air back into the cylinders and to re-heat the thermal storage material. The byproduct from operation of this system is a discharge of cool air which can be used to cool electronic equipment in the room prior to an orderly data center shutdown or until the data center cooling systems are restored on generator or utility power.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graphic depicts the TACAS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242570</wp:posOffset>
            </wp:positionV>
            <wp:extent cx="5462905" cy="2864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6290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CoolAir DC</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first product based on this TACAS technology platform is being marketed as CoolAir DC. While CoolAir DC provides extended runtimes similar to battery solutions, it does so without any of the inherent limitations of batteries related to reliability, manageability and maintainability. CoolAir DC utilizes readily available compressed air and thermal energy storage along with simple and reliable mechanical components that combine to produce a predictable and reliable source of DC power that does not degrade over time. In addition, CoolAir DC has the capability to provide backup cooling that has become an important requirement of today’s datacenters because of ever-increasing power densities. In December 2004, we shipped our first CoolAir DC evaluation unit. We recorded our first sale of a CoolAir DC in December 2005, and began commercial production during the second quarter of 2006.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CoolAir DC was developed to meet the needs of the market where customers require minutes to hours of backup power because they typically do not have backup generators. Based on our primary research, we believe a substantial portion of customers within the three-phase UPS market in North America do not have a backup generator and require extended runtimes between 5 and 30 minutes. Similarly, this market segment does not typically have their HVAC system on backup power so that during an outage critical equipment is not being cooled, even if it has backup power. Thus, having the CoolAir DC expel cool air during a power interruption can be of value to these customers by reducing the possibility of a thermal shutdown and allowing critical equipment to run for a longer duration in the event of an extended power outage. CoolAir DC is flexible in its configuration and can easily extend the runtime by simply adding more compressed air tanks. Applications demanding such extended runtime are, for example, the mid-range UPS market (roughly defined as 5 to 200 kVA), where 15 minutes of backup power is required to allow the customer to shut down its critical equipment in an orderly manner. The CoolAir DC system is currently available for a power rating from 32 to 80 kW.</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CoolAir DC has lower expected lifecycle costs than battery solutions due to its projected 20-year lifespan, as well as comparatively low maintenance and replacement part requirements. In some instances, the initial cost of CoolAir DC may be higher than batteries for a customer. To help mitigate this upfront financial impact on customers, we are offering customers a usage or lease option in addition to a purchase option. The usage option includes warranty, maintenance and testing for a single price per year during a 3, 5 or 10-year agreement. The usage model spreads out the payments over an agreed term, and offers customers a consistent, predictable cost over time. CoolAir DC can be sold with a UPS or sold into existing UPS installations to replace a customer’s lead-acid batteries.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UPS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provide the fastest route to market for a complete UPS solution for our customers requiring extended runtime, we have teamed with a division of General Electric Corporation to provide an Active Power-branded UPS, which is marketed as CoolAir UPS. This CoolAir UPS solution leverages the TACAS technology and simply couples the CoolAir DC unit with a GE-sourced double-conversion UPS. We can also sell the GE-sourced double-conversion UPS directly to customers without the CoolAir DC. In addition to all the energy storage benefits of the TACAS technology listed above, CoolAir UPS also provides benefits such as tighter voltage regulation and better transient response that leads to much improved output power quality relative to our competitors’ UPS products. With the ability to parallel the GE-sourced UPS, multiple CoolAir UPS systems may be connected in parallel to create a backup power system up to 800 kVA.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Customers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began commercially selling CoolAir DC in the second quarter of 2006, and so our customer base is limited. However, some of the markets and applications that we have already shipped or sold into include the following:</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4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Research Laboratory, Load Leveling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Semiconductor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Chip Manufacturing, Process Manufacturing</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Academic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Operations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Institutions</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Data Center, Travel Center Operations</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Solar Cell Manufacturing</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Load Leveling</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CoolAir DC competes primarily against battery cabinet offerings for 20–200 kVA UPS provided by suppliers such as Eaton Electrical, Liebert, American Power Conversion and MGE UPS Systems. To our knowledge, there are no commercially available battery-free extended runtime products within this market space. CoolAir DC provides extended runtimes similar to batteries, without any of their inherent limitations related to reliability, manageability and maintainability. In addition, CoolAir DC has the capability to provide back-up cooling that has become an important requirement of today’s data centers because of the ever-increasing power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densities that generate heat within data centers. Our ability to compete effectively with the CoolAir DC product will primarily depend on the rate of acceptance of this new technology in the small to medium business segment.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CoolAir UPS is a 20–100 kVA double-conversion UPS solution that utilizes the TACAS technology for energy storage. With the CoolAir UPS, we compete against battery-based UPS solutions provided by the same group of competitors as mentioned above. Our ability to succeed within this space is also strongly dependent on the acceptance of the TACAS technology within this market segment. A differentiated offering and a strong value proposition for customers have allowed us to sign various top power quality manufacturers’ representatives to carry CoolAir UPS as their primary UPS offering. This manufacturers’ representative channel now provides significant coverage for the CoolAir UPS throughout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last several years our sales and marketing activities were focused principally on training and supporting our OEM customers. Since 2000 we have hosted numerous Caterpillar dealers and Eaton Electrical sales representatives to promote awareness of our UPS and DC products and to demonstrate the capabilities and market opportunities of these products. We also implemented several programs aimed at increasing OEM engagement and focusing on selling our products and have conducted regular intensive sales programs focused on enabling and educating our OEM partners throughout the United States and in Europe. These sales programs are used to increase product awareness and sales effectiveness.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As we began to broaden our sales channels in 2005, we shifted the focus of our sales and marketing activities to direct sales, while still supporting our existing channel partners. In 2005 we undertook a campaign to recruit regional manufacturers’ representatives in the United States and Canada, and added direct sales employees and sales agents for certain products and geographic regions, particularly in Europe, to increase our market coverage. In 2006 we have been growing our geographically dispersed direct sales force to focus on direct customer relationships within specific geographic regions and particularly on specific national accounts. Direct sales tend to improve our relationships with customers, improve our gross margins and add service revenue opportunities.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Our primary sales channels in EMEA include direct sales and select VARs. We also provide services including engineering, installation, start-up, monitoring, and repair for our products under contracts with our customers.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marketing efforts focus on developing and sustaining key relationships with industry influencers, such as design engineers, and our channel partners, participating in trade shows to promote the brand and launch our products, and equipping and training our Active Power salespeople and our channel partners. We also work with OEM partners on promotional activities such as advertising development, direct mail and seminar strategies. We use our marketing resources to stimulate end-user interest through trade press articles, participation in industry conferences, online marketing, and limited direct mail to specific power quality prospects. In 2005 and 2006 we increased our marketing efforts in support of our direct selling activities in an effort to increase sales of Active Power-branded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first priority is to sell service contracts directly to our end-users to parallel our increased efforts to build our global direct sales force. In 2006 we began focusing on increasing our service revenues through increased customer coverage and additional value-add service offerings. We anticipate that in 2006 our service revenues will substantially grow through the direct sale of Active Power service contracts, parts, training, and installation. As we increase direct sales under the Active Power brand, we believe that this will provide us with more opportunities to increase the number of relationships with end-user customers and therefore increase service and support revenues from those customers.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our sales and marketing activities, prior to 2005 we focused on educating and training our OEM customers on the service and maintenance of our products. We believe their engagement reduced the need for us to have a large internal support organization by enabling our OEMs to provide installation, service and primary support to their customers. We also expanded our service coverage areas and entered into strategic partnerships to broaden our service reach in areas where it was impractical or inefficient to staff Active Power employees. The training programs are hosted at our Austin, Texas location where we have a sophisticated training facility, and where the service people can get hands-on-experience with our products. All of our OEM customers must be certified by Active Power in order to service our products.</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will continue to support our OEM partners who sell service contracts for our products to their customers. We understand the importance of growing service in these OEM channels as we shift to our multi-channel sales strategy.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generator sales and has the largest installed base of existing standby generators in the world. By offering the Cat UPS with a standby generator, Caterpillar can transform a standby power system into a CPS. The combined solution reduces maintenance costs and increases reliability relative to traditional CPS products. Moreover, because Caterpillar’s product line now includes both a UPS and a generator along with switchgear Caterpillar is now selling, Caterpillar can install and service a complete CPS under a single and very recognizable brand name. We believe that this total solution gives both Caterpillar and Active Power a significant competitive advantage in the power quality market.</w:t>
      </w:r>
    </w:p>
    <w:p>
      <w:pPr>
        <w:spacing w:after="0" w:line="12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a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this agreement, Caterpillar invested $5 million in this development. We began shipments of the Cat UPS in 2000. While we retained sole ownership of the underlying flywheel energy storage technology, we jointly own with Caterpillar intellectual property directed to the integration of UPS electronics with the CleanSource flywheel technology.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18"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entered into a second development with Caterpillar in September 2001 to develop a high power flywheel UPS platform that Caterpillar may ship under the Cat UPS brand name. Caterpillar invested an additional $5 million in this development. We began shipping this high power UPS in the third quarter of 2003.</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Under our distribution agreement with Caterpillar, we sell Cat UPS equipment to them at set prices. During 2005, 2004, and 2003,</w:t>
      </w:r>
      <w:r>
        <w:rPr>
          <w:rFonts w:ascii="Arial" w:cs="Arial" w:eastAsia="Arial" w:hAnsi="Arial"/>
          <w:sz w:val="18"/>
          <w:szCs w:val="18"/>
          <w:i w:val="1"/>
          <w:iCs w:val="1"/>
          <w:color w:val="auto"/>
        </w:rPr>
        <w:t xml:space="preserve"> </w:t>
      </w:r>
      <w:r>
        <w:rPr>
          <w:rFonts w:ascii="Arial" w:cs="Arial" w:eastAsia="Arial" w:hAnsi="Arial"/>
          <w:sz w:val="18"/>
          <w:szCs w:val="18"/>
          <w:color w:val="auto"/>
        </w:rPr>
        <w:t>we received approximately 42%, 54% and 60%, respectively, of our revenue from Caterpillar and its dealer network under this agreement. The principal provisions of this distribution agreement are summarized below:</w:t>
      </w:r>
    </w:p>
    <w:p>
      <w:pPr>
        <w:spacing w:after="0" w:line="181" w:lineRule="exact"/>
        <w:rPr>
          <w:sz w:val="20"/>
          <w:szCs w:val="20"/>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90" w:lineRule="exact"/>
        <w:rPr>
          <w:rFonts w:ascii="Arial" w:cs="Arial" w:eastAsia="Arial" w:hAnsi="Arial"/>
          <w:sz w:val="18"/>
          <w:szCs w:val="18"/>
          <w:color w:val="auto"/>
        </w:rPr>
      </w:pPr>
    </w:p>
    <w:p>
      <w:pPr>
        <w:ind w:left="1260" w:right="40" w:hanging="455"/>
        <w:spacing w:after="0" w:line="332" w:lineRule="auto"/>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4" w:lineRule="exact"/>
        <w:rPr>
          <w:rFonts w:ascii="Arial" w:cs="Arial" w:eastAsia="Arial" w:hAnsi="Arial"/>
          <w:sz w:val="16"/>
          <w:szCs w:val="16"/>
          <w:color w:val="auto"/>
        </w:rPr>
      </w:pPr>
    </w:p>
    <w:p>
      <w:pPr>
        <w:ind w:left="1260" w:right="140" w:hanging="455"/>
        <w:spacing w:after="0" w:line="26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Under our existing agreement, Caterpillar may continue to distribute Cat UPS until January 1, 2007. At such time the agreement will continue for additional six-month periods unless either party provides to the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of control of the other.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sales by Caterpillar have been short of the contractual minimums necessary for Caterpillar to retain semi-exclusivity; however, we have continued to work with Caterpillar as our primary UPS OEM customer and have not sold the UPS to any of Caterpillar’s identified competitors. Our agreement with Caterpillar expires in January 2007. While we intend to renew this agreement, and currently believe that Caterpillar intends to renew the agreement, we cannot be sure that such renewal will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Eaton Electrical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Eaton Electrical is a global leader in power systems technology and has a broad range of UPS products and services available worldwide. Eaton Electrical sells and services the CleanSource DC product with its own UPS, delivering a battery-free backup power solution. Eaton Electrical has a well-established sales and service network that allows it to provide an effective sales channel and quality service to our end-users around the world. We recently renewed our worldwide distribution agreement with a one-year term that gives Eaton Electrical the non-exclusive right to distribute and sell the CleanSource DC worldwide. Eaton Electrical is under no obligation to purchase any CleanSource DC units from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 Consumer and Industrial</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Purchase Agreement</w:t>
      </w:r>
      <w:r>
        <w:rPr>
          <w:rFonts w:ascii="Arial" w:cs="Arial" w:eastAsia="Arial" w:hAnsi="Arial"/>
          <w:sz w:val="18"/>
          <w:szCs w:val="18"/>
          <w:color w:val="auto"/>
        </w:rPr>
        <w:t>. We have a purchase agreement with GE Consumer and Industrial (formerly GE Digital Energy), a division of General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power quality equipment. GE has the non-exclusive right to purchase and sell our CleanSource DC products. Sales of our products through this channel were negligible in 2005; however, we have experienced and are anticipating additional sales of our CleanSource DC products through this channel in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Sourcing Agreement. </w:t>
      </w:r>
      <w:r>
        <w:rPr>
          <w:rFonts w:ascii="Arial" w:cs="Arial" w:eastAsia="Arial" w:hAnsi="Arial"/>
          <w:sz w:val="18"/>
          <w:szCs w:val="18"/>
          <w:color w:val="auto"/>
        </w:rPr>
        <w:t>During 2005, GE Zenith Controls and Active Power entered into a long-term supply agreement for uninterruptible power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accessories. This agreement allows us to buy and resell GE’s 60 Hz double-conversion UPS line in North America. In 2005 we began selling these GE UPS systems on a stand-alone basis themselves; and in 2006 they are being sold along side our CoolAir DC product through our direct and manufacturers’ representative sales channels.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CleanSource DC Distributors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Caterpillar, Eaton Electrical and GE, we have distribution agreements with other OEM customers that have coverage in other geographical areas (e.g., Japan and The Republic of South Korea). To date, none of these distributors has generated significant revenue for 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securityholders may be our directors, executive officers, former directors, employees, former employees or other holders of our common stock. The common stock that may be sold by the selling securityholders was issued in various private placements in connection with our founding and incorporation in August 1992 or may be acquired after the date hereof by the exercise of options held by certain of our officers, directors and employees. The prospectus supplement for any offering of the common stock by selling securityholders will include the following information:</w:t>
      </w:r>
    </w:p>
    <w:p>
      <w:pPr>
        <w:spacing w:after="0" w:line="153"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which each selling stockholder has had within the last three years with us or any of our predecessors or affiliates;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held by each of the selling securityholders before and after the offering;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the common stock held by each of the selling securityholders before and after the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our common stock offered by each of the selling securityholders.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summary of the key terms and provisions of our capital stock. You should refer to the applicable provisions of our restated certificate of incorporation, our amended and restated bylaws, the Delaware General Corporation Law and the documents that we have incorporated by reference, including the description of our common stock contained in our registration statement on Form 8-A (filed June 30, 2000) (including any amendment or report filed for the purpose of updating such description), the description of our stock purchase rights contained in our registration statement on Form 8-A (filed December 14, 2001) (including any amendment or report filed for the purpose of updating such description) and the description of the Series A Junior Participating Preferred Stock contained in our Form 8-K (filed December 14, 2001) (including any amendment or report filed for the purpose of updating such description) for a complete statement of the terms and rights of our capital stock. See “Where You Can Find More Information” beginning on page 48.</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the date of this prospectus, we are authorized to issue up to 150,000,000 shares of common stock, par value $0.001 per share, and up to 10,000,000 shares of preferred stock, par value $0.001 per share. Of such shares of preferred stock, 400,000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form of which is included as an exhibit to our Form 8-K (filed December 14, 2001), which is incorporated herein by reference). As of September 25, 2006 we had 50,019,245 shares of common stock and no shares of preferred stock issued and outstanding.</w:t>
      </w:r>
    </w:p>
    <w:p>
      <w:pPr>
        <w:spacing w:after="0" w:line="144" w:lineRule="exact"/>
        <w:rPr>
          <w:sz w:val="20"/>
          <w:szCs w:val="20"/>
          <w:color w:val="auto"/>
        </w:rPr>
      </w:pPr>
    </w:p>
    <w:p>
      <w:pPr>
        <w:ind w:right="240" w:firstLine="456"/>
        <w:spacing w:after="0" w:line="228" w:lineRule="auto"/>
        <w:rPr>
          <w:sz w:val="20"/>
          <w:szCs w:val="20"/>
          <w:color w:val="auto"/>
        </w:rPr>
      </w:pPr>
      <w:r>
        <w:rPr>
          <w:rFonts w:ascii="Arial" w:cs="Arial" w:eastAsia="Arial" w:hAnsi="Arial"/>
          <w:sz w:val="18"/>
          <w:szCs w:val="18"/>
          <w:color w:val="auto"/>
        </w:rPr>
        <w:t>The registrar and transfer agent for our common stock is American Stock Transfer &amp; Trust Company and its address is 6201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Avenue, Brooklyn, NY 11219.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of the outstanding shares of common stock are, and the common stock offered by any prospectus supplement will be, validly issued, fully paid and nonassessable upon issuance against full payment of the purchase price. Each share of common stock has an equal and ratable right to receive dividends when, as and if declared by the board of directors out of assets legally available therefor and subject to the dividend obligations to the holders of any preferred stock then outstanding.</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share equally and ratably in the assets available for distribution after payment of all liabilities and subject to any prior rights of any holders of preferred stock that at the time may be outstanding.</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holders of common stock have no preemptive, subscription or conversion rights, and are not subject to further calls or assessments of Active Power. There are no redemption or sinking fund provisions applicable to the common stock. Each share of common stock is entitled to one vote in the election of directors and on all other matters submitted to a vote of stockholders. Holders of common stock have no right to cumulate their votes in the election of directors, such that the holders of a majority of the shares of common stock can elect all of the members of the board of directors standing for election.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Of the authorized shares of preferred stock, 400,000 shares have been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 a summary and form of which can be found in our Form 8-K filed December 14, 2001, which is incorporated herein by reference. Shares of preferred stock may be issued from time to time in one or more series, and the board of directors, without further approval of the stockholders, is authorized to fix the dividend rates and terms, conversion rights, voting rights, redemption rights and terms, liquidation preferences and any other rights, preferences, privileges and restrictions applicable to each series of preferred stock. The purpose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authorizing the board of directors to determine such rights, preferences, privileges and restrictions is to allow such determinations to be made by the board of directors instead of the stockholders and to avoid the expense of, and eliminate delays associated with, a stockholder vote on specific issues.</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Undesignated preferred stock may enable our board of directors to render more difficult or to discourage an attempt to obtain control of us by means of a tender offer, proxy contest, merger or otherwise, and to thereby protect the continuity of our management. As a result, the issuance of shares of a series of preferred stock may discourage bids for our common stock or may otherwise adversely affect the market price of our common stock or any other series of our preferred stock. The issuance of shares of preferred stock may also adversely affect the rights of the holders of our common stock. For example, any preferred stock issued will rank senior to our common stock as to dividend rights and liquidation preference, may have full or limited voting rights and may be convertible into shares of common stock or other securities.</w:t>
      </w:r>
    </w:p>
    <w:p>
      <w:pPr>
        <w:spacing w:after="0" w:line="14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description of the terms of the preferred stock sets forth some of the general terms and provisions of our authorized preferred stock. If we offer preferred stock under this prospectus or any accompanying prospectus supplement, the terms may include the following:</w:t>
      </w:r>
    </w:p>
    <w:p>
      <w:pPr>
        <w:spacing w:after="0" w:line="12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each such series and the designation thereof;</w:t>
      </w:r>
    </w:p>
    <w:p>
      <w:pPr>
        <w:spacing w:after="0" w:line="9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annual rate or amount of dividends, if any, payable on shares of each such series (which dividends would be payable in preference to any dividends on common stock), whether such dividends shall be cumulative or non-cumulative and the conditions upon which and/or the date when such dividends shall be payable;</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shares of each such series shall be redeemable and, if so, the terms and conditions of such redemption, including the time or times when and the price or prices at which shares of each such series may be redeemed;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if any, payable on shares of each such series in the event of liquidation, dissolution or winding up of the affairs of the Company;</w:t>
      </w:r>
    </w:p>
    <w:p>
      <w:pPr>
        <w:spacing w:after="0" w:line="113" w:lineRule="exact"/>
        <w:rPr>
          <w:rFonts w:ascii="Arial" w:cs="Arial" w:eastAsia="Arial" w:hAnsi="Arial"/>
          <w:sz w:val="16"/>
          <w:szCs w:val="16"/>
          <w:color w:val="auto"/>
        </w:rPr>
      </w:pPr>
    </w:p>
    <w:p>
      <w:pPr>
        <w:ind w:left="780" w:right="28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shares of each such series shall be convertible into or exchangeable for shares of any other class, or any series of the same or any other class, and, if so, the terms and conditions thereof, including the price or prices or the rate or rates at which shares of each such series shall be so convertible or exchangeable, and the adjustment which shall be made, and the circumstances in which such adjustments shall be made, in such conversion or exchange prices or rates; and</w:t>
      </w:r>
    </w:p>
    <w:p>
      <w:pPr>
        <w:spacing w:after="0" w:line="62"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shares of each such series shall have any voting rights in addition to those prescribed by law and, if so, the terms and conditions of exercise of voting rights.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description of the terms of the preferred stock is not complete and will be subject to and qualified by the certificate of designation relating to any applicable series of preferred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Any debt securities that we offer under a prospectus supplement will be direct, unsecured general obligations. The debt securities will be either senior debt securities or unsecured subordinated debt securities. The debt securities will be issued under one or more separate indentures between us and a banking or financial institution, as trustee. Senior debt securities will be issued under a senior debt indenture and subordinated debt securities will be issued under a subordinated debt indenture. Together the senior debt indenture and the subordinated indenture are called “indentures.” The indentures will be supplemented by supplemental indentures, the material provisions of which will be described in a prospectus supplement.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in this description, the words “Active Power,” “we,” “us” and “our” refer to Active Power, Inc. and not to any of its subsidiaries or affiliates.</w:t>
      </w:r>
    </w:p>
    <w:p>
      <w:pPr>
        <w:spacing w:after="0" w:line="19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summarized some of the material provisions of the indentures below. This summary does not restate those agreements in their entirety. A form of senior indenture and a form of subordinated indenture have been filed as exhibits to the registration statement of which this prospectus is a part. We urge you to read each of the indentures because each one, and not this description, defines the rights of holders of debt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defined in the indentures have the same meanings when used in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debt securities issued under the indentures will be our direct, unsecured general obligations. The senior debt securities will rank equally with all of our other senior and unsubordinated debt. The subordinated debt securities will have a junior position to all of our senior debt.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portion of our assets are held by operating subsidiaries, including Active Power (Switzerland) AG, Active Power (Germany) GmbH, and Active Power (Italy) S.r.l., as well as other direct and indirect subsidiaries that we may establish from time to time. With respect to these assets, holders of senior debt securities that are not guaranteed by our operating subsidiaries and holders of subordinated debt securities will have a position junior to the prior claims of creditors of these subsidiaries, including trade creditors, debtholders, secured creditors, taxing authorities, guarantee holders and any preferred stockholders, except to the extent that we may ourself be a creditor with recognized claims against any subsidiary. Our ability to pay the principal, premium, if any, and interest on any debt securities is, to a large extent, dependent upon the payment to us by our subsidiaries of dividends, debt principal and interest or other charges.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description sets forth the general terms and provisions that could apply to debt securities that we may offer to sell. A prospectus supplement relating to any series of debt securities being offered will include specific terms relating to the offering. These terms will include some or all of the following:</w:t>
      </w:r>
    </w:p>
    <w:p>
      <w:pPr>
        <w:spacing w:after="0" w:line="103"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principal amount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 price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minimum denominations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which the debt securities will bear and the interest payment dates for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conversion or exchange features;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optional redemption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some or all of the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None of the indentures will limit the amount of debt securities that may be issued. Each indenture will allow debt securities to be issued up to the principal amount that may be authorized by us and may be in any currency or currency unit designated by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of a series may be issued in registered, bearer, certificated or global 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applicable prospectus supplement relating to a series of our senior debt securities provides that those senior debt securities will have the benefit of a guarantee by any or all of our operating subsidiaries, payment of the principal, premium, if any, and interest on those senior debt securities will be unconditionally guaranteed on an unsecured, unsubordinated basis by such subsidiary or subsidiaries. The guarantee of senior debt securities will rank equally in right of payment with all of the unsecured and unsubordinated indebtedness of such subsidiary or subsidiaries.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applicable prospectus supplement relating to a series of our subordinated debt securities provides that those subordinated debt securities will have the benefit of a guarantee by any or all of our operating subsidiaries, payment of the principal, premium, if any, and interest on those subordinated debt securities will be unconditionally guaranteed on an unsecured, subordinated basis by such subsidiary or subsidiaries. The guarantee of the subordinated debt securities will be subordinated in right of payment to all of such subsidiary’s or subsidiaries’ existing and future senior indebtedness (as defined in the related prospectus supplement), including any guarantee of the senior debt securities, to the same extent and in the same manner as the subordinated debt securities are subordinated to our senior indebtedness (as defined in the related prospectus supplement). See “—Subordination” below.</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obligations of our operating subsidiaries under any such guarantee will be limited as necessary to prevent the guarantee from constituting a fraudulent conveyance or fraudulent transfer under applicable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the indentures, we:</w:t>
      </w:r>
    </w:p>
    <w:p>
      <w:pPr>
        <w:spacing w:after="0" w:line="21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pay the principal of, interest and any premium on, the debt securities when due;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maintain a place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deliver a certificate to the trustee at the end of each fiscal year reviewing our obligations under the indentures;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preserve our corporate existence;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deposit sufficient funds with any paying agent on or before the due date for any principal, interest or premium.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 of Assets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indentures will provide that we may not consolidate with or merge into any other person or sell, convey, transfer or lease all or substantially all of our properties and assets (on a consolidated basis) to another person, unless:</w:t>
      </w:r>
    </w:p>
    <w:p>
      <w:pPr>
        <w:spacing w:after="0" w:line="172" w:lineRule="exact"/>
        <w:rPr>
          <w:sz w:val="20"/>
          <w:szCs w:val="20"/>
          <w:color w:val="auto"/>
        </w:rPr>
      </w:pPr>
    </w:p>
    <w:p>
      <w:pPr>
        <w:ind w:left="780" w:right="180" w:hanging="326"/>
        <w:spacing w:after="0" w:line="370"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either: (a) Active Power is the surviving corporation; or (b) the person or entity formed by or surviving any such conversion, consolidation, amalgamation or merger (if other than Active Power) or to which such sale, assignment, transfer, conveyance or other disposition has been made is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68" w:lineRule="auto"/>
        <w:rPr>
          <w:sz w:val="20"/>
          <w:szCs w:val="20"/>
          <w:color w:val="auto"/>
        </w:rPr>
      </w:pPr>
      <w:r>
        <w:rPr>
          <w:rFonts w:ascii="Arial" w:cs="Arial" w:eastAsia="Arial" w:hAnsi="Arial"/>
          <w:sz w:val="18"/>
          <w:szCs w:val="18"/>
          <w:color w:val="auto"/>
        </w:rPr>
        <w:t>corporation, limited liability company or limited partnership organized or existing under the laws of the United States, any state of the United States or the District of Columbia;</w:t>
      </w:r>
    </w:p>
    <w:p>
      <w:pPr>
        <w:spacing w:after="0" w:line="64" w:lineRule="exact"/>
        <w:rPr>
          <w:sz w:val="20"/>
          <w:szCs w:val="20"/>
          <w:color w:val="auto"/>
        </w:rPr>
      </w:pPr>
    </w:p>
    <w:p>
      <w:pPr>
        <w:ind w:left="780" w:right="20" w:hanging="326"/>
        <w:spacing w:after="0" w:line="29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person or entity formed by or surviving any such conversion, consolidation, amalgamation or merger (if other than Active Power) or the person or entity to which such sale, assignment, transfer, conveyance or other disposition has been made assumes all the obligations of Active Power under the securities and the indentures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such person or entity is a corporation, a corporate co-issuer of the securities will be added to the applicable indenture by agreements reasonably satisfactory to the trustee;</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indentures; and</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consolidation or merger complies with the indenture and that all conditions precedent set forth in the indenture have been complied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assumption of our obligations by a successor, we will be discharged from all obligations under the indentures.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the indentures, with respect to debt securities of any series, will mean any of the following:</w:t>
      </w:r>
    </w:p>
    <w:p>
      <w:pPr>
        <w:spacing w:after="0" w:line="90" w:lineRule="exact"/>
        <w:rPr>
          <w:sz w:val="20"/>
          <w:szCs w:val="20"/>
          <w:color w:val="auto"/>
        </w:rPr>
      </w:pPr>
    </w:p>
    <w:p>
      <w:pPr>
        <w:ind w:left="780" w:right="3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at its maturity;</w:t>
      </w:r>
    </w:p>
    <w:p>
      <w:pPr>
        <w:spacing w:after="0" w:line="90" w:lineRule="exact"/>
        <w:rPr>
          <w:rFonts w:ascii="Arial" w:cs="Arial" w:eastAsia="Arial" w:hAnsi="Arial"/>
          <w:sz w:val="18"/>
          <w:szCs w:val="18"/>
          <w:color w:val="auto"/>
        </w:rPr>
      </w:pPr>
    </w:p>
    <w:p>
      <w:pPr>
        <w:ind w:left="780" w:right="120" w:hanging="326"/>
        <w:spacing w:after="0" w:line="291"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set forth in Article Ten of the indenture (other than a default in a covenant whose performance or whose breach is elsewhere specifically dealt with as an event of default or which has expressly been included in the indenture solely for the benefit of series of debt securities other than that series) and continuance of such default or breach for a period of 90 days after there has been given, by registered or certified mail, to Active Power by the trustee or to Active Power and the trustee by the holders of at least 25% in principal amount of the then-outstanding debt securities of that series a written notice specifying such default or breach and requiring it to be remedied and stating that such notice is a “Notice of Default” thereunder;</w:t>
      </w:r>
    </w:p>
    <w:p>
      <w:pPr>
        <w:spacing w:after="0" w:line="39" w:lineRule="exact"/>
        <w:rPr>
          <w:rFonts w:ascii="Arial" w:cs="Arial" w:eastAsia="Arial" w:hAnsi="Arial"/>
          <w:sz w:val="16"/>
          <w:szCs w:val="16"/>
          <w:color w:val="auto"/>
        </w:rPr>
      </w:pPr>
    </w:p>
    <w:p>
      <w:pPr>
        <w:ind w:left="780" w:right="20" w:hanging="326"/>
        <w:spacing w:after="0" w:line="291"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default in the performance, or breach, of any covenant in the indenture (other than a covenant in set forth in Article Ten of the indenture or any other covenant a default in whose performance or whose breach is elsewhere specifically dealt with as an event of default or which has expressly been included in the indenture solely for the benefit of series of debt securities other than that series), and continuance of such default or breach for a period of 120 days after there has been given, by registered or certified mail, to Active Power by the trustee or to Active Power and the trustee by the holders of at least 25% in principal amount of the then-outstanding debt securities of that series a written notice specifying such default or breach and requiring it to be remedied and stating that such notice is a “Notice of Default” thereunder;</w:t>
      </w:r>
    </w:p>
    <w:p>
      <w:pPr>
        <w:spacing w:after="0" w:line="39"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in accordance with provisions of the indenture related to the issuance of debt securities.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an indenture. The trustee may withhold notice to the holders of debt securities of any default (except in the payment of principal, interest or any premium) if it considers the withholding of notice to be in the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 specified percentage in aggregate principal amount of the debt securities of the series may declare the entire principal of all the debt securities of that series to be due and payable immediately. If this happens, subject to certain conditions, the holders of a specified percentage of the aggregate principal amount of the debt securities of that series can void the declaration.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any indenture at the request, order or direction of any holders, unless the holders offer the trustee reasonable indemnity. If they provide this reasonable indemnification, the holders of a majority in principal amount outstanding of any series of debt securities may direct the time, method and place of conducting any proceeding or any remedy available to the trustee, or exercising any power conferred upon the trustee, for any series of debt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indentures, the securities issued thereunder or the subsidiary guarantees may be amended or supplemented with the consent of the holders of a majority in aggregate principal amount of the then-outstanding securities of each series of securities affected by such amendment or supplemental indenture, with each such series voting as a separate series (including without limitation, consents obtained in connection with a purchase of, or tender offer or exchange offer for, securities) and, subject to certain exceptions, any past default or compliance with any provisions may be waived with respect to each series of securities with the consent of the holders of a majority in principal amount of the then-outstanding securities of such series voting as a separate class (including consents obtained in connection with a purchase of, or tender offer or exchange offer for,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consent of each holder of the outstanding debt security affected, an amendment or waiver may not, among other things:</w:t>
      </w:r>
    </w:p>
    <w:p>
      <w:pPr>
        <w:spacing w:after="0" w:line="90" w:lineRule="exact"/>
        <w:rPr>
          <w:sz w:val="20"/>
          <w:szCs w:val="20"/>
          <w:color w:val="auto"/>
        </w:rPr>
      </w:pPr>
    </w:p>
    <w:p>
      <w:pPr>
        <w:ind w:left="780" w:right="4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 or reduce the principal amount thereof or the rate of interest thereon or any premium payable upon the redemption thereof, or reduce the amount of the principal of an original issue discount security that would be due and payable upon a declaration of acceleration of the maturity thereof pursuant to the indenture, or change any place of payment where, or the coin or currency in which, any debt security or any premium or the interest thereon is payable, or impair the right to institute suit for the enforcement of any such payment on or after the stated maturity thereof (or, in the case of redemption, on or after the redemption date therefor),</w:t>
      </w:r>
    </w:p>
    <w:p>
      <w:pPr>
        <w:spacing w:after="0" w:line="63"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then-outstanding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59" w:lineRule="exact"/>
        <w:rPr>
          <w:rFonts w:ascii="Arial" w:cs="Arial" w:eastAsia="Arial" w:hAnsi="Arial"/>
          <w:sz w:val="18"/>
          <w:szCs w:val="18"/>
          <w:color w:val="auto"/>
        </w:rPr>
      </w:pPr>
    </w:p>
    <w:p>
      <w:pPr>
        <w:ind w:left="780" w:right="160" w:hanging="326"/>
        <w:spacing w:after="0" w:line="290"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modify any of the provisions set forth in (i) sections related to matters addressed in items in the third paragraph of this caption, “– Amendments and Waivers,” immediately below, (ii) the provisions of the indenture related to the holder’s unconditional right to receive principal, premium, if any, and interest on the debt securities or (iii) the provisions of the indenture related to the waiver of past defaults under the indenture except to increase any such percentage or to provide that certain other provisions of the indenture cannot be modified or waived without the consent of the holder of each then-outstanding debt security affected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shall not be deemed to require the consent of any holder with respect to changes in the references to “the trustee” and concomitant changes in this section of the indenture, or the deletion of this proviso in the indenture, in accordance with the requirements of the indenture;</w:t>
      </w:r>
    </w:p>
    <w:p>
      <w:pPr>
        <w:spacing w:after="0" w:line="37"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waive a redemption payment with respect to any debt security;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purchase or repurchase of debt securities shall not be deemed a redemption of the debt securities;</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release any guarantor from any of its obligations under its guarantee or the indenture, except in accordance with the terms of the indenture (as supplemented by any supplemental indenture);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Notwithstanding the foregoing, without the consent of any holder of securities, Active Power, the guarantors and the trustee may amend the indentures or the securities issued thereunder to:</w:t>
      </w:r>
    </w:p>
    <w:p>
      <w:pPr>
        <w:spacing w:after="0" w:line="51"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herein that may be inconsistent with any other provision therein;</w:t>
      </w:r>
    </w:p>
    <w:p>
      <w:pPr>
        <w:spacing w:after="0" w:line="9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the succession of another person or entity to Active Power and the assumption by any such successor of the covenants of Active Power therein and, to the extent applicable, to the debt securities;</w:t>
      </w:r>
    </w:p>
    <w:p>
      <w:pPr>
        <w:spacing w:after="0" w:line="50"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to provide for uncertificated debt securities in addition to or in place of certificated debt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debt securities are issued in registered form for purposes of Section 163(f) of the Internal Revenue Code or in the manner such that the uncertificated debt securities are described in Section 163(f)(2)(B) of the Internal Revenue Code;</w:t>
      </w:r>
    </w:p>
    <w:p>
      <w:pPr>
        <w:spacing w:after="0" w:line="59"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 guarantee and cause any person or entity to become a guarantor, and/or to evidence the succession of another person or entity to a guarantor and the assumption by any such successor of the guarantee of such guarantor herein and, to the extent applicable, endorsed upon any debt securities of any series;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secure the debt securities of any series;</w:t>
      </w:r>
    </w:p>
    <w:p>
      <w:pPr>
        <w:spacing w:after="0" w:line="90" w:lineRule="exact"/>
        <w:rPr>
          <w:rFonts w:ascii="Arial" w:cs="Arial" w:eastAsia="Arial" w:hAnsi="Arial"/>
          <w:sz w:val="18"/>
          <w:szCs w:val="18"/>
          <w:color w:val="auto"/>
        </w:rPr>
      </w:pPr>
    </w:p>
    <w:p>
      <w:pPr>
        <w:ind w:left="780" w:right="100" w:hanging="326"/>
        <w:spacing w:after="0" w:line="287"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to add to the covenants of Active Power such further covenants, restrictions, conditions or provisions as Active Power shall consider to be appropriate for the benefit of the holders of all or any series of debt securities (and if such covenants, restrictions, conditions or provisions are to be for the benefit of less than all series of debt securities, stating that such covenants are expressly being included solely for the benefit of such series) or to surrender any right or power herein conferred upon Active Power and to make the occurrence, or the occurrence and continuance, of a default in any such additional covenants, restrictions, conditions or provisions an event of default permitting the enforcement of all or any of the several remedies provided in the indenture as set forth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debt securities of such series to waive such an event of default;</w:t>
      </w:r>
    </w:p>
    <w:p>
      <w:pPr>
        <w:spacing w:after="0" w:line="41"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make any change to any provision of the indenture that does not adversely affect the rights or interests of any holder of debt securities;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for the issuance of additional debt securities in accordance with the provisions set forth in the indenture on the date of the indenture;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any additional defaults or events of default in respect of all or any series of debt securities;</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indenture to such extent as shall be necessary to permit or facilitate the issuance of debt securities in bearer form, registrable or not registrable as to principal, and with or without interest coupons;</w:t>
      </w:r>
    </w:p>
    <w:p>
      <w:pPr>
        <w:spacing w:after="0" w:line="50" w:lineRule="exact"/>
        <w:rPr>
          <w:rFonts w:ascii="Arial" w:cs="Arial" w:eastAsia="Arial" w:hAnsi="Arial"/>
          <w:sz w:val="18"/>
          <w:szCs w:val="18"/>
          <w:color w:val="auto"/>
        </w:rPr>
      </w:pPr>
    </w:p>
    <w:p>
      <w:pPr>
        <w:ind w:left="780" w:right="60" w:hanging="326"/>
        <w:spacing w:after="0" w:line="357" w:lineRule="auto"/>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to change or eliminate any of the provisions of the indenture;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change or elimination shall become effective only when there is no debt security outstanding of any series created prior to the execution of such supplemental indenture that is entitled to the benefit of such provision;</w:t>
      </w:r>
    </w:p>
    <w:p>
      <w:pPr>
        <w:ind w:left="780" w:right="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 as permitted thereunder, including to reopen any series of any debt securities as permitted thereunder;</w:t>
      </w:r>
    </w:p>
    <w:p>
      <w:pPr>
        <w:spacing w:after="0" w:line="5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debt securities of one or more series and to add to or change any of the provisions of the indenture as shall be necessary to provide for or facilitate the administration of the trusts hereunder by more than one trustee, pursuant to the requirements of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25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conform the text of the indenture (and/or any supplemental indenture) or any debt securities issued thereunder to any provision of a description of such debt securities appearing in a prospectus or prospectus supplement or an offering memorandum or offering circular to the extent that such provision was intended to be a verbatim recreation of a provision of the indenture (and/or any supplemental indenture) or any debt securities issued thereunder; or</w:t>
      </w:r>
    </w:p>
    <w:p>
      <w:pPr>
        <w:spacing w:after="0" w:line="62"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the indenture to such extent as shall be necessary to effect the qualification of the indenture under the Trust Indenture Act or under any similar federal statute subsequently enacted, and to add to the indenture such other provisions as may be expressly required under the Trust Indenture Act.</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Under the indentures the consent of the holders is not necessary to approve the particular form of any proposed amendment. It is sufficient if such consent approves the substance of the proposed amendment. After an amendment under the indentures becomes effective, Active Power is required to mail to the holders a notice briefly describing such amendment. However, the failure to give such notice to all the holders, or any defect therein, will not impair or affect the validity of the amendment.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Active Power may, at its option and at any time, elect to have all of its obligations discharged with respect to the outstanding debt securities and all obligations of any guarantors of the debt securities discharged with respect to their guarantees (“Legal Defeasance”) except for:</w:t>
      </w:r>
    </w:p>
    <w:p>
      <w:pPr>
        <w:spacing w:after="0" w:line="4" w:lineRule="exact"/>
        <w:rPr>
          <w:sz w:val="20"/>
          <w:szCs w:val="20"/>
          <w:color w:val="auto"/>
        </w:rPr>
      </w:pPr>
    </w:p>
    <w:p>
      <w:pPr>
        <w:ind w:left="780" w:right="50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payments in respect of the principal of, or interest or premium, if any, on such debt securities when such payments are due from the trust referred to below;</w:t>
      </w:r>
    </w:p>
    <w:p>
      <w:pPr>
        <w:spacing w:after="0" w:line="50" w:lineRule="exact"/>
        <w:rPr>
          <w:rFonts w:ascii="Arial" w:cs="Arial" w:eastAsia="Arial" w:hAnsi="Arial"/>
          <w:sz w:val="18"/>
          <w:szCs w:val="18"/>
          <w:color w:val="auto"/>
        </w:rPr>
      </w:pPr>
    </w:p>
    <w:p>
      <w:pPr>
        <w:ind w:left="780" w:right="200" w:hanging="326"/>
        <w:spacing w:after="0" w:line="357" w:lineRule="auto"/>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Active Power’s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Active Power’s and each guarantor’s obligations in connection therewith;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Active Power may, at its option and at any time, elect to have the obligations of Active Power released with respect to certain provisions of the indenture, including certain provisions set forth in any supplemental indenture (such release and termination being referred to as “Covenant Defeasance”), and thereafter any omission to comply with such obligations or provisions will not constitute a default or event of default. In the event Covenant Defeasance occurs in accordance with the indenture, the events of default described under the third and fourth items of the first paragraph under the caption “– Events of Default”, in each case, will no longer constitute an event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12" w:lineRule="exact"/>
        <w:rPr>
          <w:sz w:val="20"/>
          <w:szCs w:val="20"/>
          <w:color w:val="auto"/>
        </w:rPr>
      </w:pPr>
    </w:p>
    <w:p>
      <w:pPr>
        <w:ind w:left="780" w:hanging="326"/>
        <w:spacing w:after="0" w:line="294"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Active Power must irrevocably deposit with the trustee, in trust, for the benefit of the holders of the debt securities, cash in U.S. dollars, non-callable government securities, or a combination of cash in U.S. dollars and non-callable U.S. government securities, in amounts as will be sufficient, in the opinion of a nationally recognized investment bank, appraisal firm or firm of independent public accountants to pay the principal of, or interest and premium, if any, on the outstanding debt securities on the stated date for payment thereof or on the applicable redemption date, as the case may be, and Active Power must specify whether the debt securities are being defeased to such stated date for payment or to a particular redemption date;</w:t>
      </w:r>
    </w:p>
    <w:p>
      <w:pPr>
        <w:spacing w:after="0" w:line="34"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Legal Defeasance, Active Power has delivered to the trustee an opinion of counsel reasonably acceptable to the trustee confirming that</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(a) Active Power has received from, or there has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40"/>
        <w:spacing w:after="0" w:line="323" w:lineRule="auto"/>
        <w:rPr>
          <w:sz w:val="20"/>
          <w:szCs w:val="20"/>
          <w:color w:val="auto"/>
        </w:rPr>
      </w:pPr>
      <w:r>
        <w:rPr>
          <w:rFonts w:ascii="Arial" w:cs="Arial" w:eastAsia="Arial" w:hAnsi="Arial"/>
          <w:sz w:val="15"/>
          <w:szCs w:val="15"/>
          <w:color w:val="auto"/>
        </w:rPr>
        <w:t>been published by, the Internal Revenue Service a ruling or (b) since the issue date of the debt securities,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 as would have been the case if such Legal Defeasance had not occurred;</w:t>
      </w:r>
    </w:p>
    <w:p>
      <w:pPr>
        <w:spacing w:after="0" w:line="30" w:lineRule="exact"/>
        <w:rPr>
          <w:sz w:val="20"/>
          <w:szCs w:val="20"/>
          <w:color w:val="auto"/>
        </w:rPr>
      </w:pPr>
    </w:p>
    <w:p>
      <w:pPr>
        <w:ind w:left="780" w:right="120" w:hanging="326"/>
        <w:spacing w:after="0" w:line="25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Covenant Defeasance, Active Power has delivered to the trustee an opinion of counsel reasonably acceptable to the trustee confirming that the holders of the outstanding debt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instrument to which Active Power or any guarantor is a party or by which Active Power or any guarantor is bound;</w:t>
      </w:r>
    </w:p>
    <w:p>
      <w:pPr>
        <w:spacing w:after="0" w:line="5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Active Power or any of its subsidiaries is a party or by which Active Power or any of its subsidiaries is bound;</w:t>
      </w:r>
    </w:p>
    <w:p>
      <w:pPr>
        <w:spacing w:after="0" w:line="59"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Active Power must deliver to the trustee an officers’ certificate stating that the deposit was not made by Active Power with the intent of preferring the holders of debt securities over the other creditors of Active Power with the intent of defeating, hindering, delaying or defrauding creditors of Active Power or others;</w:t>
      </w:r>
    </w:p>
    <w:p>
      <w:pPr>
        <w:spacing w:after="0" w:line="59"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Active Power must deliver to the trustee an officers’ certificate, stating that all conditions precedent set forth in the first through the seventh items of this paragraph have been complied with; and</w:t>
      </w:r>
    </w:p>
    <w:p>
      <w:pPr>
        <w:spacing w:after="0" w:line="50" w:lineRule="exact"/>
        <w:rPr>
          <w:rFonts w:ascii="Arial" w:cs="Arial" w:eastAsia="Arial" w:hAnsi="Arial"/>
          <w:sz w:val="18"/>
          <w:szCs w:val="18"/>
          <w:color w:val="auto"/>
        </w:rPr>
      </w:pPr>
    </w:p>
    <w:p>
      <w:pPr>
        <w:jc w:val="both"/>
        <w:ind w:left="780" w:right="40" w:hanging="326"/>
        <w:spacing w:after="0" w:line="306"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Active Power must deliver to the trustee an opinion of counsel (which opinion of counsel may be subject to customary assumptions, qualifications and exclusions), stating that all conditions precedent set forth in the second, third and fifth items of this paragraph have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opinion of counsel with respect to the fifth item of this paragraph may be to the knowledge of such counsel.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indentures will be discharged and will cease to be of further effect (except as to surviving rights of registration of transfer or exchange of the securities, as expressly provided for in the indenture) as to all outstanding securities issued thereunder and the guarantees issued thereunder when:</w:t>
      </w:r>
    </w:p>
    <w:p>
      <w:pPr>
        <w:spacing w:after="0" w:line="4" w:lineRule="exact"/>
        <w:rPr>
          <w:sz w:val="20"/>
          <w:szCs w:val="20"/>
          <w:color w:val="auto"/>
        </w:rPr>
      </w:pPr>
    </w:p>
    <w:p>
      <w:pPr>
        <w:ind w:left="780" w:right="80" w:hanging="326"/>
        <w:spacing w:after="0" w:line="303" w:lineRule="auto"/>
        <w:tabs>
          <w:tab w:leader="none" w:pos="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either (a) all the securities theretofore authenticated and delivered (except lost, stolen or destroyed securities that have been replaced or paid and securities for whose payment money or certain United States governmental obligations have theretofore been deposited in trust or segregated and held in trust by Active Power and thereafter repaid to Active Power or discharged from such trust) have been delivered to the trustee for cancellation or</w:t>
      </w:r>
    </w:p>
    <w:p>
      <w:pPr>
        <w:spacing w:after="0" w:line="1" w:lineRule="exact"/>
        <w:rPr>
          <w:rFonts w:ascii="Arial" w:cs="Arial" w:eastAsia="Arial" w:hAnsi="Arial"/>
          <w:sz w:val="15"/>
          <w:szCs w:val="15"/>
          <w:color w:val="auto"/>
        </w:rPr>
      </w:pPr>
    </w:p>
    <w:p>
      <w:pPr>
        <w:ind w:left="780" w:right="20"/>
        <w:spacing w:after="0" w:line="287" w:lineRule="auto"/>
        <w:rPr>
          <w:rFonts w:ascii="Arial" w:cs="Arial" w:eastAsia="Arial" w:hAnsi="Arial"/>
          <w:sz w:val="15"/>
          <w:szCs w:val="15"/>
          <w:color w:val="auto"/>
        </w:rPr>
      </w:pPr>
      <w:r>
        <w:rPr>
          <w:rFonts w:ascii="Arial" w:cs="Arial" w:eastAsia="Arial" w:hAnsi="Arial"/>
          <w:sz w:val="16"/>
          <w:szCs w:val="16"/>
          <w:color w:val="auto"/>
        </w:rPr>
        <w:t>(b) all securities not theretofore delivered to the trustee for cancellation have become due and payable or will become due and payable at their stated maturity within one year, or are to be called for redemption within one year under arrangements satisfactory to the trustee for the giving of notice of redemption by the trustee in the name, and at the expense, of Active Power, and Active Power or the guarantors have irrevocably deposited or caused to be deposited with the trustee funds or U.S. government obligations, or a combination thereof, in an amount sufficient to pay and discharge the entire indebtedness on the securities not theretofore delivered to the trustee for cancellation, for principal of and premium, if any, on and interest on the securities to the date of deposit (in the case of securities that have become due and payable) or to the stated maturity or redemption date, as the case may be, together with instructions from Active Power irrevocably directing the trustee to apply such funds to the payment thereof at maturity or redemption,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Active Power or the subsidiary guarantors have paid all other sums then due and payable under the indenture by Active Power; and</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Active Power has delivered to the trustee an officers’ certificate and an opinion of counsel, which, taken together, state that all conditions precedent under the indenture relating to the satisfaction and discharge of the indenture have been complied with.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Partners and Stockholders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director, officer, employee, incorporator, partner or stockholder of Active Power or any guarantor, as such, shall have any liability for any obligations of Active Power or the guarantors under the securities, the indentures, the guarantees or for any claim based on, in respect of, or by reason of, such obligations or their creation. Each holder, upon Active Power’s issuance of the securities and execution of the indentures, waives and releases all such liability. The waiver and release are part of the consideration for issuance of the securities. Such waiver may not be effective to waive liabilities under the federal securities laws, and it is the view of the SEC that such a waiver is against public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stated otherwise in the prospectus supplement for each issuance of debt securities, the securities will be issued in denominations of $2,000 each and integral multiples of $1,000.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for the securities. Active Power may change the paying agent or registrar without prior notice to the holders of the securities, and Active Power may act as paying agent or registrar.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holder may transfer or exchange securities in accordance with the indentures. The registrar and the trustee may require a holder, among other things, to furnish appropriate endorsements and transfer documents and Active Power may require a holder to pay any taxes and fees required by law or permitted by the applicable indenture. Active Power is not required to transfer or exchange any security selected for redemption. Also, Active Power is not required to transfer or exchange any security for a period of 15 days before a selection of securities to be redeemed.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payment of principal of, premium, if any, and interest on, subordinated debt securities and any other payment obligations of Active Power in respect of subordinated debt securities (including any obligation to repurchase subordinated debt securities) is subordinated in certain circumstances in right of payment, as set forth in the subordinated indenture, to the prior payment in full in cash of all senior debt.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Active Power also may not make any payment, whether by redemption, purchase, retirement, defeasance or otherwise, upon or in respect of subordinated debt securities, except from the trust described under “— Legal Defeasance and Covenant Defeasance,” if</w:t>
      </w:r>
    </w:p>
    <w:p>
      <w:pPr>
        <w:spacing w:after="0" w:line="172"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all or any portion of the obligations on any senior debt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780" w:right="260" w:hanging="326"/>
        <w:spacing w:after="0" w:line="30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default occurs and is continuing with respect to designated senior debt pursuant to which the maturity thereof may be accelerated (“</w:t>
      </w:r>
      <w:r>
        <w:rPr>
          <w:rFonts w:ascii="Arial" w:cs="Arial" w:eastAsia="Arial" w:hAnsi="Arial"/>
          <w:sz w:val="16"/>
          <w:szCs w:val="16"/>
          <w:i w:val="1"/>
          <w:iCs w:val="1"/>
          <w:color w:val="auto"/>
        </w:rPr>
        <w:t>non-payment default</w:t>
      </w:r>
      <w:r>
        <w:rPr>
          <w:rFonts w:ascii="Arial" w:cs="Arial" w:eastAsia="Arial" w:hAnsi="Arial"/>
          <w:sz w:val="16"/>
          <w:szCs w:val="16"/>
          <w:color w:val="auto"/>
        </w:rPr>
        <w:t>”) and, solely with respect to this clause, the trustee for the subordinated debt securities receives a notice of the default (a “</w:t>
      </w:r>
      <w:r>
        <w:rPr>
          <w:rFonts w:ascii="Arial" w:cs="Arial" w:eastAsia="Arial" w:hAnsi="Arial"/>
          <w:sz w:val="16"/>
          <w:szCs w:val="16"/>
          <w:i w:val="1"/>
          <w:iCs w:val="1"/>
          <w:color w:val="auto"/>
        </w:rPr>
        <w:t>Payment Blockage Notice</w:t>
      </w:r>
      <w:r>
        <w:rPr>
          <w:rFonts w:ascii="Arial" w:cs="Arial" w:eastAsia="Arial" w:hAnsi="Arial"/>
          <w:sz w:val="16"/>
          <w:szCs w:val="16"/>
          <w:color w:val="auto"/>
        </w:rPr>
        <w:t>”) from the trustee or other representative for the holders of such designated senior debt.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Cash payments on subordinated debt securities shall be resumed (a) in the case of a payment default, upon the date on which such default is cured or waived and (b) in case of a nonpayment default, the earlier of the date on which such nonpayment default is cured or waived or 179 days after the date on which the applicable Payment Blockage Notice is received, unless the maturity of any designated senior debt has been accelerated or a bankruptcy event of default has occurred and is continuing. No new period of payment blockage may be commenced unless and until 360 days have elapsed since the date of commencement of the payment blockage period resulting from the immediately prior Payment Blockage Notice. No nonpayment default in respect of designated senior debt that existed or was continuing on the date of delivery of any Payment Blockage Notice to the trustee for the subordinated debt securities shall be, or be made, the basis for a subsequent Payment Blockage Notice unless such default shall have been cured or waived for a period of no less than 90 consecutive days.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indenture also requires that we promptly notify holders of senior debt if payment of subordinated debt securities is accelerated because of an event of default.</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any payment or distribution of assets or securities of Active Power, in connection with any dissolution or winding up or total or partial liquidation or reorganization of Active Power, whether voluntary or involuntary, or in bankruptcy, insolvency, receivership or other proceedings or other marshalling of assets for the benefit of creditors, all amounts due or to become due upon all senior debt shall first be paid in full, in cash or cash equivalents, before the holders of the subordinated debt securities or the trustee on their behalf shall be entitled to receive any payment by Active Power on account of the subordinated debt securities, or any payment to acquire any of the subordinated debt securities for cash, property or securities, or any distribution with respect to the securities of any cash, property or securities. Before any payment may be made by, or on behalf of, Active Power on any security (other than with the money, securities or proceeds held under any defeasance trust established in accordance with the indenture), in connection with any such dissolution, winding up, liquidation or reorganization, any payment or distribution of assets or securities for Active Power, to which the holders of subordinated debt securities or the trustee on their behalf would be entitled shall be made by Active Power or by any receiver, trustee in bankruptcy, liquidating trustee, agent or other similar person or entity making such payment or distribution or by the holders or the trustee if received by them or it, directly to the holders of senior debt or their representatives or to any trustee or trustees under any indenture pursuant to which any such senior debt may have been issued, as their respective interests appear, to the extent necessary to pay all such senior debt in full, in cash or cash equivalents, after giving effect to any concurrent payment, distribution or provision therefor to or for the holders of such senior debt.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these subordination provisions, in the event of the liquidation, bankruptcy, reorganization, insolvency, receivership or similar proceeding or an assignment for the benefit of the creditors of Active Power or a marshalling of assets or liabilities of Active Power, holders of subordinated debt securities may receive ratably less than other creditors.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Principal, interest and any premium on fully registered securities will be paid at designated places. Payment will be made by check mailed to the persons in whose names the debt securities are registered on days specified in the indentures or any prospectus supplement. Debt securities payments in other forms will be paid at a place designated by us and specified in a prospectus supplement.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Fully registered securities may be transferred or exchanged at the corporation trust office of the trustee or at any other office or agency maintained by us for such purposes, without the payment of any service charge except for any tax or governmental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certificates that we will deposit with a depository identified in the applicable prospectus supplement. Unless and until it is exchanged in whole or in part for the individual debt securities that it represents, a global security may not be transferred except as a whole:</w:t>
      </w:r>
    </w:p>
    <w:p>
      <w:pPr>
        <w:spacing w:after="0" w:line="59"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the applicable depository to a nominee of the depository;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any nominee to the depository itself or another nominee;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depository or any nominee to a successor depository or any nominee of the successor.</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will describe the specific terms of the depository arrangement with respect to a series of debt securities in the applicable prospectus supplement. We anticipate that the following provisions will generally apply to depository arrangements.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When we issue a global security in registered form, the depository for the global security or its nominee will credit, on its book-entry registration and transfer system, the respective principal amounts of the individual debt securities represented by that global security to the accounts of persons that have accounts with the depository (“</w:t>
      </w:r>
      <w:r>
        <w:rPr>
          <w:rFonts w:ascii="Arial" w:cs="Arial" w:eastAsia="Arial" w:hAnsi="Arial"/>
          <w:sz w:val="16"/>
          <w:szCs w:val="16"/>
          <w:i w:val="1"/>
          <w:iCs w:val="1"/>
          <w:color w:val="auto"/>
        </w:rPr>
        <w:t>participants</w:t>
      </w:r>
      <w:r>
        <w:rPr>
          <w:rFonts w:ascii="Arial" w:cs="Arial" w:eastAsia="Arial" w:hAnsi="Arial"/>
          <w:sz w:val="16"/>
          <w:szCs w:val="16"/>
          <w:color w:val="auto"/>
        </w:rPr>
        <w:t>”). Those accounts will be designated by the dealers, underwriters or agents with respect to the underlying debt securities or by us if those debt securities are offered and sold directly by us. Ownership of beneficial interests in a global security will be limited to participants or persons that may hold interests through participants. For interests of participants, ownership of beneficial interests in the global security will be shown on records maintained by the applicable depository or its nominee. For interests of persons other than participants, that ownership information will be shown on the records of participants. Transfer of that ownership will be effected only through those records. The laws of some states require that certain purchasers of securities take physical delivery of securities in definitive form. These limits and laws may impair our ability to transfer beneficial interests in a global security.</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long as the depository for a global security, or its nominee, is the registered owner of that global security, the depository or nominee will be considered the sole owner or holder of the debt securities represented by the global security for all purposes under the applicable indenture. Except as provided below, owners of beneficial interests in a global security:</w:t>
      </w:r>
    </w:p>
    <w:p>
      <w:pPr>
        <w:spacing w:after="0" w:line="18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entitled to have any of the underlying debt securities registered in their names;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any of the underlying debt securities in definitive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considered the owners or holders under the indenture relating to those debt securities.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Payments of principal of, any premium on and any interest on individual debt securities represented by a global security registered in the name of a depository or its nominee will be made to the depository or its nominee as the registered owner of the global security representing such debt securities. Neither we, the trustee for the debt securities, any paying agent nor the registrar for the debt securities will be responsible for any aspect of the records relating to or payments made by the depository or any participants on account of beneficial interests in the global security.</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expect that the depository or its nominee, upon receipt of any payment of principal, any premium or interest relating to a global security representing any series of debt securities, immediately will credit participants’ accounts with the payments. Those payments will be credited in amounts proportional to the respective beneficial interests of the participants in the principal amount of the global security as shown on the records of the depository or its nominee. We also expect that payments by participants to owners of beneficial interests in the global security held through those participants will be governed by standing instructions and customary practices. This is now the case with securities held for the accounts of customers registered in “street name.” Those payments will be the sole responsibility of those participants.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depository for a series of debt securities is at any time unwilling, unable or ineligible to continue as depository and we do not appoint a successor depository within 90 days, we will issue individual debt securities of that series in exchange for the global security or securities representing that series. In addition, we may at any time in our sole discretion determine not to have any debt securities of a series represented by one or more global securities. In that event, we will issue individual debt securities of that series in exchange for the global security or securities. Furthermore, if we specify, an owner of a beneficial interest in a global security may, on terms acceptable to us, the trustee and the applicable depository, receive individual debt securities of that series in exchange for those beneficial interests. The foregoing is subject to any limitations described in the applicable prospectus supplement. In any such instance, the owner of the beneficial interest will be entitled to physical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delivery of individual debt securities equal in principal amount to the beneficial interest and to have the debt securities registered in its name. Those individual debt securities will be issued in any authorized denominations.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the debt securities will be governed by and construed in accordance with the laws of the State of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debt securities will be given by mail to the addresses of such holders as they appear in the security register for such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banking or financial institution will be the trustee under the indentures. A successor trustee may be appointed in accordance with the terms of the indentures.</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indentures, and the provisions of the Trust Indenture Act incorporated by reference therein, will contain certain limitations on the rights of the trustee, should it become a creditor of us, to obtain payment of claims in certain cases or to realize on certain property received in respect of any such claim as security or otherwise. The trustee will be permitted to engage in other transactions; however, if it acquires any conflicting interest (within the meaning of the Trust Indenture Act), it must eliminate such conflicting interest or resign.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single banking or financial institution may act as trustee with respect to both the subordinated indenture and the senior indenture. If this occurs, and should a default occur with respect to either the subordinated debt securities or the senior debt securities, such banking or financial institution would be required to resign as trustee under one of the indentures within 90 days of such default, pursuant to the Trust Indenture Act, unless such default were cured, duly waived or otherwise eliminated.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warrants to purchase common stock, preferred stock, debt securities or units.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will specify the following terms of any warrants in respect of which this prospectus is being delivered:</w:t>
      </w:r>
    </w:p>
    <w:p>
      <w:pPr>
        <w:spacing w:after="0" w:line="113"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price at which, and the currency or currencies in which the securities purchasable upon exercise of, such warrants may be purchased;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warrants issued and outstanding.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debt securities, warrants or any combination of such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90" w:lineRule="exact"/>
        <w:rPr>
          <w:sz w:val="20"/>
          <w:szCs w:val="20"/>
          <w:color w:val="auto"/>
        </w:rPr>
      </w:pPr>
    </w:p>
    <w:p>
      <w:pPr>
        <w:ind w:left="780" w:right="1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units and of any of the common stock, preferred stock, debt securities, warrants or purchase contracts comprising the units, including whether and under what circumstances the securities comprising the units may be traded separately;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currently have any units issued and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selling securityholders may sell the securities being offered hereby in one or more of the following ways from time to time:</w:t>
      </w:r>
    </w:p>
    <w:p>
      <w:pPr>
        <w:spacing w:after="0" w:line="212"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investors;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90"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name or names of, and the number of shares of common stock being sold by any selling securityholders participating in the offering;</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and/or the selling securityholders will receive from the sale;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and/or the selling securityholders;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“selling securityholders” includes donees, pledgees, transferees or other successors-in-interest selling securities received after the date of this prospectus from a selling securityholder as a gift, pledge, partnership distribution or other non-sale related transfer.</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we and/or the selling securityholders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initial public offering price and any discounts or concessions the underwriters allow or reallow or pay to dealers. We may use underwriters with whom we and/or the selling securityholders have a material relationship. We will describe in the prospectus supplement naming the underwriter the nature of any such relationship.</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and/or the selling securityholders may designate agents who agree to use their reasonable efforts to solicit purchases for the period of their appointment or to sell securities on a continuing basis.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and/or the selling securityholders may also sell securities directly to one or more purchasers without using underwriters or agents.</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compliance with National Association of Securities Dealers guidelines, the maximum compensation to the underwriters in connection with the sale of securities pursuant to this prospectus and any prospectus supplement will not exceed 8% of the total offering price to the public of such securities.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and/or the selling securityholders and any profit on their resale of the securities may be treated as underwriting discounts and commissions under the Securities Act. We will identify in the applicable prospectus supplement any underwriters, dealers or agents and will describe their compensation. We and/or the selling securityholders may have agreements with the underwriters, dealers and agents to indemnify them against specified civil liabilities, including liabilities under the Securities Act. Underwriters, dealers and agents may engage in transactions with or perform services for us or selling securityholders in the ordinary course of their businesses.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will bear all costs, expenses and fees in connection with the registration of the securities as well as the expenses of all commissions and discounts, if any, attributable to the sales of securities by us. The selling securityholders will bear all commissions and discounts attributable to the sales of securities by them.</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established trading market, other than our common stock, which is listed on the Nasdaq National Market. We may elect to list any other class or series of securities on any exchange or national securities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or the selling securityholders in the offering. If the underwriters have an over-allotment option to purchase additional securities from us or the selling securityholders,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National Market or otherwise and, if commenced, may be discontinued at any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legal matters relating to the validity of the securities will be passed upon for us by Andrews Kurth LLP, Austin, Texas.</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Active Power, Inc. included in Active Power’s Annual Report (Form 10-K) for the year ended December 31, 2005, and Active Power’s management’s assessment of the effectiveness of internal control over financial reporting as of December 31, 2005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which constitutes a part of the registration statement on Form S-3 that we have filed with the SEC under the Securities Act of 1933, as amended, or Securities Act, does not contain all of the information set forth in the registration statement. The SEC allows us to “incorporate by reference” the information we file with them, which means that we can disclose important information to you by referring you to those documents that are considered part of this prospectus. Later information that we file with the SEC will automatically update and supersede this information. We incorporate by reference the documents listed below and any future filings made with the SEC under Section 13(a), 13(c), 14 or 15(d) of the Securities Exchange Act of 1934 by us (i) after the date of the filing of this registration statement and prior to its effectiveness and (ii) until our offering of securities has been completed. This prospectus is part of a registration statement filed with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we have previously filed with the SEC pursuant to the Exchange Act are incorporated into this prospectus by reference:</w:t>
      </w:r>
    </w:p>
    <w:p>
      <w:pPr>
        <w:spacing w:after="0" w:line="235"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2005 (filed February 27,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2006, filed with the SEC on April 27,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2006, filed with the SEC on July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March 14,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April 26,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May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May 24,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June 6,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July 26,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 on Form 8-K filed September 1, 2006;</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 and</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description of our stock purchase rights contained in our registration statement on Form 8-A (filed December 14, 2001), including any amendment or report filed for the purpose of updating such description.</w:t>
      </w:r>
    </w:p>
    <w:p>
      <w:pPr>
        <w:spacing w:after="0" w:line="50"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description of the rights, preferences and privileges of our Series A Junior Preferred Stock which are set forth in the Certificate of Designation of Series A Junior Participating Preferred Stock of Active Power filed with the Secretary of State of Delaware on December 18, 2001 and a form of which is included as an exhibit to our Form 8-K, filed December 14, 2001</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You may request a copy of the filings incorporated by reference in this prospectus, at no cost, by writing or calling us at: Active Power, Inc., 2128 W. Braker Lane, BK12, Austin, Texas 78758, Attention: Secretary (telephone: (512) 836-6464). You can access electronic copies of our Annual Reports on Form 10-K, Quarterly Reports on Form 10-Q and Current Reports on Form 8-K and all amendments to those reports, free of charge, on our website at http://www.activepower.com. Access to those electronic filings is available as soon as reasonably practicable after filing with, or furnishing to, the SEC.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make our website content available for information purposes only. It should not be relied upon for investment purposes, nor is it incorporated by reference in this prospectus.</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You can also find SEC reports at the SEC’s website (http://www.sec.gov). In addition, such reports, proxy statements and other information may be inspected and copied at the public reference facilities maintained by the SEC at 100 F Street, N.E., Room 1580, Washington, D.C. 20549. You also may obtain copies of such material by mail from the Public Reference Section of the SEC at 100 F Street, N.E., Room 1580, Washington, D.C. 20549 at prescribed rates. Please call the SEC at 1-800-SEC-0330 for more information on the public reference rooms.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626110</wp:posOffset>
            </wp:positionV>
            <wp:extent cx="1895475" cy="43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954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$75,000,000</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 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 Warrants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125095</wp:posOffset>
            </wp:positionV>
            <wp:extent cx="1243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Offered by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Selling Securityholders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PROSPECTUS</w:t>
      </w:r>
    </w:p>
    <w:p>
      <w:pPr>
        <w:spacing w:after="0" w:line="198"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77"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expenses to be paid in connection with the issuance and distribution of the securities being registered, other than underwriting discounts and commissions, are as set forth in the following table. All amounts shown are estimates except for the Securities and Exchange Commission registration fee.</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7,371.13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45,000.00</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100,000.00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Trustees’ and Transfer Agents’ fees and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2"/>
        </w:trPr>
        <w:tc>
          <w:tcPr>
            <w:tcW w:w="95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217,371.13</w:t>
            </w: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Active Power, Inc. is incorporated under the laws of the State of Delaware. Section 145 (“Section 145”) of Title 8 of the Delaware General Corporation Law (“Delaware Code”)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restated certificate of incorporation and restated bylaws provide for the indemnification of officers and directors to the fullest extent permitted by the Delaware Code.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All of our directors and officers are covered by insurance policies against certain liabilities for actions taken in their capacities as such, including liabilities under the Securities Act of 1933.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14"/>
                <w:szCs w:val="14"/>
                <w:color w:val="auto"/>
              </w:rPr>
            </w:pPr>
          </w:p>
        </w:tc>
        <w:tc>
          <w:tcPr>
            <w:tcW w:w="10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r>
      <w:tr>
        <w:trPr>
          <w:trHeight w:val="215"/>
        </w:trPr>
        <w:tc>
          <w:tcPr>
            <w:tcW w:w="800" w:type="dxa"/>
            <w:vAlign w:val="bottom"/>
          </w:tcPr>
          <w:p>
            <w:pPr>
              <w:ind w:left="180"/>
              <w:spacing w:after="0"/>
              <w:rPr>
                <w:sz w:val="20"/>
                <w:szCs w:val="20"/>
                <w:color w:val="auto"/>
              </w:rPr>
            </w:pPr>
            <w:r>
              <w:rPr>
                <w:rFonts w:ascii="Arial" w:cs="Arial" w:eastAsia="Arial" w:hAnsi="Arial"/>
                <w:sz w:val="18"/>
                <w:szCs w:val="18"/>
                <w:color w:val="auto"/>
              </w:rPr>
              <w:t>1.1*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Underwriting Agreement.</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w w:val="91"/>
              </w:rPr>
              <w:t>— Specimen certificate for shares of common stock (filed as Exhibit 4.1 to Active Power’s registration statement on Form S-1 (SEC File No. 333-</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380"/>
              <w:spacing w:after="0"/>
              <w:rPr>
                <w:sz w:val="20"/>
                <w:szCs w:val="20"/>
                <w:color w:val="auto"/>
              </w:rPr>
            </w:pPr>
            <w:r>
              <w:rPr>
                <w:rFonts w:ascii="Arial" w:cs="Arial" w:eastAsia="Arial" w:hAnsi="Arial"/>
                <w:sz w:val="18"/>
                <w:szCs w:val="18"/>
                <w:color w:val="auto"/>
              </w:rPr>
              <w:t>36946)).</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4.2</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w w:val="90"/>
              </w:rPr>
              <w:t>— Rights Agreement, dated as of December 13, 2001, between the Active Power and Equiserve Trust N.A., which includes the form of Certificate</w:t>
            </w:r>
          </w:p>
        </w:tc>
      </w:tr>
      <w:tr>
        <w:trPr>
          <w:trHeight w:val="216"/>
        </w:trPr>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jc w:val="center"/>
              <w:spacing w:after="0"/>
              <w:rPr>
                <w:sz w:val="20"/>
                <w:szCs w:val="20"/>
                <w:color w:val="auto"/>
              </w:rPr>
            </w:pPr>
            <w:r>
              <w:rPr>
                <w:rFonts w:ascii="Arial" w:cs="Arial" w:eastAsia="Arial" w:hAnsi="Arial"/>
                <w:sz w:val="18"/>
                <w:szCs w:val="18"/>
                <w:color w:val="auto"/>
                <w:w w:val="89"/>
              </w:rPr>
              <w:t>of Designation for the Series A Junior Participating Preferred Stock as Exhibit A, the form of Rights Certificate as Exhibit B and the Summary of</w:t>
            </w:r>
          </w:p>
        </w:tc>
      </w:tr>
      <w:tr>
        <w:trPr>
          <w:trHeight w:val="216"/>
        </w:trPr>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jc w:val="center"/>
              <w:spacing w:after="0"/>
              <w:rPr>
                <w:sz w:val="20"/>
                <w:szCs w:val="20"/>
                <w:color w:val="auto"/>
              </w:rPr>
            </w:pPr>
            <w:r>
              <w:rPr>
                <w:rFonts w:ascii="Arial" w:cs="Arial" w:eastAsia="Arial" w:hAnsi="Arial"/>
                <w:sz w:val="18"/>
                <w:szCs w:val="18"/>
                <w:color w:val="auto"/>
                <w:w w:val="89"/>
              </w:rPr>
              <w:t>Rights to Purchase Series A Preferred Stock as Exhibit C (filed as Exhibit 4.1 to Active Power’s Current Report on Form 8-K filed December 14,</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380"/>
              <w:spacing w:after="0"/>
              <w:rPr>
                <w:sz w:val="20"/>
                <w:szCs w:val="20"/>
                <w:color w:val="auto"/>
              </w:rPr>
            </w:pPr>
            <w:r>
              <w:rPr>
                <w:rFonts w:ascii="Arial" w:cs="Arial" w:eastAsia="Arial" w:hAnsi="Arial"/>
                <w:sz w:val="18"/>
                <w:szCs w:val="18"/>
                <w:color w:val="auto"/>
              </w:rPr>
              <w:t>2001).</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4.3*</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Specimen certificate for shares of Preferred Stock.</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4.4†</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Senior Debt Indenture (including form of senior debt security).</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4.5†</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Subordinated Debt Indenture (including form of subordinated debt security).</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4.6*</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Form of Warrant Agreement (including form of warrant certificate).</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5.1**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Opinion of Andrews Kurth LLP.</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12.1†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Statement of Computation of Ratios.</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23.1**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Consent of Ernst &amp; Young LLP.</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23.2**</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Consent of Andrews Kurth LLP (included in Exhibit 5.1).</w:t>
            </w:r>
          </w:p>
        </w:tc>
      </w:tr>
      <w:tr>
        <w:trPr>
          <w:trHeight w:val="216"/>
        </w:trPr>
        <w:tc>
          <w:tcPr>
            <w:tcW w:w="800" w:type="dxa"/>
            <w:vAlign w:val="bottom"/>
          </w:tcPr>
          <w:p>
            <w:pPr>
              <w:ind w:left="180"/>
              <w:spacing w:after="0"/>
              <w:rPr>
                <w:sz w:val="20"/>
                <w:szCs w:val="20"/>
                <w:color w:val="auto"/>
              </w:rPr>
            </w:pPr>
            <w:r>
              <w:rPr>
                <w:rFonts w:ascii="Arial" w:cs="Arial" w:eastAsia="Arial" w:hAnsi="Arial"/>
                <w:sz w:val="18"/>
                <w:szCs w:val="18"/>
                <w:color w:val="auto"/>
              </w:rPr>
              <w:t>24.1†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Power of Attorney (included in signature page).</w:t>
            </w:r>
          </w:p>
        </w:tc>
      </w:tr>
      <w:tr>
        <w:trPr>
          <w:trHeight w:val="222"/>
        </w:trPr>
        <w:tc>
          <w:tcPr>
            <w:tcW w:w="800" w:type="dxa"/>
            <w:vAlign w:val="bottom"/>
          </w:tcPr>
          <w:p>
            <w:pPr>
              <w:ind w:left="180"/>
              <w:spacing w:after="0"/>
              <w:rPr>
                <w:sz w:val="20"/>
                <w:szCs w:val="20"/>
                <w:color w:val="auto"/>
              </w:rPr>
            </w:pPr>
            <w:r>
              <w:rPr>
                <w:rFonts w:ascii="Arial" w:cs="Arial" w:eastAsia="Arial" w:hAnsi="Arial"/>
                <w:sz w:val="18"/>
                <w:szCs w:val="18"/>
                <w:color w:val="auto"/>
              </w:rPr>
              <w:t>25.1*</w:t>
            </w:r>
          </w:p>
        </w:tc>
        <w:tc>
          <w:tcPr>
            <w:tcW w:w="10620" w:type="dxa"/>
            <w:vAlign w:val="bottom"/>
            <w:gridSpan w:val="2"/>
          </w:tcPr>
          <w:p>
            <w:pPr>
              <w:ind w:left="100"/>
              <w:spacing w:after="0"/>
              <w:rPr>
                <w:sz w:val="20"/>
                <w:szCs w:val="20"/>
                <w:color w:val="auto"/>
              </w:rPr>
            </w:pPr>
            <w:r>
              <w:rPr>
                <w:rFonts w:ascii="Arial" w:cs="Arial" w:eastAsia="Arial" w:hAnsi="Arial"/>
                <w:sz w:val="18"/>
                <w:szCs w:val="18"/>
                <w:color w:val="auto"/>
              </w:rPr>
              <w:t>— Statement of Eligibility of Trustee on Form T–1.</w:t>
            </w:r>
          </w:p>
        </w:tc>
      </w:tr>
    </w:tbl>
    <w:p>
      <w:pPr>
        <w:spacing w:after="0" w:line="196"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To be filed by amendment hereto or by a report filed under the Securities Exchange Act of 1934, and incorporated herein by reference.</w:t>
      </w:r>
    </w:p>
    <w:p>
      <w:pPr>
        <w:spacing w:after="0" w:line="21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Previously filed.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760" w:hanging="306"/>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11" w:lineRule="exact"/>
        <w:rPr>
          <w:rFonts w:ascii="Arial" w:cs="Arial" w:eastAsia="Arial" w:hAnsi="Arial"/>
          <w:sz w:val="18"/>
          <w:szCs w:val="18"/>
          <w:color w:val="auto"/>
        </w:rPr>
      </w:pPr>
    </w:p>
    <w:p>
      <w:pPr>
        <w:ind w:left="1700" w:hanging="558"/>
        <w:spacing w:after="0"/>
        <w:tabs>
          <w:tab w:leader="none" w:pos="17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11" w:lineRule="exact"/>
        <w:rPr>
          <w:rFonts w:ascii="Arial" w:cs="Arial" w:eastAsia="Arial" w:hAnsi="Arial"/>
          <w:sz w:val="18"/>
          <w:szCs w:val="18"/>
          <w:color w:val="auto"/>
        </w:rPr>
      </w:pPr>
    </w:p>
    <w:p>
      <w:pPr>
        <w:ind w:left="1700" w:right="60" w:hanging="558"/>
        <w:spacing w:after="0" w:line="290" w:lineRule="auto"/>
        <w:tabs>
          <w:tab w:leader="none" w:pos="17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of 1933 if, in the aggregate, the changes in volume and price represent no more than 20% change in the maximum aggregate offering price set forth in the “Calculation of Registration Fee” table in the effective registration statement;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00" w:right="200" w:hanging="558"/>
        <w:spacing w:after="0" w:line="268"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2" w:lineRule="exact"/>
        <w:rPr>
          <w:sz w:val="20"/>
          <w:szCs w:val="20"/>
          <w:color w:val="auto"/>
        </w:rPr>
      </w:pPr>
    </w:p>
    <w:p>
      <w:pPr>
        <w:ind w:left="1120"/>
        <w:spacing w:after="0" w:line="29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under the Securities Act of 1933 that is a part of this registration statement.</w:t>
      </w:r>
    </w:p>
    <w:p>
      <w:pPr>
        <w:spacing w:after="0" w:line="153" w:lineRule="exact"/>
        <w:rPr>
          <w:sz w:val="20"/>
          <w:szCs w:val="20"/>
          <w:color w:val="auto"/>
        </w:rPr>
      </w:pPr>
    </w:p>
    <w:p>
      <w:pPr>
        <w:ind w:left="1120" w:right="40" w:hanging="437"/>
        <w:spacing w:after="0" w:line="259"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Arial" w:cs="Arial" w:eastAsia="Arial" w:hAnsi="Arial"/>
          <w:sz w:val="18"/>
          <w:szCs w:val="18"/>
          <w:color w:val="auto"/>
        </w:rPr>
      </w:pPr>
    </w:p>
    <w:p>
      <w:pPr>
        <w:ind w:left="1120" w:right="820" w:hanging="437"/>
        <w:spacing w:after="0" w:line="268"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2" w:lineRule="exact"/>
        <w:rPr>
          <w:rFonts w:ascii="Arial" w:cs="Arial" w:eastAsia="Arial" w:hAnsi="Arial"/>
          <w:sz w:val="18"/>
          <w:szCs w:val="18"/>
          <w:color w:val="auto"/>
        </w:rPr>
      </w:pPr>
    </w:p>
    <w:p>
      <w:pPr>
        <w:ind w:left="1120" w:hanging="43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11" w:lineRule="exact"/>
        <w:rPr>
          <w:rFonts w:ascii="Arial" w:cs="Arial" w:eastAsia="Arial" w:hAnsi="Arial"/>
          <w:sz w:val="18"/>
          <w:szCs w:val="18"/>
          <w:color w:val="auto"/>
        </w:rPr>
      </w:pPr>
    </w:p>
    <w:p>
      <w:pPr>
        <w:ind w:left="1700" w:right="380" w:hanging="558"/>
        <w:spacing w:after="0" w:line="332"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under the Securities Act of 1933 shall be deemed to be part of this registration statement as of the date the filed prospectus was deemed part of and included in this registration statement; and</w:t>
      </w:r>
    </w:p>
    <w:p>
      <w:pPr>
        <w:spacing w:after="0" w:line="125" w:lineRule="exact"/>
        <w:rPr>
          <w:rFonts w:ascii="Arial" w:cs="Arial" w:eastAsia="Arial" w:hAnsi="Arial"/>
          <w:sz w:val="16"/>
          <w:szCs w:val="16"/>
          <w:color w:val="auto"/>
        </w:rPr>
      </w:pPr>
    </w:p>
    <w:p>
      <w:pPr>
        <w:ind w:left="1700" w:hanging="558"/>
        <w:spacing w:after="0" w:line="286"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this registration statement in reliance on Rule 430B relating to an offering made pursuant to Rule 415(a)(1)(i), (vii), or (x) under the Securities Act of 1933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under the Securities Act of 1933, for liability purposes of the issuer and any person that is at that date an underwriter, such date shall be deemed to be a new effective date of this registration statement relating to the securities in this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the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64" w:lineRule="exact"/>
        <w:rPr>
          <w:rFonts w:ascii="Arial" w:cs="Arial" w:eastAsia="Arial" w:hAnsi="Arial"/>
          <w:sz w:val="16"/>
          <w:szCs w:val="16"/>
          <w:color w:val="auto"/>
        </w:rPr>
      </w:pPr>
    </w:p>
    <w:p>
      <w:pPr>
        <w:ind w:left="1700" w:right="40" w:hanging="558"/>
        <w:spacing w:after="0" w:line="288" w:lineRule="auto"/>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the registrant is subject to Rule 430C under the Securities Act of 1933, each prospectus filed pursuant to Rule 424(b) under the Securities Act of 1933 as part of a registration statement relating to an offering, other than registration statements relying on Rule 430B under the Securities Act of 1933 or other than prospectuses filed in reliance on Rule 430A under the Securities Act of 1933,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0" w:lineRule="exact"/>
        <w:rPr>
          <w:rFonts w:ascii="Arial" w:cs="Arial" w:eastAsia="Arial" w:hAnsi="Arial"/>
          <w:sz w:val="16"/>
          <w:szCs w:val="16"/>
          <w:color w:val="auto"/>
        </w:rPr>
      </w:pPr>
    </w:p>
    <w:p>
      <w:pPr>
        <w:ind w:left="1120" w:right="100" w:hanging="437"/>
        <w:spacing w:after="0" w:line="306" w:lineRule="auto"/>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200"/>
        <w:spacing w:after="0" w:line="268" w:lineRule="auto"/>
        <w:rPr>
          <w:sz w:val="20"/>
          <w:szCs w:val="20"/>
          <w:color w:val="auto"/>
        </w:rPr>
      </w:pPr>
      <w:r>
        <w:rPr>
          <w:rFonts w:ascii="Arial" w:cs="Arial" w:eastAsia="Arial" w:hAnsi="Arial"/>
          <w:sz w:val="18"/>
          <w:szCs w:val="18"/>
          <w:color w:val="auto"/>
        </w:rPr>
        <w:t>offered or sold to such purchaser by means of any of the following communications, the undersigned registrant will be a seller to the purchaser and will be considered to offer or sell such securities to such purchaser:</w:t>
      </w:r>
    </w:p>
    <w:p>
      <w:pPr>
        <w:spacing w:after="0" w:line="172" w:lineRule="exact"/>
        <w:rPr>
          <w:sz w:val="20"/>
          <w:szCs w:val="20"/>
          <w:color w:val="auto"/>
        </w:rPr>
      </w:pPr>
    </w:p>
    <w:p>
      <w:pPr>
        <w:ind w:left="1700" w:right="20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preliminary prospectus or prospectus of an undersigned registrant relating to the offering required to be filed pursuant to Rule 424 under the Securities Act of 1933;</w:t>
      </w:r>
    </w:p>
    <w:p>
      <w:pPr>
        <w:spacing w:after="0" w:line="172" w:lineRule="exact"/>
        <w:rPr>
          <w:rFonts w:ascii="Arial" w:cs="Arial" w:eastAsia="Arial" w:hAnsi="Arial"/>
          <w:sz w:val="18"/>
          <w:szCs w:val="18"/>
          <w:color w:val="auto"/>
        </w:rPr>
      </w:pPr>
    </w:p>
    <w:p>
      <w:pPr>
        <w:ind w:left="1700" w:right="34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an undersigned registrant or used or referred to by an undersigned registrant;</w:t>
      </w:r>
    </w:p>
    <w:p>
      <w:pPr>
        <w:spacing w:after="0" w:line="172" w:lineRule="exact"/>
        <w:rPr>
          <w:rFonts w:ascii="Arial" w:cs="Arial" w:eastAsia="Arial" w:hAnsi="Arial"/>
          <w:sz w:val="18"/>
          <w:szCs w:val="18"/>
          <w:color w:val="auto"/>
        </w:rPr>
      </w:pPr>
    </w:p>
    <w:p>
      <w:pPr>
        <w:ind w:left="1700" w:right="140" w:hanging="558"/>
        <w:spacing w:after="0" w:line="268" w:lineRule="auto"/>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172" w:lineRule="exact"/>
        <w:rPr>
          <w:rFonts w:ascii="Arial" w:cs="Arial" w:eastAsia="Arial" w:hAnsi="Arial"/>
          <w:sz w:val="18"/>
          <w:szCs w:val="18"/>
          <w:color w:val="auto"/>
        </w:rPr>
      </w:pPr>
    </w:p>
    <w:p>
      <w:pPr>
        <w:ind w:left="1700" w:hanging="558"/>
        <w:spacing w:after="0"/>
        <w:tabs>
          <w:tab w:leader="none" w:pos="1700" w:val="left"/>
        </w:tabs>
        <w:numPr>
          <w:ilvl w:val="4"/>
          <w:numId w:val="4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71" w:lineRule="exact"/>
        <w:rPr>
          <w:rFonts w:ascii="Arial" w:cs="Arial" w:eastAsia="Arial" w:hAnsi="Arial"/>
          <w:sz w:val="18"/>
          <w:szCs w:val="18"/>
          <w:color w:val="auto"/>
        </w:rPr>
      </w:pPr>
    </w:p>
    <w:p>
      <w:pPr>
        <w:ind w:right="60" w:firstLine="464"/>
        <w:spacing w:after="0" w:line="255" w:lineRule="auto"/>
        <w:tabs>
          <w:tab w:leader="none" w:pos="66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160" w:firstLine="464"/>
        <w:spacing w:after="0" w:line="290" w:lineRule="auto"/>
        <w:tabs>
          <w:tab w:leader="none" w:pos="6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11" w:lineRule="exact"/>
        <w:rPr>
          <w:rFonts w:ascii="Arial" w:cs="Arial" w:eastAsia="Arial" w:hAnsi="Arial"/>
          <w:sz w:val="18"/>
          <w:szCs w:val="18"/>
          <w:color w:val="auto"/>
        </w:rPr>
      </w:pPr>
    </w:p>
    <w:p>
      <w:pPr>
        <w:ind w:left="1120" w:right="320" w:hanging="437"/>
        <w:spacing w:after="0" w:line="305" w:lineRule="auto"/>
        <w:tabs>
          <w:tab w:leader="none" w:pos="1120" w:val="left"/>
        </w:tabs>
        <w:numPr>
          <w:ilvl w:val="2"/>
          <w:numId w:val="45"/>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Rules 424(b)(1) or</w:t>
      </w:r>
    </w:p>
    <w:p>
      <w:pPr>
        <w:ind w:left="1380" w:hanging="251"/>
        <w:spacing w:after="0"/>
        <w:tabs>
          <w:tab w:leader="none" w:pos="1380" w:val="left"/>
        </w:tabs>
        <w:numPr>
          <w:ilvl w:val="3"/>
          <w:numId w:val="45"/>
        </w:numPr>
        <w:rPr>
          <w:rFonts w:ascii="Arial" w:cs="Arial" w:eastAsia="Arial" w:hAnsi="Arial"/>
          <w:sz w:val="16"/>
          <w:szCs w:val="16"/>
          <w:color w:val="auto"/>
        </w:rPr>
      </w:pPr>
      <w:r>
        <w:rPr>
          <w:rFonts w:ascii="Arial" w:cs="Arial" w:eastAsia="Arial" w:hAnsi="Arial"/>
          <w:sz w:val="16"/>
          <w:szCs w:val="16"/>
          <w:color w:val="auto"/>
        </w:rPr>
        <w:t>or 497(h) under the Securities Act shall be deemed to be part of this registration statement as of the time it was declared effective.</w:t>
      </w:r>
    </w:p>
    <w:p>
      <w:pPr>
        <w:spacing w:after="0" w:line="228" w:lineRule="exact"/>
        <w:rPr>
          <w:rFonts w:ascii="Arial" w:cs="Arial" w:eastAsia="Arial" w:hAnsi="Arial"/>
          <w:sz w:val="16"/>
          <w:szCs w:val="16"/>
          <w:color w:val="auto"/>
        </w:rPr>
      </w:pPr>
    </w:p>
    <w:p>
      <w:pPr>
        <w:ind w:left="1120" w:right="20" w:hanging="437"/>
        <w:spacing w:after="0" w:line="259" w:lineRule="auto"/>
        <w:tabs>
          <w:tab w:leader="none" w:pos="11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left="660" w:hanging="196"/>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firstLine="8"/>
        <w:spacing w:after="0" w:line="261"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subsection 310 of the Trust Indenture Act in accordance with the rules and regulations prescribed by the SEC under section 305(b)(2) of the Trust Indenture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Amendment No. 1 to Registration Statement No. 333-137054 to be signed on its behalf by the undersigned, thereunto duly authorized, in the City of Austin, State of Texas, on the 26th day of September,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ACTIVE POWER, INC.</w:t>
            </w:r>
          </w:p>
        </w:tc>
      </w:tr>
      <w:tr>
        <w:trPr>
          <w:trHeight w:val="434"/>
        </w:trPr>
        <w:tc>
          <w:tcPr>
            <w:tcW w:w="3720" w:type="dxa"/>
            <w:vAlign w:val="bottom"/>
          </w:tcPr>
          <w:p>
            <w:pPr>
              <w:spacing w:after="0"/>
              <w:rPr>
                <w:sz w:val="20"/>
                <w:szCs w:val="20"/>
                <w:color w:val="auto"/>
              </w:rPr>
            </w:pPr>
            <w:r>
              <w:rPr>
                <w:rFonts w:ascii="Arial" w:cs="Arial" w:eastAsia="Arial" w:hAnsi="Arial"/>
                <w:sz w:val="18"/>
                <w:szCs w:val="18"/>
                <w:color w:val="auto"/>
              </w:rPr>
              <w:t>Dated: September 26, 2006</w:t>
            </w:r>
          </w:p>
        </w:tc>
        <w:tc>
          <w:tcPr>
            <w:tcW w:w="2340" w:type="dxa"/>
            <w:vAlign w:val="bottom"/>
          </w:tcPr>
          <w:p>
            <w:pPr>
              <w:ind w:left="17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JAMES A. CLISHEM</w:t>
            </w:r>
          </w:p>
        </w:tc>
      </w:tr>
      <w:tr>
        <w:trPr>
          <w:trHeight w:val="215"/>
        </w:trPr>
        <w:tc>
          <w:tcPr>
            <w:tcW w:w="37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James A. Clishem, President and</w:t>
            </w:r>
          </w:p>
        </w:tc>
      </w:tr>
      <w:tr>
        <w:trPr>
          <w:trHeight w:val="222"/>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No. 333-137054 has been signed below by the following persons on behalf of the registrant in the capacities set forth below on September 26,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r>
      <w:tr>
        <w:trPr>
          <w:trHeight w:val="437"/>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94"/>
              </w:rPr>
              <w:t>/s/ JAMES A. CLISHEM</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8"/>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8"/>
              </w:rPr>
              <w:t>James A. Clishem</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Director (principal executive officer)</w:t>
            </w:r>
          </w:p>
        </w:tc>
      </w:tr>
      <w:tr>
        <w:trPr>
          <w:trHeight w:val="437"/>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91"/>
              </w:rPr>
              <w:t>/s/ JOHN K. PENVER</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 Finance, Chief Financial Officer and Secretary</w:t>
            </w:r>
          </w:p>
        </w:tc>
      </w:tr>
      <w:tr>
        <w:trPr>
          <w:trHeight w:val="218"/>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7"/>
              </w:rPr>
              <w:t>John K. Penver</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(principal financial and accounting officer)</w:t>
            </w: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8"/>
              </w:rPr>
              <w:t>Joseph F. Pinkerton, III</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93"/>
              </w:rPr>
              <w:t>Ake Almgren</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9"/>
              </w:rPr>
              <w:t>Richard E. Anderson</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8"/>
              </w:rPr>
              <w:t>Rodney S. Bond</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88"/>
              </w:rPr>
              <w:t>Brad Boston</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90"/>
              </w:rPr>
              <w:t>Jan H. Lindelow</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32"/>
              <w:spacing w:after="0"/>
              <w:rPr>
                <w:sz w:val="20"/>
                <w:szCs w:val="20"/>
                <w:color w:val="auto"/>
              </w:rPr>
            </w:pPr>
            <w:r>
              <w:rPr>
                <w:rFonts w:ascii="Arial" w:cs="Arial" w:eastAsia="Arial" w:hAnsi="Arial"/>
                <w:sz w:val="18"/>
                <w:szCs w:val="18"/>
                <w:color w:val="auto"/>
                <w:w w:val="88"/>
              </w:rPr>
              <w:t>Terrence L. Rock</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3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380" w:type="dxa"/>
            <w:vAlign w:val="bottom"/>
          </w:tcPr>
          <w:p>
            <w:pPr>
              <w:spacing w:after="0"/>
              <w:rPr>
                <w:sz w:val="18"/>
                <w:szCs w:val="18"/>
                <w:color w:val="auto"/>
              </w:rPr>
            </w:pPr>
          </w:p>
        </w:tc>
        <w:tc>
          <w:tcPr>
            <w:tcW w:w="4540" w:type="dxa"/>
            <w:vAlign w:val="bottom"/>
          </w:tcPr>
          <w:p>
            <w:pPr>
              <w:jc w:val="center"/>
              <w:ind w:left="452"/>
              <w:spacing w:after="0"/>
              <w:rPr>
                <w:sz w:val="20"/>
                <w:szCs w:val="20"/>
                <w:color w:val="auto"/>
              </w:rPr>
            </w:pPr>
            <w:r>
              <w:rPr>
                <w:rFonts w:ascii="Arial" w:cs="Arial" w:eastAsia="Arial" w:hAnsi="Arial"/>
                <w:sz w:val="18"/>
                <w:szCs w:val="18"/>
                <w:color w:val="auto"/>
                <w:w w:val="90"/>
              </w:rPr>
              <w:t>Benjamin L. Scott</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641"/>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K. PENVER</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2"/>
        </w:trPr>
        <w:tc>
          <w:tcPr>
            <w:tcW w:w="380" w:type="dxa"/>
            <w:vAlign w:val="bottom"/>
          </w:tcPr>
          <w:p>
            <w:pPr>
              <w:spacing w:after="0"/>
              <w:rPr>
                <w:sz w:val="17"/>
                <w:szCs w:val="17"/>
                <w:color w:val="auto"/>
              </w:rPr>
            </w:pPr>
          </w:p>
        </w:tc>
        <w:tc>
          <w:tcPr>
            <w:tcW w:w="4540" w:type="dxa"/>
            <w:vAlign w:val="bottom"/>
          </w:tcPr>
          <w:p>
            <w:pPr>
              <w:jc w:val="center"/>
              <w:spacing w:after="0" w:line="202" w:lineRule="exact"/>
              <w:rPr>
                <w:sz w:val="20"/>
                <w:szCs w:val="20"/>
                <w:color w:val="auto"/>
              </w:rPr>
            </w:pPr>
            <w:r>
              <w:rPr>
                <w:rFonts w:ascii="Arial" w:cs="Arial" w:eastAsia="Arial" w:hAnsi="Arial"/>
                <w:sz w:val="18"/>
                <w:szCs w:val="18"/>
                <w:color w:val="auto"/>
                <w:w w:val="87"/>
              </w:rPr>
              <w:t>John K. Penver</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3"/>
              </w:rPr>
              <w:t>Attorney-in-fact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378"/>
        </w:trPr>
        <w:tc>
          <w:tcPr>
            <w:tcW w:w="3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500" w:type="dxa"/>
            <w:vAlign w:val="bottom"/>
            <w:gridSpan w:val="3"/>
          </w:tcPr>
          <w:p>
            <w:pPr>
              <w:ind w:left="6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60" w:type="dxa"/>
            <w:vAlign w:val="bottom"/>
          </w:tcPr>
          <w:p>
            <w:pPr>
              <w:ind w:left="3860"/>
              <w:spacing w:after="0"/>
              <w:rPr>
                <w:sz w:val="20"/>
                <w:szCs w:val="20"/>
                <w:color w:val="auto"/>
              </w:rPr>
            </w:pPr>
            <w:r>
              <w:rPr>
                <w:rFonts w:ascii="Arial" w:cs="Arial" w:eastAsia="Arial" w:hAnsi="Arial"/>
                <w:sz w:val="18"/>
                <w:szCs w:val="18"/>
                <w:b w:val="1"/>
                <w:bCs w:val="1"/>
                <w:color w:val="auto"/>
              </w:rPr>
              <w:t>LIST OF EXHIBITS</w:t>
            </w:r>
          </w:p>
        </w:tc>
      </w:tr>
      <w:tr>
        <w:trPr>
          <w:trHeight w:val="373"/>
        </w:trPr>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0360" w:type="dxa"/>
            <w:vAlign w:val="bottom"/>
            <w:tcBorders>
              <w:bottom w:val="single" w:sz="8" w:color="auto"/>
            </w:tcBorders>
          </w:tcPr>
          <w:p>
            <w:pPr>
              <w:ind w:left="4960"/>
              <w:spacing w:after="0"/>
              <w:rPr>
                <w:sz w:val="20"/>
                <w:szCs w:val="20"/>
                <w:color w:val="auto"/>
              </w:rPr>
            </w:pPr>
            <w:r>
              <w:rPr>
                <w:rFonts w:ascii="Arial" w:cs="Arial" w:eastAsia="Arial" w:hAnsi="Arial"/>
                <w:sz w:val="14"/>
                <w:szCs w:val="14"/>
                <w:b w:val="1"/>
                <w:bCs w:val="1"/>
                <w:color w:val="auto"/>
              </w:rPr>
              <w:t>Exhibit</w:t>
            </w:r>
          </w:p>
        </w:tc>
      </w:tr>
      <w:tr>
        <w:trPr>
          <w:trHeight w:val="195"/>
        </w:trPr>
        <w:tc>
          <w:tcPr>
            <w:tcW w:w="720" w:type="dxa"/>
            <w:vAlign w:val="bottom"/>
          </w:tcPr>
          <w:p>
            <w:pPr>
              <w:ind w:left="180"/>
              <w:spacing w:after="0" w:line="195" w:lineRule="exact"/>
              <w:rPr>
                <w:sz w:val="20"/>
                <w:szCs w:val="20"/>
                <w:color w:val="auto"/>
              </w:rPr>
            </w:pPr>
            <w:r>
              <w:rPr>
                <w:rFonts w:ascii="Arial" w:cs="Arial" w:eastAsia="Arial" w:hAnsi="Arial"/>
                <w:sz w:val="18"/>
                <w:szCs w:val="18"/>
                <w:color w:val="auto"/>
              </w:rPr>
              <w:t>1.1*</w:t>
            </w:r>
          </w:p>
        </w:tc>
        <w:tc>
          <w:tcPr>
            <w:tcW w:w="3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w:t>
            </w:r>
          </w:p>
        </w:tc>
        <w:tc>
          <w:tcPr>
            <w:tcW w:w="10360" w:type="dxa"/>
            <w:vAlign w:val="bottom"/>
          </w:tcPr>
          <w:p>
            <w:pPr>
              <w:spacing w:after="0" w:line="195" w:lineRule="exact"/>
              <w:rPr>
                <w:sz w:val="20"/>
                <w:szCs w:val="20"/>
                <w:color w:val="auto"/>
              </w:rPr>
            </w:pPr>
            <w:r>
              <w:rPr>
                <w:rFonts w:ascii="Arial" w:cs="Arial" w:eastAsia="Arial" w:hAnsi="Arial"/>
                <w:sz w:val="18"/>
                <w:szCs w:val="18"/>
                <w:color w:val="auto"/>
              </w:rPr>
              <w:t>Form of Underwriting Agreement.</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w w:val="92"/>
              </w:rPr>
              <w:t>— Specimen certificate for shares of common stock (filed as Exhibit 4.1 to Active Power’s registration statement on Form S-1 (SEC File No. 333-</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36946)).</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w w:val="90"/>
              </w:rPr>
              <w:t>— Rights Agreement, dated as of December 13, 2001, between the Active Power and Equiserve Trust N.A., which includes the form of Certificate of</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w w:val="92"/>
              </w:rPr>
              <w:t>Designation for the Series A Junior Participating Preferred Stock as Exhibit A, the form of Rights Certificate as Exhibit B and the Summary of</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filed December 14,</w:t>
            </w: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2001).</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4.3*</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Specimen certificate for shares of Preferred Stock.</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4.4†</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Senior Debt Indenture (including form of senior debt security).</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4.5†</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Subordinated Debt Indenture (including form of subordinated debt security).</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4.6*</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Form of Warrant Agreement (including form of warrant certificate).</w:t>
            </w:r>
          </w:p>
        </w:tc>
      </w:tr>
      <w:tr>
        <w:trPr>
          <w:trHeight w:val="216"/>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5.1**  — Opinion of Andrews Kurth LLP.</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12.1†</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Statement of Computation of Ratios.</w:t>
            </w:r>
          </w:p>
        </w:tc>
      </w:tr>
      <w:tr>
        <w:trPr>
          <w:trHeight w:val="216"/>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23.1** — Consent of Ernst &amp; Young LLP.</w:t>
            </w:r>
          </w:p>
        </w:tc>
      </w:tr>
      <w:tr>
        <w:trPr>
          <w:trHeight w:val="216"/>
        </w:trPr>
        <w:tc>
          <w:tcPr>
            <w:tcW w:w="720" w:type="dxa"/>
            <w:vAlign w:val="bottom"/>
          </w:tcPr>
          <w:p>
            <w:pPr>
              <w:ind w:left="180"/>
              <w:spacing w:after="0"/>
              <w:rPr>
                <w:sz w:val="20"/>
                <w:szCs w:val="20"/>
                <w:color w:val="auto"/>
              </w:rPr>
            </w:pPr>
            <w:r>
              <w:rPr>
                <w:rFonts w:ascii="Arial" w:cs="Arial" w:eastAsia="Arial" w:hAnsi="Arial"/>
                <w:sz w:val="18"/>
                <w:szCs w:val="18"/>
                <w:color w:val="auto"/>
              </w:rPr>
              <w:t>23.2**</w:t>
            </w:r>
          </w:p>
        </w:tc>
        <w:tc>
          <w:tcPr>
            <w:tcW w:w="10700" w:type="dxa"/>
            <w:vAlign w:val="bottom"/>
            <w:gridSpan w:val="3"/>
          </w:tcPr>
          <w:p>
            <w:pPr>
              <w:ind w:left="60"/>
              <w:spacing w:after="0"/>
              <w:rPr>
                <w:sz w:val="20"/>
                <w:szCs w:val="20"/>
                <w:color w:val="auto"/>
              </w:rPr>
            </w:pPr>
            <w:r>
              <w:rPr>
                <w:rFonts w:ascii="Arial" w:cs="Arial" w:eastAsia="Arial" w:hAnsi="Arial"/>
                <w:sz w:val="18"/>
                <w:szCs w:val="18"/>
                <w:color w:val="auto"/>
              </w:rPr>
              <w:t>— Consent of Andrews Kurth LLP (included in Exhibit 5.1).</w:t>
            </w:r>
          </w:p>
        </w:tc>
      </w:tr>
      <w:tr>
        <w:trPr>
          <w:trHeight w:val="216"/>
        </w:trPr>
        <w:tc>
          <w:tcPr>
            <w:tcW w:w="11420" w:type="dxa"/>
            <w:vAlign w:val="bottom"/>
            <w:gridSpan w:val="4"/>
          </w:tcPr>
          <w:p>
            <w:pPr>
              <w:ind w:left="180"/>
              <w:spacing w:after="0"/>
              <w:rPr>
                <w:sz w:val="20"/>
                <w:szCs w:val="20"/>
                <w:color w:val="auto"/>
              </w:rPr>
            </w:pPr>
            <w:r>
              <w:rPr>
                <w:rFonts w:ascii="Arial" w:cs="Arial" w:eastAsia="Arial" w:hAnsi="Arial"/>
                <w:sz w:val="18"/>
                <w:szCs w:val="18"/>
                <w:color w:val="auto"/>
              </w:rPr>
              <w:t>24.1†  — Power of Attorney (included in signature page).</w:t>
            </w:r>
          </w:p>
        </w:tc>
      </w:tr>
      <w:tr>
        <w:trPr>
          <w:trHeight w:val="222"/>
        </w:trPr>
        <w:tc>
          <w:tcPr>
            <w:tcW w:w="720" w:type="dxa"/>
            <w:vAlign w:val="bottom"/>
          </w:tcPr>
          <w:p>
            <w:pPr>
              <w:ind w:left="180"/>
              <w:spacing w:after="0"/>
              <w:rPr>
                <w:sz w:val="20"/>
                <w:szCs w:val="20"/>
                <w:color w:val="auto"/>
              </w:rPr>
            </w:pPr>
            <w:r>
              <w:rPr>
                <w:rFonts w:ascii="Arial" w:cs="Arial" w:eastAsia="Arial" w:hAnsi="Arial"/>
                <w:sz w:val="18"/>
                <w:szCs w:val="18"/>
                <w:color w:val="auto"/>
              </w:rPr>
              <w:t>25.1*</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0460" w:type="dxa"/>
            <w:vAlign w:val="bottom"/>
            <w:gridSpan w:val="2"/>
          </w:tcPr>
          <w:p>
            <w:pPr>
              <w:ind w:left="100"/>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156"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To be filed by amendment hereto or by a report filed under the Securities Exchange Act of 1934, and incorporated herein by reference.</w:t>
      </w:r>
    </w:p>
    <w:p>
      <w:pPr>
        <w:spacing w:after="0" w:line="171"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21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Previously filed.</w:t>
      </w:r>
    </w:p>
    <w:p>
      <w:pPr>
        <w:sectPr>
          <w:pgSz w:w="11900" w:h="16838" w:orient="portrait"/>
          <w:cols w:equalWidth="0" w:num="1">
            <w:col w:w="11420"/>
          </w:cols>
          <w:pgMar w:left="240" w:top="459" w:right="239" w:bottom="1440" w:gutter="0" w:footer="0" w:header="0"/>
        </w:sectPr>
      </w:pPr>
    </w:p>
    <w:bookmarkStart w:id="58" w:name="page59"/>
    <w:bookmarkEnd w:id="58"/>
    <w:p>
      <w:pPr>
        <w:ind w:left="10600"/>
        <w:spacing w:after="0"/>
        <w:rPr>
          <w:sz w:val="20"/>
          <w:szCs w:val="20"/>
          <w:color w:val="auto"/>
        </w:rPr>
      </w:pPr>
      <w:r>
        <w:rPr>
          <w:rFonts w:ascii="Arial" w:cs="Arial" w:eastAsia="Arial" w:hAnsi="Arial"/>
          <w:sz w:val="16"/>
          <w:szCs w:val="16"/>
          <w:b w:val="1"/>
          <w:bCs w:val="1"/>
          <w:color w:val="auto"/>
        </w:rPr>
        <w:t>Exhibit 5.1</w:t>
      </w:r>
    </w:p>
    <w:p>
      <w:pPr>
        <w:spacing w:after="0" w:line="241"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111 Congress Avenue, Suite 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531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531495"/>
                    </a:xfrm>
                    <a:prstGeom prst="rect">
                      <a:avLst/>
                    </a:prstGeom>
                    <a:noFill/>
                  </pic:spPr>
                </pic:pic>
              </a:graphicData>
            </a:graphic>
          </wp:anchor>
        </w:drawing>
      </w:r>
    </w:p>
    <w:p>
      <w:pPr>
        <w:ind w:left="8540"/>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512.320.9200 Phone</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512.320.9292 Fax</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andrewskurth.com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26,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acted as counsel to Active Power, Inc., a Delaware corporation (“</w:t>
      </w:r>
      <w:r>
        <w:rPr>
          <w:rFonts w:ascii="Arial" w:cs="Arial" w:eastAsia="Arial" w:hAnsi="Arial"/>
          <w:sz w:val="16"/>
          <w:szCs w:val="16"/>
          <w:u w:val="single" w:color="auto"/>
          <w:color w:val="auto"/>
        </w:rPr>
        <w:t>Active Power</w:t>
      </w:r>
      <w:r>
        <w:rPr>
          <w:rFonts w:ascii="Arial" w:cs="Arial" w:eastAsia="Arial" w:hAnsi="Arial"/>
          <w:sz w:val="16"/>
          <w:szCs w:val="16"/>
          <w:color w:val="auto"/>
        </w:rPr>
        <w:t>”), in connection with the preparation of a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September 1, 2006. The Registration Statement relates to the offering from time to time, as set forth in the Registration Statement, the form of prospectus contained therein (the “</w:t>
      </w:r>
      <w:r>
        <w:rPr>
          <w:rFonts w:ascii="Arial" w:cs="Arial" w:eastAsia="Arial" w:hAnsi="Arial"/>
          <w:sz w:val="16"/>
          <w:szCs w:val="16"/>
          <w:u w:val="single" w:color="auto"/>
          <w:color w:val="auto"/>
        </w:rPr>
        <w:t>Prospectus</w:t>
      </w:r>
      <w:r>
        <w:rPr>
          <w:rFonts w:ascii="Arial" w:cs="Arial" w:eastAsia="Arial" w:hAnsi="Arial"/>
          <w:sz w:val="16"/>
          <w:szCs w:val="16"/>
          <w:color w:val="auto"/>
        </w:rPr>
        <w:t>”), and one or more supplements to the Prospectus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 by Active Power of, among other securities, (i)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Company (the “</w:t>
      </w:r>
      <w:r>
        <w:rPr>
          <w:rFonts w:ascii="Arial" w:cs="Arial" w:eastAsia="Arial" w:hAnsi="Arial"/>
          <w:sz w:val="16"/>
          <w:szCs w:val="16"/>
          <w:u w:val="single" w:color="auto"/>
          <w:color w:val="auto"/>
        </w:rPr>
        <w:t>Company Common Shares</w:t>
      </w:r>
      <w:r>
        <w:rPr>
          <w:rFonts w:ascii="Arial" w:cs="Arial" w:eastAsia="Arial" w:hAnsi="Arial"/>
          <w:sz w:val="16"/>
          <w:szCs w:val="16"/>
          <w:color w:val="auto"/>
        </w:rPr>
        <w:t>”), (ii) preferred stock, par value $0.001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(iii) debt securities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(iv)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and (v) units (the “</w:t>
      </w:r>
      <w:r>
        <w:rPr>
          <w:rFonts w:ascii="Arial" w:cs="Arial" w:eastAsia="Arial" w:hAnsi="Arial"/>
          <w:sz w:val="16"/>
          <w:szCs w:val="16"/>
          <w:u w:val="single" w:color="auto"/>
          <w:color w:val="auto"/>
        </w:rPr>
        <w:t>Units</w:t>
      </w:r>
      <w:r>
        <w:rPr>
          <w:rFonts w:ascii="Arial" w:cs="Arial" w:eastAsia="Arial" w:hAnsi="Arial"/>
          <w:sz w:val="16"/>
          <w:szCs w:val="16"/>
          <w:color w:val="auto"/>
        </w:rPr>
        <w:t>”); and (b) by certain selling securityholders (the “</w:t>
      </w:r>
      <w:r>
        <w:rPr>
          <w:rFonts w:ascii="Arial" w:cs="Arial" w:eastAsia="Arial" w:hAnsi="Arial"/>
          <w:sz w:val="16"/>
          <w:szCs w:val="16"/>
          <w:u w:val="single" w:color="auto"/>
          <w:color w:val="auto"/>
        </w:rPr>
        <w:t>Selling Securityholders</w:t>
      </w:r>
      <w:r>
        <w:rPr>
          <w:rFonts w:ascii="Arial" w:cs="Arial" w:eastAsia="Arial" w:hAnsi="Arial"/>
          <w:sz w:val="16"/>
          <w:szCs w:val="16"/>
          <w:color w:val="auto"/>
        </w:rPr>
        <w:t>”) to be identified in one or more Prospectus Supplements, of shares of Common Stock (the “</w:t>
      </w:r>
      <w:r>
        <w:rPr>
          <w:rFonts w:ascii="Arial" w:cs="Arial" w:eastAsia="Arial" w:hAnsi="Arial"/>
          <w:sz w:val="16"/>
          <w:szCs w:val="16"/>
          <w:u w:val="single" w:color="auto"/>
          <w:color w:val="auto"/>
        </w:rPr>
        <w:t>Secondary Common Shares</w:t>
      </w:r>
      <w:r>
        <w:rPr>
          <w:rFonts w:ascii="Arial" w:cs="Arial" w:eastAsia="Arial" w:hAnsi="Arial"/>
          <w:sz w:val="16"/>
          <w:szCs w:val="16"/>
          <w:color w:val="auto"/>
        </w:rPr>
        <w:t>,” and collectively with the Company Common Shares, the “</w:t>
      </w:r>
      <w:r>
        <w:rPr>
          <w:rFonts w:ascii="Arial" w:cs="Arial" w:eastAsia="Arial" w:hAnsi="Arial"/>
          <w:sz w:val="16"/>
          <w:szCs w:val="16"/>
          <w:u w:val="single" w:color="auto"/>
          <w:color w:val="auto"/>
        </w:rPr>
        <w:t>Common Shares</w:t>
      </w:r>
      <w:r>
        <w:rPr>
          <w:rFonts w:ascii="Arial" w:cs="Arial" w:eastAsia="Arial" w:hAnsi="Arial"/>
          <w:sz w:val="16"/>
          <w:szCs w:val="16"/>
          <w:color w:val="auto"/>
        </w:rPr>
        <w:t>”). The Common Shares, Preferred Stock, Debt Securities, Warrants and Units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Debt Securities will be issued pursuant to (i) a senior indenture (the “</w:t>
      </w:r>
      <w:r>
        <w:rPr>
          <w:rFonts w:ascii="Arial" w:cs="Arial" w:eastAsia="Arial" w:hAnsi="Arial"/>
          <w:sz w:val="16"/>
          <w:szCs w:val="16"/>
          <w:u w:val="single" w:color="auto"/>
          <w:color w:val="auto"/>
        </w:rPr>
        <w:t>Senior Indenture</w:t>
      </w:r>
      <w:r>
        <w:rPr>
          <w:rFonts w:ascii="Arial" w:cs="Arial" w:eastAsia="Arial" w:hAnsi="Arial"/>
          <w:sz w:val="16"/>
          <w:szCs w:val="16"/>
          <w:color w:val="auto"/>
        </w:rPr>
        <w:t>”) or (ii) a subordinated indenture (the “</w:t>
      </w:r>
      <w:r>
        <w:rPr>
          <w:rFonts w:ascii="Arial" w:cs="Arial" w:eastAsia="Arial" w:hAnsi="Arial"/>
          <w:sz w:val="16"/>
          <w:szCs w:val="16"/>
          <w:u w:val="single" w:color="auto"/>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u w:val="single" w:color="auto"/>
          <w:color w:val="auto"/>
        </w:rPr>
        <w:t>Indentures</w:t>
      </w:r>
      <w:r>
        <w:rPr>
          <w:rFonts w:ascii="Arial" w:cs="Arial" w:eastAsia="Arial" w:hAnsi="Arial"/>
          <w:sz w:val="16"/>
          <w:szCs w:val="16"/>
          <w:color w:val="auto"/>
        </w:rPr>
        <w:t>”), in each case, between Active Power and the financial institution to be named therein, as trustee. The Warrants will be issued pursuant to a warrant agreement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between Active Power and a warrant agent.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examined the following:</w:t>
      </w:r>
    </w:p>
    <w:p>
      <w:pPr>
        <w:spacing w:after="0" w:line="171" w:lineRule="exact"/>
        <w:rPr>
          <w:sz w:val="20"/>
          <w:szCs w:val="20"/>
          <w:color w:val="auto"/>
        </w:rPr>
      </w:pPr>
    </w:p>
    <w:p>
      <w:pPr>
        <w:ind w:right="240" w:firstLine="464"/>
        <w:spacing w:after="0" w:line="259" w:lineRule="auto"/>
        <w:tabs>
          <w:tab w:leader="none" w:pos="6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Restated Certificate of Incorporation of Active Power, certified by the Secretary of State of the State of Delaware on September 19, 2006 and certified by the Secretary of Active Power as presently in effect and as in effect at the time of the adoption of the resolutions of the board of directors of Active Power referred to below;</w:t>
      </w:r>
    </w:p>
    <w:p>
      <w:pPr>
        <w:spacing w:after="0" w:line="140" w:lineRule="exact"/>
        <w:rPr>
          <w:rFonts w:ascii="Arial" w:cs="Arial" w:eastAsia="Arial" w:hAnsi="Arial"/>
          <w:sz w:val="18"/>
          <w:szCs w:val="18"/>
          <w:color w:val="auto"/>
        </w:rPr>
      </w:pPr>
    </w:p>
    <w:p>
      <w:pPr>
        <w:ind w:right="160" w:firstLine="464"/>
        <w:spacing w:after="0" w:line="332" w:lineRule="auto"/>
        <w:tabs>
          <w:tab w:leader="none" w:pos="7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Amended and Restated Bylaws of Active Power, certified by the Secretary of Active Power as presently in effect and as in effect at the time of the adoption of the resolutions of the board of directors of Active Power referred to below (collectively with (i) and (ii) above, the “</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w:t>
      </w:r>
    </w:p>
    <w:p>
      <w:pPr>
        <w:spacing w:after="0" w:line="83" w:lineRule="exact"/>
        <w:rPr>
          <w:sz w:val="20"/>
          <w:szCs w:val="20"/>
          <w:color w:val="auto"/>
        </w:rPr>
      </w:pPr>
    </w:p>
    <w:p>
      <w:pPr>
        <w:ind w:left="2140"/>
        <w:spacing w:after="0"/>
        <w:tabs>
          <w:tab w:leader="none" w:pos="2760" w:val="left"/>
          <w:tab w:leader="none" w:pos="3420" w:val="left"/>
          <w:tab w:leader="none" w:pos="4040" w:val="left"/>
          <w:tab w:leader="none" w:pos="4760" w:val="left"/>
          <w:tab w:leader="none" w:pos="5480" w:val="left"/>
          <w:tab w:leader="none" w:pos="6440" w:val="left"/>
          <w:tab w:leader="none" w:pos="7260" w:val="left"/>
          <w:tab w:leader="none" w:pos="8380" w:val="left"/>
        </w:tabs>
        <w:rPr>
          <w:sz w:val="20"/>
          <w:szCs w:val="20"/>
          <w:color w:val="auto"/>
        </w:rPr>
      </w:pPr>
      <w:r>
        <w:rPr>
          <w:rFonts w:ascii="Arial" w:cs="Arial" w:eastAsia="Arial" w:hAnsi="Arial"/>
          <w:sz w:val="14"/>
          <w:szCs w:val="14"/>
          <w:color w:val="auto"/>
        </w:rPr>
        <w:t>Austin</w:t>
      </w:r>
      <w:r>
        <w:rPr>
          <w:sz w:val="20"/>
          <w:szCs w:val="20"/>
          <w:color w:val="auto"/>
        </w:rPr>
        <w:tab/>
      </w: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Dallas</w:t>
      </w:r>
      <w:r>
        <w:rPr>
          <w:sz w:val="20"/>
          <w:szCs w:val="20"/>
          <w:color w:val="auto"/>
        </w:rPr>
        <w:tab/>
      </w: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The Woodlands</w:t>
      </w:r>
      <w:r>
        <w:rPr>
          <w:sz w:val="20"/>
          <w:szCs w:val="20"/>
          <w:color w:val="auto"/>
        </w:rPr>
        <w:tab/>
      </w:r>
      <w:r>
        <w:rPr>
          <w:rFonts w:ascii="Arial" w:cs="Arial" w:eastAsia="Arial" w:hAnsi="Arial"/>
          <w:sz w:val="12"/>
          <w:szCs w:val="12"/>
          <w:color w:val="auto"/>
        </w:rPr>
        <w:t>Washington, DC</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780" w:hanging="31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Active Power adopted on August 23, 2006 certified by the Secretary of Active Power;</w:t>
      </w:r>
    </w:p>
    <w:p>
      <w:pPr>
        <w:spacing w:after="0" w:line="194" w:lineRule="exact"/>
        <w:rPr>
          <w:rFonts w:ascii="Arial" w:cs="Arial" w:eastAsia="Arial" w:hAnsi="Arial"/>
          <w:sz w:val="16"/>
          <w:szCs w:val="16"/>
          <w:color w:val="auto"/>
        </w:rPr>
      </w:pPr>
    </w:p>
    <w:p>
      <w:pPr>
        <w:ind w:right="60" w:firstLine="464"/>
        <w:spacing w:after="0" w:line="268" w:lineRule="auto"/>
        <w:tabs>
          <w:tab w:leader="none" w:pos="7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certificate from the Secretary of State of the State of Delaware dated September 13, 2006 as to the good standing and legal existence under the laws of the State of Delaware of Active Power;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71" w:lineRule="exact"/>
        <w:rPr>
          <w:rFonts w:ascii="Arial" w:cs="Arial" w:eastAsia="Arial" w:hAnsi="Arial"/>
          <w:sz w:val="18"/>
          <w:szCs w:val="18"/>
          <w:color w:val="auto"/>
        </w:rPr>
      </w:pPr>
    </w:p>
    <w:p>
      <w:pPr>
        <w:ind w:left="820" w:hanging="35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Indentures in the forms filed as Exhibits 4.1 and 4.2 to the Registration Statement; and</w:t>
      </w:r>
    </w:p>
    <w:p>
      <w:pPr>
        <w:spacing w:after="0" w:line="171" w:lineRule="exact"/>
        <w:rPr>
          <w:rFonts w:ascii="Arial" w:cs="Arial" w:eastAsia="Arial" w:hAnsi="Arial"/>
          <w:sz w:val="18"/>
          <w:szCs w:val="18"/>
          <w:color w:val="auto"/>
        </w:rPr>
      </w:pPr>
    </w:p>
    <w:p>
      <w:pPr>
        <w:ind w:firstLine="464"/>
        <w:spacing w:after="0" w:line="259" w:lineRule="auto"/>
        <w:tabs>
          <w:tab w:leader="none" w:pos="8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originals or copies, certified or otherwise identified to our satisfaction, of such other instruments and other certificates of public officials, officers and representatives of Active Power and such other persons, and we have made such investigations of law, as we have deemed appropriate as a basis for the opinions expressed below.</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rendering the opinions expressed below, we have assumed and have not verified (i) the genuineness of the signatures on all documents that we have examined, (ii) the legal capacity of all natural persons, (iii) the authenticity of all the documents supplied to us as originals, and (iv) the conformity to the authentic originals of all documents supplied to us as certified or photostatic or faxed copies. In conducting our examination of documents executed by parties other than Active Power, we have assumed that such parties had the power, corporate or other, to enter into and perform all obligations thereunder and have also assumed the due authorization by all requisite action, corporate or other, and the due execution and delivery by such parties of such documents and that, to the extent such documents purport to constitute agreements, such documents constitute valid and binding obligations of such parties.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expressed below with respect to the Securities, we have assumed that:</w:t>
      </w:r>
    </w:p>
    <w:p>
      <w:pPr>
        <w:spacing w:after="0" w:line="171" w:lineRule="exact"/>
        <w:rPr>
          <w:sz w:val="20"/>
          <w:szCs w:val="20"/>
          <w:color w:val="auto"/>
        </w:rPr>
      </w:pPr>
    </w:p>
    <w:p>
      <w:pPr>
        <w:ind w:left="680" w:hanging="216"/>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Organizational Documents of Active Power will not have been amended in any manner that would affect any legal conclusion set forth herein;</w:t>
      </w:r>
    </w:p>
    <w:p>
      <w:pPr>
        <w:spacing w:after="0" w:line="194" w:lineRule="exact"/>
        <w:rPr>
          <w:rFonts w:ascii="Arial" w:cs="Arial" w:eastAsia="Arial" w:hAnsi="Arial"/>
          <w:sz w:val="16"/>
          <w:szCs w:val="16"/>
          <w:color w:val="auto"/>
        </w:rPr>
      </w:pPr>
    </w:p>
    <w:p>
      <w:pPr>
        <w:ind w:right="600" w:firstLine="464"/>
        <w:spacing w:after="0" w:line="268" w:lineRule="auto"/>
        <w:tabs>
          <w:tab w:leader="none" w:pos="7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Certificate of Designation in respect of Preferred Stock to be offered pursuant to the Registration Statement will be in conformity with the Organizational Documents of Active Power and with applicable law;</w:t>
      </w:r>
    </w:p>
    <w:p>
      <w:pPr>
        <w:spacing w:after="0" w:line="131" w:lineRule="exact"/>
        <w:rPr>
          <w:rFonts w:ascii="Arial" w:cs="Arial" w:eastAsia="Arial" w:hAnsi="Arial"/>
          <w:sz w:val="18"/>
          <w:szCs w:val="18"/>
          <w:color w:val="auto"/>
        </w:rPr>
      </w:pPr>
    </w:p>
    <w:p>
      <w:pPr>
        <w:ind w:right="140" w:firstLine="464"/>
        <w:spacing w:after="0" w:line="268" w:lineRule="auto"/>
        <w:tabs>
          <w:tab w:leader="none" w:pos="7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consideration paid for any shares of Common Stock (other than Secondary Common Shares) or Preferred Stock will comply with Section 152 of the Delaware General Corporation Law or any successor provision;</w:t>
      </w:r>
    </w:p>
    <w:p>
      <w:pPr>
        <w:sectPr>
          <w:pgSz w:w="11900" w:h="16838" w:orient="portrait"/>
          <w:cols w:equalWidth="0" w:num="1">
            <w:col w:w="11320"/>
          </w:cols>
          <w:pgMar w:left="240" w:top="28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120" w:firstLine="464"/>
        <w:spacing w:after="0" w:line="298" w:lineRule="auto"/>
        <w:tabs>
          <w:tab w:leader="none" w:pos="7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Supplemental Indenture to any of the Indentures and any resolutions of the board of directors of Active Power and/or any officer’s certificate executed and delivered pursuant to any of the Indentures, in any such case, pursuant to which any Debt Securities are issued, will comply with such Indenture as theretofore supplemented, and the form and terms of such Debt Securities will comply with such Indenture as then supplemented (including by any such Supplemental Indenture) and any such resolutions of the board of directors of Active Power and/or officer’s certificate;</w:t>
      </w:r>
    </w:p>
    <w:p>
      <w:pPr>
        <w:spacing w:after="0" w:line="112" w:lineRule="exact"/>
        <w:rPr>
          <w:rFonts w:ascii="Arial" w:cs="Arial" w:eastAsia="Arial" w:hAnsi="Arial"/>
          <w:sz w:val="16"/>
          <w:szCs w:val="16"/>
          <w:color w:val="auto"/>
        </w:rPr>
      </w:pPr>
    </w:p>
    <w:p>
      <w:pPr>
        <w:ind w:firstLine="464"/>
        <w:spacing w:after="0" w:line="289"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form and terms of such Debt Securities, when established, the form and terms of any Warrants or Units, and the form and terms of any and all Securities or other securities (or other obligations, rights, currencies, commodities or other subject matter) comprising the same or subject thereto (in the case of the Warrants and Units), the issuance, sale and delivery thereof by Active Power, and the incurrence and performance of any issuer’s respective obligations thereunder or in respect thereof (including, without limitation, its obligations under any related Indenture, Warrant Agreement or Unit agreement) in accordance with the terms thereof, will comply with, and will not violate, any of the Organizational Documents of Active Power or any applicable law, rule, regulation, order, judgment, decree, award or agreement binding upon Active Power, or to which the issuance, sale and delivery of such Securities, or the incurrence and performance of such obligations, may be subject, or violate any applicable public policy, or be subject to any defense in law or equity, and (without limiting the generality of the foregoing) Section 5-501.6.b of the New York General Obligations Law will apply in the case of all such Debt Securities; and</w:t>
      </w:r>
    </w:p>
    <w:p>
      <w:pPr>
        <w:spacing w:after="0" w:line="118" w:lineRule="exact"/>
        <w:rPr>
          <w:rFonts w:ascii="Arial" w:cs="Arial" w:eastAsia="Arial" w:hAnsi="Arial"/>
          <w:sz w:val="16"/>
          <w:szCs w:val="16"/>
          <w:color w:val="auto"/>
        </w:rPr>
      </w:pPr>
    </w:p>
    <w:p>
      <w:pPr>
        <w:ind w:right="140" w:firstLine="464"/>
        <w:spacing w:after="0" w:line="255" w:lineRule="auto"/>
        <w:tabs>
          <w:tab w:leader="none" w:pos="7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receipt by each person to whom or for whose benefit a Security is to be issued (collectively, the “</w:t>
      </w:r>
      <w:r>
        <w:rPr>
          <w:rFonts w:ascii="Arial" w:cs="Arial" w:eastAsia="Arial" w:hAnsi="Arial"/>
          <w:sz w:val="18"/>
          <w:szCs w:val="18"/>
          <w:u w:val="single" w:color="auto"/>
          <w:color w:val="auto"/>
        </w:rPr>
        <w:t>Beneficial Holders</w:t>
      </w:r>
      <w:r>
        <w:rPr>
          <w:rFonts w:ascii="Arial" w:cs="Arial" w:eastAsia="Arial" w:hAnsi="Arial"/>
          <w:sz w:val="18"/>
          <w:szCs w:val="18"/>
          <w:color w:val="auto"/>
        </w:rPr>
        <w:t>”) of a certificate for such Security or the receipt by an agent, on behalf of all Beneficial Holders of the class or series of Securities of which such Security is one, of a global security then evidencing such Securities, and the issuance and sale of and payment for the Securities so acquired, in accordance with the applicable purchase, underwriting or similar agreement approved by the board of directors of each affected issuer and the Registration Statement (including the Prospectus and the applicable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w:t>
      </w:r>
    </w:p>
    <w:p>
      <w:pPr>
        <w:spacing w:after="0" w:line="194" w:lineRule="exact"/>
        <w:rPr>
          <w:sz w:val="20"/>
          <w:szCs w:val="20"/>
          <w:color w:val="auto"/>
        </w:rPr>
      </w:pPr>
    </w:p>
    <w:p>
      <w:pPr>
        <w:ind w:firstLine="464"/>
        <w:spacing w:after="0" w:line="254"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the Company Common Shares, when (a) Active Power has taken all necessary action to approve the issuance of such Common Stock, the terms of the offering thereof and related matters and (b) such Company Common Shares have been issued and delivered in accordance with the terms of the applicable definitive purchase, underwriting or similar agreement approved by the board of directors (or duly constituted and acting committee of the board of directors) of Active Power, upon payment (or delivery) of the consideration therefor provided for therein, such Company Common Shares will be validly issued, fully paid and nonassessable. The Secondary Common Shares have been duly authorized by all necessary corporate action of the Company and are validly issued, fully paid and nonassessable.</w:t>
      </w:r>
    </w:p>
    <w:p>
      <w:pPr>
        <w:sectPr>
          <w:pgSz w:w="11900" w:h="16838" w:orient="portrait"/>
          <w:cols w:equalWidth="0" w:num="1">
            <w:col w:w="11400"/>
          </w:cols>
          <w:pgMar w:left="240" w:top="2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firstLine="464"/>
        <w:spacing w:after="0" w:line="291"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the Preferred Stock, assuming the (a) taking by the board of directors (or duly constituted and acting committee of the board of directors) of Active Power of all necessary corporate action to authorize and approve the issuance and terms of a series of the Preferred Stock, (b) due filing with the Office of the Secretary of State of Delaware of the applicable Certificate of Designation for the particular series of Preferred Stock to be issued and (c) due issuance and delivery of such series of the Preferred Stock, upon payment therefor in accordance with the applicable definitive purchase, underwriting or similar agreement approved by the board of directors (or duly constituted and acting committee of the board of directors) of Active Power, such series of the Preferred Stock will be validly issued, fully paid and nonassessable.</w:t>
      </w:r>
    </w:p>
    <w:p>
      <w:pPr>
        <w:spacing w:after="0" w:line="120" w:lineRule="exact"/>
        <w:rPr>
          <w:rFonts w:ascii="Arial" w:cs="Arial" w:eastAsia="Arial" w:hAnsi="Arial"/>
          <w:sz w:val="16"/>
          <w:szCs w:val="16"/>
          <w:color w:val="auto"/>
        </w:rPr>
      </w:pPr>
    </w:p>
    <w:p>
      <w:pPr>
        <w:ind w:right="20" w:firstLine="464"/>
        <w:spacing w:after="0" w:line="287"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any series of Debt Securities to be issued under the Senior Indenture, when (a) the applicable supplement, if any, to the Senior Indenture, has been duly authorized and validly executed and delivered by Active Power and the trustee under the Senior Indenture, or the applicable resolution of the board of directors (or duly constituted and acting committee of the board of directors) of Active Power has been duly authorized and validly executed and delivered by Active Power, or the applicable officer’s certificate has been validly executed and delivered by a duly authorized officer of Active Power, in each case, in accordance with the terms of the Senior Indenture, (b) the Senior Indenture, as then and theretofore supplemented, has been duly qualified under the Trust Indenture Act of 1939, as amended, (c) Active Power has taken all necessary action to approve the issuance and terms of such series of Debt Securities, the terms of the offering thereof and related matters and (d) the Debt Securities of such series have been duly executed, authenticated, issued and delivered in accordance with the terms of the Senior Indenture and the applicable definitive purchase, underwriting or similar agreement approved by the board of directors (or duly constituted and acting committee of the board of directors) of Active Power, upon payment (or delivery) of the consideration therefor provided for therein, the Debt Securities of such series will constitute valid and legally binding obligations of Active Power.</w:t>
      </w:r>
    </w:p>
    <w:p>
      <w:pPr>
        <w:spacing w:after="0" w:line="122" w:lineRule="exact"/>
        <w:rPr>
          <w:rFonts w:ascii="Arial" w:cs="Arial" w:eastAsia="Arial" w:hAnsi="Arial"/>
          <w:sz w:val="16"/>
          <w:szCs w:val="16"/>
          <w:color w:val="auto"/>
        </w:rPr>
      </w:pPr>
    </w:p>
    <w:p>
      <w:pPr>
        <w:ind w:right="40" w:firstLine="464"/>
        <w:spacing w:after="0" w:line="288"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any series of Debt Securities to be issued under the Subordinated Indenture, when (a) the applicable supplement, if any, to the Subordinated Indenture has been duly authorized and validly executed and delivered by Active Power and the trustee under the Subordinated Indenture, or the applicable resolution of the board of directors (or duly constituted and acting committee of the board of directors) has been duly authorized and validly executed and delivered by Active Power, or the applicable officer’s certificate has been validly executed and delivered by a duly authorized officer of Active Power, in each case, in accordance with the terms of the Subordinated Indenture, (b) the Subordinated Indenture, as then and theretofore supplemented, has been duly qualified under the Trust Indenture Act of 1939, as amended, (c) Active Power has taken all necessary action to approve the issuance and terms of such series of Debt Securities, the terms of the offering thereof and related matters and (d) the Debt Securities of such series have been duly executed, authenticated, issued and delivered in accordance with the terms of the Subordinated Indenture and the applicable definitive purchase, underwriting or similar agreement approved by the board of directors (or duly constituted and acting committee of the board of directors) of Active Power, upon payment (or delivery) of the</w:t>
      </w:r>
    </w:p>
    <w:p>
      <w:pPr>
        <w:sectPr>
          <w:pgSz w:w="11900" w:h="16838" w:orient="portrait"/>
          <w:cols w:equalWidth="0" w:num="1">
            <w:col w:w="11380"/>
          </w:cols>
          <w:pgMar w:left="240" w:top="280"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therefor provided for therein, the Debt Securities of such series will constitute valid and legally binding obligations of Active Power.</w:t>
      </w:r>
    </w:p>
    <w:p>
      <w:pPr>
        <w:spacing w:after="0" w:line="194" w:lineRule="exact"/>
        <w:rPr>
          <w:sz w:val="20"/>
          <w:szCs w:val="20"/>
          <w:color w:val="auto"/>
        </w:rPr>
      </w:pPr>
    </w:p>
    <w:p>
      <w:pPr>
        <w:ind w:firstLine="464"/>
        <w:spacing w:after="0" w:line="291" w:lineRule="auto"/>
        <w:tabs>
          <w:tab w:leader="none" w:pos="6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With respect to Warrants to be issued under a Warrant Agreement, when (a) Active Power has taken all necessary action to approve the issuance and terms of such Warrants, the terms of the offering thereof and related matters, (b) the Warrant Agreement has been duly authorized and validly executed and delivered by Active Power and the warrant agent under the Warrant Agreement and (c) such Warrants have been duly executed, authenticated, issued and delivered in accordance with the terms of the Warrant Agreement and the applicable definitive purchase, underwriting or similar agreement approved by the board of directors (or duly constituted and acting committee of the board of directors) of Active Power, upon payment (or delivery) of the consideration therefor provided for therein, such Warrants will constitute valid and legally binding obligations of Active Power.</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(i) the issuance and terms of the Units,</w:t>
      </w:r>
    </w:p>
    <w:p>
      <w:pPr>
        <w:spacing w:after="0" w:line="38" w:lineRule="exact"/>
        <w:rPr>
          <w:rFonts w:ascii="Arial" w:cs="Arial" w:eastAsia="Arial" w:hAnsi="Arial"/>
          <w:sz w:val="16"/>
          <w:szCs w:val="16"/>
          <w:color w:val="auto"/>
        </w:rPr>
      </w:pPr>
    </w:p>
    <w:p>
      <w:pPr>
        <w:ind w:firstLine="8"/>
        <w:spacing w:after="0" w:line="287" w:lineRule="auto"/>
        <w:tabs>
          <w:tab w:leader="none" w:pos="2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and terms of the Common Stock which is a component of the Units, the terms of the offering thereof and related matters, (iii) the issuance and terms of the Preferred Stock which is a component of the Units, the terms of the offering thereof and related matters, (iv) the issuance and terms of the applicable series of Debt Securities which are a component of the Units, the terms of the offering thereof and related matters, and (v) the execution and terms of the Warrants which are a component of the Units, the terms of the offering thereof and related matters, and (b) due execution, authentication, in the case of the applicable series of Debt Securities, issuance and delivery of (i) the applicable Units and (ii) such series of Debt Securities, in each case upon payment of the consideration therefor provided for in the applicable definitive purchase, underwriting or similar agreement approved by the board of directors of Active Power and otherwise in accordance with the provisions of the applicable Indenture, in the case of a series of Debt Securities, such Units will constitute valid and legally binding obligations of Active Power.</w:t>
      </w:r>
    </w:p>
    <w:p>
      <w:pPr>
        <w:spacing w:after="0" w:line="12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Each of our opinions above are subject to applicable bankruptcy, insolvency (including, without limitation, all laws relating to fraudulent transfer or conveyance), reorganization, moratorium and other similar laws affecting creditors’ rights generally and to general principles of equity (regardless of whether enforcement is sought in a proceeding in equity or at law), including, without limitation, (a) the possible unavailability of specific performance, injunctive relief or any other equitable remedy and (b) concepts of materiality, reasonableness, good faith and fair dealing, and we express no opinion herein with respect to provisions relating to severability or separability.</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express no opinion other than as to the laws of the State of New York and the General Corporation Laws of the State of Delaware. We hereby consent to the filing of this opinion as an exhibit to the Registration Statement and to the reference to this firm under the heading “Legal Matters” in the Prospectus. In giving this consent, we do not admit that we are “experts” under the Securities Act or the rules and regulations of the SEC issued thereunder, with respect to any part of the Registration Statement, including this exhibit. This opinion is</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expressed as of the date hereof, and we disclaim any undertaking to advise you of any subsequent changes of the facts stated or assumed herein or any subsequent changes in applicable law, and we have assumed that at no future time would any such subsequent change of fact or law affect adversely our ability to render at such time an opinion (a) containing the same legal conclusions set forth herein and (b) subject only to such (or fewer) assumptions, limitations and qualifications as are contained herein.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Andrews Kurth LLP</w:t>
      </w:r>
    </w:p>
    <w:p>
      <w:pPr>
        <w:sectPr>
          <w:pgSz w:w="11900" w:h="16838" w:orient="portrait"/>
          <w:cols w:equalWidth="0" w:num="1">
            <w:col w:w="11380"/>
          </w:cols>
          <w:pgMar w:left="240" w:top="280" w:right="2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Active Power, Inc. for the registration of Debt Securities, Preferred Stock, Common Stock, and Debt and Equity Warrants and Units and to the incorporation by reference therein of our reports dated February 24, 2006, with respect to the consolidated financial statements of Active Power, Inc, Active Power, Inc.’s management’s assessment of the effectiveness of internal control over financial reporting, and the effectiveness of internal control over financial reporting of Active Power, Inc. included in its Annual Report (Form 10-K) for the year ended December 31, 2005, filed with the Securities and Exchange Commission.</w:t>
      </w:r>
    </w:p>
    <w:p>
      <w:pPr>
        <w:spacing w:after="0" w:line="116"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26,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lvl w:ilvl="1">
      <w:lvlJc w:val="left"/>
      <w:lvlText w:val="(%2)"/>
      <w:numFmt w:val="lowerRoman"/>
      <w:start w:val="1"/>
    </w:lvl>
  </w:abstractNum>
  <w:abstractNum w:abstractNumId="41">
    <w:nsid w:val="579478FE"/>
    <w:multiLevelType w:val="hybridMultilevel"/>
    <w:lvl w:ilvl="0">
      <w:lvlJc w:val="left"/>
      <w:lvlText w:val="(%1)"/>
      <w:numFmt w:val="lowerRoman"/>
      <w:start w:val="3"/>
    </w:lvl>
  </w:abstractNum>
  <w:abstractNum w:abstractNumId="42">
    <w:nsid w:val="749ABB43"/>
    <w:multiLevelType w:val="hybridMultilevel"/>
    <w:lvl w:ilvl="0">
      <w:lvlJc w:val="left"/>
      <w:lvlText w:val="(%1)"/>
      <w:numFmt w:val="decimal"/>
      <w:start w:val="2"/>
    </w:lvl>
    <w:lvl w:ilvl="1">
      <w:lvlJc w:val="left"/>
      <w:lvlText w:val="(%2)"/>
      <w:numFmt w:val="upperLetter"/>
      <w:start w:val="1"/>
    </w:lvl>
  </w:abstractNum>
  <w:abstractNum w:abstractNumId="43">
    <w:nsid w:val="3DC240FB"/>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44">
    <w:nsid w:val="1BA026FA"/>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lvl w:ilvl="3">
      <w:lvlJc w:val="left"/>
      <w:lvlText w:val="(%4)"/>
      <w:numFmt w:val="decimal"/>
      <w:start w:val="4"/>
    </w:lvl>
    <w:lvl w:ilvl="4">
      <w:lvlJc w:val="left"/>
      <w:lvlText w:val="%5"/>
      <w:numFmt w:val="lowerRoman"/>
      <w:start w:val="1"/>
    </w:lvl>
  </w:abstractNum>
  <w:abstractNum w:abstractNumId="45">
    <w:nsid w:val="79A1DEAA"/>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Roman"/>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3"/>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lowerRoman"/>
      <w:start w:val="4"/>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2"/>
    </w:lvl>
  </w:abstractNum>
  <w:abstractNum w:abstractNumId="55">
    <w:nsid w:val="39386575"/>
    <w:multiLevelType w:val="hybridMultilevel"/>
    <w:lvl w:ilvl="0">
      <w:lvlJc w:val="left"/>
      <w:lvlText w:val="%1"/>
      <w:numFmt w:val="lowerRoman"/>
      <w:start w:val="1"/>
    </w:lvl>
    <w:lvl w:ilvl="1">
      <w:lvlJc w:val="left"/>
      <w:lvlText w:val="%2."/>
      <w:numFmt w:val="decimal"/>
      <w:start w:val="5"/>
    </w:lvl>
  </w:abstractNum>
  <w:abstractNum w:abstractNumId="56">
    <w:nsid w:val="1CF10FD8"/>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2019-12-14T17:13:31Z</dcterms:created>
  <dcterms:modified xsi:type="dcterms:W3CDTF">2019-12-14T17:13:31Z</dcterms:modified>
</cp:coreProperties>
</file>