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4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442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Olsen Martin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37"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6"/>
        <w:spacing w:after="0"/>
        <w:rPr>
          <w:sz w:val="20"/>
          <w:szCs w:val="20"/>
          <w:color w:val="auto"/>
        </w:rPr>
      </w:pPr>
      <w:r>
        <w:rPr>
          <w:rFonts w:ascii="Arial" w:cs="Arial" w:eastAsia="Arial" w:hAnsi="Arial"/>
          <w:sz w:val="17"/>
          <w:szCs w:val="17"/>
          <w:color w:val="0000FF"/>
        </w:rPr>
        <w:t>VP of Global Sales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7"/>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0.8</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70,000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2"/>
              </w:rPr>
              <w:t>02/17/2022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70,000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0.8</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40,000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2"/>
              </w:rPr>
              <w:t>02/17/2022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jc w:val="center"/>
              <w:ind w:right="121"/>
              <w:spacing w:after="0"/>
              <w:rPr>
                <w:sz w:val="20"/>
                <w:szCs w:val="20"/>
                <w:color w:val="auto"/>
              </w:rPr>
            </w:pPr>
            <w:r>
              <w:rPr>
                <w:rFonts w:ascii="Arial" w:cs="Arial" w:eastAsia="Arial" w:hAnsi="Arial"/>
                <w:sz w:val="11"/>
                <w:szCs w:val="11"/>
                <w:color w:val="008000"/>
                <w:w w:val="88"/>
              </w:rPr>
              <w:t>(4)</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P</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70,000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70,000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option shares shall vest and become exercisable in a series of sixteen equal quarterly installments upon the completion of each quarter of service through 2/17/2016.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100% of the option shares shall vest and become exercisable on 2/17/2013.</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restricted stock units shall vest in a series of sixteen equal quarterly installments upon the completion of each quarter of service through 2/17/2016. Vested shares will be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Martin Olsen</w:t>
            </w:r>
          </w:p>
        </w:tc>
        <w:tc>
          <w:tcPr>
            <w:tcW w:w="1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02/22/2012</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92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2019-12-17T05:07:08Z</dcterms:created>
  <dcterms:modified xsi:type="dcterms:W3CDTF">2019-12-17T05:07:08Z</dcterms:modified>
</cp:coreProperties>
</file>