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6995160" cy="507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787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Sarsfield Luke A. III</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Arial" w:cs="Arial" w:eastAsia="Arial" w:hAnsi="Arial"/>
                <w:sz w:val="17"/>
                <w:szCs w:val="17"/>
                <w:color w:val="0000FF"/>
                <w:w w:val="99"/>
              </w:rPr>
              <w:t>C/O P10, INC.</w:t>
            </w: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5"/>
        </w:trPr>
        <w:tc>
          <w:tcPr>
            <w:tcW w:w="2480" w:type="dxa"/>
            <w:vAlign w:val="bottom"/>
            <w:gridSpan w:val="2"/>
          </w:tcPr>
          <w:p>
            <w:pPr>
              <w:ind w:left="40"/>
              <w:spacing w:after="0"/>
              <w:rPr>
                <w:sz w:val="20"/>
                <w:szCs w:val="20"/>
                <w:color w:val="auto"/>
              </w:rPr>
            </w:pPr>
            <w:r>
              <w:rPr>
                <w:rFonts w:ascii="Arial" w:cs="Arial" w:eastAsia="Arial" w:hAnsi="Arial"/>
                <w:sz w:val="17"/>
                <w:szCs w:val="17"/>
                <w:color w:val="0000FF"/>
                <w:w w:val="91"/>
              </w:rPr>
              <w:t>4514 COLE AVENUE, SUITE 1600</w:t>
            </w:r>
          </w:p>
        </w:tc>
        <w:tc>
          <w:tcPr>
            <w:tcW w:w="46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Arial" w:cs="Arial" w:eastAsia="Arial" w:hAnsi="Arial"/>
                <w:sz w:val="17"/>
                <w:szCs w:val="17"/>
                <w:color w:val="0000FF"/>
              </w:rPr>
              <w:t>DALLAS</w:t>
            </w:r>
          </w:p>
        </w:tc>
        <w:tc>
          <w:tcPr>
            <w:tcW w:w="1340" w:type="dxa"/>
            <w:vAlign w:val="bottom"/>
          </w:tcPr>
          <w:p>
            <w:pPr>
              <w:ind w:left="120"/>
              <w:spacing w:after="0"/>
              <w:rPr>
                <w:sz w:val="20"/>
                <w:szCs w:val="20"/>
                <w:color w:val="auto"/>
              </w:rPr>
            </w:pPr>
            <w:r>
              <w:rPr>
                <w:rFonts w:ascii="Arial" w:cs="Arial" w:eastAsia="Arial" w:hAnsi="Arial"/>
                <w:sz w:val="17"/>
                <w:szCs w:val="17"/>
                <w:color w:val="0000FF"/>
              </w:rPr>
              <w:t>TX</w:t>
            </w:r>
          </w:p>
        </w:tc>
        <w:tc>
          <w:tcPr>
            <w:tcW w:w="460" w:type="dxa"/>
            <w:vAlign w:val="bottom"/>
          </w:tcPr>
          <w:p>
            <w:pPr>
              <w:spacing w:after="0"/>
              <w:rPr>
                <w:sz w:val="20"/>
                <w:szCs w:val="20"/>
                <w:color w:val="auto"/>
              </w:rPr>
            </w:pPr>
            <w:r>
              <w:rPr>
                <w:rFonts w:ascii="Arial" w:cs="Arial" w:eastAsia="Arial" w:hAnsi="Arial"/>
                <w:sz w:val="17"/>
                <w:szCs w:val="17"/>
                <w:color w:val="0000FF"/>
                <w:w w:val="92"/>
              </w:rPr>
              <w:t>75205</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P10,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3840" w:type="dxa"/>
            <w:vAlign w:val="bottom"/>
            <w:gridSpan w:val="4"/>
            <w:vMerge w:val="restart"/>
          </w:tcPr>
          <w:p>
            <w:pPr>
              <w:ind w:left="80"/>
              <w:spacing w:after="0"/>
              <w:rPr>
                <w:sz w:val="20"/>
                <w:szCs w:val="20"/>
                <w:color w:val="auto"/>
              </w:rPr>
            </w:pPr>
            <w:r>
              <w:rPr>
                <w:rFonts w:ascii="Arial" w:cs="Arial" w:eastAsia="Arial" w:hAnsi="Arial"/>
                <w:sz w:val="17"/>
                <w:szCs w:val="17"/>
                <w:color w:val="0000FF"/>
              </w:rPr>
              <w:t>10/23/2023</w:t>
            </w: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4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10/23/2023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1"/>
              <w:spacing w:after="0"/>
              <w:rPr>
                <w:sz w:val="20"/>
                <w:szCs w:val="20"/>
                <w:color w:val="auto"/>
              </w:rPr>
            </w:pPr>
            <w:r>
              <w:rPr>
                <w:rFonts w:ascii="Arial" w:cs="Arial" w:eastAsia="Arial" w:hAnsi="Arial"/>
                <w:sz w:val="17"/>
                <w:szCs w:val="17"/>
                <w:color w:val="0000FF"/>
                <w:w w:val="89"/>
              </w:rPr>
              <w:t>107,527</w:t>
            </w:r>
            <w:r>
              <w:rPr>
                <w:rFonts w:ascii="Arial" w:cs="Arial" w:eastAsia="Arial" w:hAnsi="Arial"/>
                <w:sz w:val="21"/>
                <w:szCs w:val="21"/>
                <w:color w:val="008000"/>
                <w:w w:val="89"/>
                <w:vertAlign w:val="superscript"/>
              </w:rPr>
              <w:t>(1)</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Arial" w:cs="Arial" w:eastAsia="Arial" w:hAnsi="Arial"/>
                <w:sz w:val="17"/>
                <w:szCs w:val="17"/>
                <w:color w:val="0000FF"/>
              </w:rPr>
              <w:t>107,527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ind w:left="900"/>
              <w:spacing w:after="0"/>
              <w:rPr>
                <w:sz w:val="20"/>
                <w:szCs w:val="20"/>
                <w:color w:val="auto"/>
              </w:rPr>
            </w:pPr>
            <w:r>
              <w:rPr>
                <w:rFonts w:ascii="Arial" w:cs="Arial" w:eastAsia="Arial" w:hAnsi="Arial"/>
                <w:sz w:val="17"/>
                <w:szCs w:val="17"/>
                <w:color w:val="0000FF"/>
              </w:rPr>
              <w:t>10/23/2023</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1"/>
                <w:szCs w:val="21"/>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7"/>
                <w:szCs w:val="17"/>
                <w:color w:val="0000FF"/>
              </w:rPr>
              <w:t>44,198</w:t>
            </w:r>
          </w:p>
        </w:tc>
        <w:tc>
          <w:tcPr>
            <w:tcW w:w="340" w:type="dxa"/>
            <w:vAlign w:val="bottom"/>
          </w:tcPr>
          <w:p>
            <w:pPr>
              <w:ind w:left="140"/>
              <w:spacing w:after="0"/>
              <w:rPr>
                <w:sz w:val="20"/>
                <w:szCs w:val="20"/>
                <w:color w:val="auto"/>
              </w:rPr>
            </w:pPr>
            <w:r>
              <w:rPr>
                <w:rFonts w:ascii="Arial" w:cs="Arial" w:eastAsia="Arial" w:hAnsi="Arial"/>
                <w:sz w:val="17"/>
                <w:szCs w:val="17"/>
                <w:color w:val="0000FF"/>
              </w:rPr>
              <w:t>D</w:t>
            </w:r>
          </w:p>
        </w:tc>
        <w:tc>
          <w:tcPr>
            <w:tcW w:w="620" w:type="dxa"/>
            <w:vAlign w:val="bottom"/>
          </w:tcPr>
          <w:p>
            <w:pPr>
              <w:ind w:left="2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9.3</w:t>
            </w:r>
          </w:p>
        </w:tc>
        <w:tc>
          <w:tcPr>
            <w:tcW w:w="40" w:type="dxa"/>
            <w:vAlign w:val="bottom"/>
          </w:tcPr>
          <w:p>
            <w:pPr>
              <w:spacing w:after="0"/>
              <w:rPr>
                <w:sz w:val="21"/>
                <w:szCs w:val="21"/>
                <w:color w:val="auto"/>
              </w:rPr>
            </w:pPr>
          </w:p>
        </w:tc>
        <w:tc>
          <w:tcPr>
            <w:tcW w:w="1260" w:type="dxa"/>
            <w:vAlign w:val="bottom"/>
            <w:gridSpan w:val="3"/>
          </w:tcPr>
          <w:p>
            <w:pPr>
              <w:jc w:val="right"/>
              <w:ind w:right="342"/>
              <w:spacing w:after="0"/>
              <w:rPr>
                <w:sz w:val="20"/>
                <w:szCs w:val="20"/>
                <w:color w:val="auto"/>
              </w:rPr>
            </w:pPr>
            <w:r>
              <w:rPr>
                <w:rFonts w:ascii="Arial" w:cs="Arial" w:eastAsia="Arial" w:hAnsi="Arial"/>
                <w:sz w:val="17"/>
                <w:szCs w:val="17"/>
                <w:color w:val="0000FF"/>
              </w:rPr>
              <w:t>63,329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5"/>
                <w:szCs w:val="15"/>
                <w:color w:val="auto"/>
              </w:rPr>
            </w:pPr>
          </w:p>
        </w:tc>
        <w:tc>
          <w:tcPr>
            <w:tcW w:w="520" w:type="dxa"/>
            <w:vAlign w:val="bottom"/>
            <w:vMerge w:val="restart"/>
          </w:tcPr>
          <w:p>
            <w:pPr>
              <w:jc w:val="right"/>
              <w:ind w:right="215"/>
              <w:spacing w:after="0"/>
              <w:rPr>
                <w:sz w:val="20"/>
                <w:szCs w:val="20"/>
                <w:color w:val="auto"/>
              </w:rPr>
            </w:pPr>
            <w:r>
              <w:rPr>
                <w:rFonts w:ascii="Arial" w:cs="Arial" w:eastAsia="Arial" w:hAnsi="Arial"/>
                <w:sz w:val="11"/>
                <w:szCs w:val="11"/>
                <w:color w:val="008000"/>
              </w:rPr>
              <w:t>(3)</w:t>
            </w:r>
          </w:p>
        </w:tc>
        <w:tc>
          <w:tcPr>
            <w:tcW w:w="680" w:type="dxa"/>
            <w:vAlign w:val="bottom"/>
            <w:gridSpan w:val="2"/>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654,308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0" w:lineRule="exact"/>
              <w:rPr>
                <w:sz w:val="20"/>
                <w:szCs w:val="20"/>
                <w:color w:val="auto"/>
              </w:rPr>
            </w:pPr>
            <w:r>
              <w:rPr>
                <w:rFonts w:ascii="Arial" w:cs="Arial" w:eastAsia="Arial" w:hAnsi="Arial"/>
                <w:sz w:val="13"/>
                <w:szCs w:val="13"/>
                <w:color w:val="0000FF"/>
              </w:rPr>
              <w:t>10/23/2023</w:t>
            </w:r>
          </w:p>
        </w:tc>
        <w:tc>
          <w:tcPr>
            <w:tcW w:w="108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Arial" w:cs="Arial" w:eastAsia="Arial" w:hAnsi="Arial"/>
                <w:sz w:val="13"/>
                <w:szCs w:val="13"/>
                <w:color w:val="0000FF"/>
              </w:rPr>
              <w:t>A</w:t>
            </w:r>
          </w:p>
        </w:tc>
        <w:tc>
          <w:tcPr>
            <w:tcW w:w="920" w:type="dxa"/>
            <w:vAlign w:val="bottom"/>
          </w:tcPr>
          <w:p>
            <w:pPr>
              <w:ind w:left="400"/>
              <w:spacing w:after="0" w:line="140" w:lineRule="exact"/>
              <w:rPr>
                <w:sz w:val="20"/>
                <w:szCs w:val="20"/>
                <w:color w:val="auto"/>
              </w:rPr>
            </w:pPr>
            <w:r>
              <w:rPr>
                <w:rFonts w:ascii="Arial" w:cs="Arial" w:eastAsia="Arial" w:hAnsi="Arial"/>
                <w:sz w:val="13"/>
                <w:szCs w:val="13"/>
                <w:color w:val="0000FF"/>
              </w:rPr>
              <w:t>654,308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654,308</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October 23, 2023, the reporting person received an initial signing bonus in the form of 107,527 fully vested shares of Class A Common Stock in lieu of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right to receive one share of the Issuer's Class A Common Stock upon vesting.</w:t>
      </w:r>
    </w:p>
    <w:p>
      <w:pPr>
        <w:spacing w:after="0" w:line="41" w:lineRule="exact"/>
        <w:rPr>
          <w:rFonts w:ascii="Arial" w:cs="Arial" w:eastAsia="Arial" w:hAnsi="Arial"/>
          <w:sz w:val="13"/>
          <w:szCs w:val="13"/>
          <w:color w:val="008000"/>
        </w:rPr>
      </w:pPr>
    </w:p>
    <w:p>
      <w:pPr>
        <w:ind w:left="40" w:right="68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October 23, 2023, the reporting person was granted 654,308 RSUs, which will vest ratably on the first, second and third anniversaries of the grant date, provided that the reporting person remains in continuous service with the Issuer through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992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4"/>
          <w:szCs w:val="14"/>
          <w:color w:val="0000FF"/>
        </w:rPr>
        <w:t>10/25/2023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732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744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2023-10-25T15:27:09Z</dcterms:created>
  <dcterms:modified xsi:type="dcterms:W3CDTF">2023-10-25T15:27:09Z</dcterms:modified>
</cp:coreProperties>
</file>