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AUNITED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6"/>
          <w:szCs w:val="36"/>
          <w:b w:val="1"/>
          <w:bCs w:val="1"/>
          <w:color w:val="auto"/>
        </w:rPr>
        <w:t>P10, Inc.</w:t>
      </w:r>
    </w:p>
    <w:p>
      <w:pPr>
        <w:spacing w:after="0" w:line="5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Adam W. Finerman,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BakerHostetler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10111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589-4233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4"/>
          <w:szCs w:val="24"/>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69376K106</w:t>
      </w:r>
    </w:p>
    <w:p>
      <w:pPr>
        <w:spacing w:after="0" w:line="175"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Capital,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2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50,543,970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5,837,397</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5,837,397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870,000 shares of Class A common stock; and (ii) 4,967,397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210/P10 Acquisition Partners,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50,543,970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5,837,397</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5,837,397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870,000 shares of Class A common stock; and (ii) 4,967,397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CCW/LAW Holdings,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50,543,970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5,837,397</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5,837,397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870,000 shares of Class A common stock; and (ii) 4,967,397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RHA Partners,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50,543,970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5,837,397</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5,837,397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870,000 shares of Class A common stock; and (ii) 4,967,397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RHA Investments, Inc.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50,543,970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5,837,397</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5,837,397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870,000 shares of Class A common stock; and (ii) 4,967,397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Alpert</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50,543,970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5,837,397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6,262,490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870,000 shares of Class A common stock; and (ii) 4,967,397 shares of Class B common stock, all of which may be deemed to be beneficially owned by each Reporting Person.</w:t>
      </w:r>
    </w:p>
    <w:p>
      <w:pPr>
        <w:ind w:left="424" w:right="160" w:hanging="424"/>
        <w:spacing w:after="0" w:line="25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 plus (vi) 425,093 shares of Class A common stock underlying stock options held by Mr. Alpert that are exercisable as of the date hereof.</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75" w:lineRule="exact"/>
        <w:rPr>
          <w:sz w:val="20"/>
          <w:szCs w:val="20"/>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Clark Webb</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50,543,970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5,837,397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6,262,490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480"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870,000 shares of Class A common stock; and (ii) 4,967,397 shares of Class B common stock, all of which may be deemed to be beneficially owned by each Reporting Person.</w:t>
      </w:r>
    </w:p>
    <w:p>
      <w:pPr>
        <w:ind w:left="424" w:right="160" w:hanging="424"/>
        <w:spacing w:after="0" w:line="25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 plus (vi) 425,093 shares of Class A common stock underlying stock options held by Mr. Webb that are exercisable as of the date hereof.</w:t>
      </w:r>
    </w:p>
    <w:p>
      <w:pPr>
        <w:sectPr>
          <w:pgSz w:w="11900" w:h="16838" w:orient="portrait"/>
          <w:cols w:equalWidth="0" w:num="1">
            <w:col w:w="10984"/>
          </w:cols>
          <w:pgMar w:left="436" w:top="266"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This Amendment No. 5 to Schedule 13D (this “Amendment”) amends the items included herein that were contained in the Schedule 13D filed on December 20, 2023, as amended by Amendment No. 1 filed October 8, 2024, Amendment No. 2 filed November 12, 2024, Amendment No. 3 filed November 22, 2024, and Amendment No. 4 filed November 27, 2024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w:t>
      </w:r>
    </w:p>
    <w:p>
      <w:pPr>
        <w:spacing w:after="0" w:line="5" w:lineRule="exact"/>
        <w:rPr>
          <w:sz w:val="20"/>
          <w:szCs w:val="20"/>
          <w:color w:val="auto"/>
        </w:rPr>
      </w:pPr>
    </w:p>
    <w:p>
      <w:pPr>
        <w:ind w:left="4" w:right="700" w:hanging="4"/>
        <w:spacing w:after="0" w:line="260" w:lineRule="auto"/>
        <w:tabs>
          <w:tab w:leader="none" w:pos="3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CCW/LAW Holdings, LLC, a Texas limited liability company (“CCW Holdings”); (v) RHA Investments, Inc., a Texas corporation (“RHA Investments”); (vi) Robert Alpert; and (vii) C. Clark Webb (each, a “Reporting Person” and collectively, the “Reporting Persons”).</w:t>
      </w:r>
    </w:p>
    <w:p>
      <w:pPr>
        <w:spacing w:after="0" w:line="181" w:lineRule="exact"/>
        <w:rPr>
          <w:sz w:val="20"/>
          <w:szCs w:val="20"/>
          <w:color w:val="auto"/>
        </w:rPr>
      </w:pPr>
    </w:p>
    <w:p>
      <w:pPr>
        <w:ind w:left="4" w:right="240"/>
        <w:spacing w:after="0" w:line="289" w:lineRule="auto"/>
        <w:rPr>
          <w:sz w:val="20"/>
          <w:szCs w:val="20"/>
          <w:color w:val="auto"/>
        </w:rPr>
      </w:pPr>
      <w:r>
        <w:rPr>
          <w:rFonts w:ascii="Times New Roman" w:cs="Times New Roman" w:eastAsia="Times New Roman" w:hAnsi="Times New Roman"/>
          <w:sz w:val="17"/>
          <w:szCs w:val="17"/>
          <w:color w:val="auto"/>
        </w:rPr>
        <w:t>On December 3, 2024, the Reporting Persons effected transactions that, in the aggregate, resulted in the disposition of beneficial ownership of an amount equal to one percent or more of the outstanding shares Class A common stock of the Issuer. This Amendment is being filed to, among other things, update the information regarding the beneficial ownership of the shares of Class A common stock of the Issuer held by the Reporting Persons.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specifically provided herein, this Amendment does not modify any of the information previously reported in the Original Schedule 13D.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but not defined in this Amendment shall have the same meanings ascribed to them in the Original Schedule 13D.</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in its entirety as follows:</w:t>
      </w:r>
    </w:p>
    <w:p>
      <w:pPr>
        <w:spacing w:after="0" w:line="252" w:lineRule="exact"/>
        <w:rPr>
          <w:sz w:val="20"/>
          <w:szCs w:val="20"/>
          <w:color w:val="auto"/>
        </w:rPr>
      </w:pPr>
    </w:p>
    <w:p>
      <w:pPr>
        <w:ind w:left="784" w:right="680" w:hanging="782"/>
        <w:spacing w:after="0" w:line="282" w:lineRule="auto"/>
        <w:tabs>
          <w:tab w:leader="none" w:pos="764" w:val="left"/>
        </w:tabs>
        <w:rPr>
          <w:sz w:val="20"/>
          <w:szCs w:val="20"/>
          <w:color w:val="auto"/>
        </w:rPr>
      </w:pPr>
      <w:r>
        <w:rPr>
          <w:rFonts w:ascii="Times New Roman" w:cs="Times New Roman" w:eastAsia="Times New Roman" w:hAnsi="Times New Roman"/>
          <w:sz w:val="18"/>
          <w:szCs w:val="18"/>
          <w:color w:val="auto"/>
        </w:rPr>
        <w:t>(a) – (b)</w:t>
        <w:tab/>
        <w:t>The information contained in rows 7, 8, 9, 10, 11 and 13 on the cover pages of this Schedule 13D (including the footnotes thereto) is incorporated by reference herein.</w:t>
      </w:r>
    </w:p>
    <w:p>
      <w:pPr>
        <w:spacing w:after="0" w:line="54" w:lineRule="exact"/>
        <w:rPr>
          <w:sz w:val="20"/>
          <w:szCs w:val="20"/>
          <w:color w:val="auto"/>
        </w:rPr>
      </w:pPr>
    </w:p>
    <w:p>
      <w:pPr>
        <w:ind w:left="764" w:right="240"/>
        <w:spacing w:after="0" w:line="266" w:lineRule="auto"/>
        <w:rPr>
          <w:sz w:val="20"/>
          <w:szCs w:val="20"/>
          <w:color w:val="auto"/>
        </w:rPr>
      </w:pPr>
      <w:r>
        <w:rPr>
          <w:rFonts w:ascii="Times New Roman" w:cs="Times New Roman" w:eastAsia="Times New Roman" w:hAnsi="Times New Roman"/>
          <w:sz w:val="18"/>
          <w:szCs w:val="18"/>
          <w:color w:val="auto"/>
        </w:rPr>
        <w:t>210/P10 is the direct beneficial holder of 870,000 shares of Class A common stock and the 4,967,397 shares of Class B common stock that may be deemed to be beneficially owned by each Reporting Person. The holders of Class B Common Stock may elect to convert on a one-for-one basis into Class A Common Stock at any time.</w:t>
      </w:r>
    </w:p>
    <w:p>
      <w:pPr>
        <w:spacing w:after="0" w:line="68" w:lineRule="exact"/>
        <w:rPr>
          <w:sz w:val="20"/>
          <w:szCs w:val="20"/>
          <w:color w:val="auto"/>
        </w:rPr>
      </w:pPr>
    </w:p>
    <w:p>
      <w:pPr>
        <w:ind w:left="764"/>
        <w:spacing w:after="0" w:line="255" w:lineRule="auto"/>
        <w:rPr>
          <w:sz w:val="20"/>
          <w:szCs w:val="20"/>
          <w:color w:val="auto"/>
        </w:rPr>
      </w:pPr>
      <w:r>
        <w:rPr>
          <w:rFonts w:ascii="Times New Roman" w:cs="Times New Roman" w:eastAsia="Times New Roman" w:hAnsi="Times New Roman"/>
          <w:sz w:val="18"/>
          <w:szCs w:val="18"/>
          <w:color w:val="auto"/>
        </w:rPr>
        <w:t>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Class B common stock. In addition, (i) Mr. Alpert may be deemed to beneficially own 425,093 shares of Class A common stock issuable upon exercise of exercisable stock options; and (ii) Mr. Webb may be deemed to beneficially own 425,093 shares of Class A common stock issuable upon exercise of exercisable stock options.</w:t>
      </w:r>
    </w:p>
    <w:p>
      <w:pPr>
        <w:spacing w:after="0" w:line="81" w:lineRule="exact"/>
        <w:rPr>
          <w:sz w:val="20"/>
          <w:szCs w:val="20"/>
          <w:color w:val="auto"/>
        </w:rPr>
      </w:pPr>
    </w:p>
    <w:p>
      <w:pPr>
        <w:ind w:left="764" w:right="120"/>
        <w:spacing w:after="0" w:line="266" w:lineRule="auto"/>
        <w:rPr>
          <w:sz w:val="20"/>
          <w:szCs w:val="20"/>
          <w:color w:val="auto"/>
        </w:rPr>
      </w:pPr>
      <w:r>
        <w:rPr>
          <w:rFonts w:ascii="Times New Roman" w:cs="Times New Roman" w:eastAsia="Times New Roman" w:hAnsi="Times New Roman"/>
          <w:sz w:val="18"/>
          <w:szCs w:val="18"/>
          <w:color w:val="auto"/>
        </w:rPr>
        <w:t>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81" w:lineRule="exact"/>
        <w:rPr>
          <w:sz w:val="20"/>
          <w:szCs w:val="20"/>
          <w:color w:val="auto"/>
        </w:rPr>
      </w:pPr>
    </w:p>
    <w:p>
      <w:pPr>
        <w:jc w:val="both"/>
        <w:ind w:left="764" w:right="520" w:hanging="764"/>
        <w:spacing w:after="0" w:line="266" w:lineRule="auto"/>
        <w:tabs>
          <w:tab w:leader="none" w:pos="7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herein and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none of the Reporting Persons have effected any transactions with respect to shares of Class A common stock or Class B common stock of the Issuer during the past 60 days or since the filing of the Original Schedule 13D, whichever is less.</w:t>
      </w:r>
    </w:p>
    <w:p>
      <w:pPr>
        <w:spacing w:after="0" w:line="81" w:lineRule="exact"/>
        <w:rPr>
          <w:rFonts w:ascii="Times New Roman" w:cs="Times New Roman" w:eastAsia="Times New Roman" w:hAnsi="Times New Roman"/>
          <w:sz w:val="18"/>
          <w:szCs w:val="18"/>
          <w:color w:val="auto"/>
        </w:rPr>
      </w:pPr>
    </w:p>
    <w:p>
      <w:pPr>
        <w:jc w:val="both"/>
        <w:ind w:left="764" w:right="360" w:hanging="764"/>
        <w:spacing w:after="0" w:line="312" w:lineRule="auto"/>
        <w:tabs>
          <w:tab w:leader="none" w:pos="7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other than the Reporting Persons is known to have the right to receive, or the power to direct the receipt of dividends from, or proceeds from the sale of, the shares of the Class A common stock or Class B common stock of the Issuer held by the Reporting Persons.</w:t>
      </w:r>
    </w:p>
    <w:p>
      <w:pPr>
        <w:spacing w:after="0" w:line="45" w:lineRule="exact"/>
        <w:rPr>
          <w:rFonts w:ascii="Times New Roman" w:cs="Times New Roman" w:eastAsia="Times New Roman" w:hAnsi="Times New Roman"/>
          <w:sz w:val="17"/>
          <w:szCs w:val="17"/>
          <w:color w:val="auto"/>
        </w:rPr>
      </w:pPr>
    </w:p>
    <w:p>
      <w:pPr>
        <w:ind w:left="764" w:hanging="764"/>
        <w:spacing w:after="0"/>
        <w:tabs>
          <w:tab w:leader="none" w:pos="7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4"/>
          </w:cols>
          <w:pgMar w:left="436" w:top="270" w:right="45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Its:</w:t>
        <w:tab/>
        <w:t>President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ectPr>
          <w:pgSz w:w="11900" w:h="16838" w:orient="portrait"/>
          <w:cols w:equalWidth="0" w:num="1">
            <w:col w:w="10900"/>
          </w:cols>
          <w:pgMar w:left="440" w:top="266" w:right="5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For each Reporting Person listed below, the following table sets forth information regarding transactions involving shares of Class A common stock or Class B common stock of the Issuer effected during the 60 days ended December 5, 2024, including the aggregate number of shares acquired or disposed of, the date of the transaction, the price per share, the aggregate proceeds and where and how the transaction were effected.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Type of shares of</w:t>
            </w: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6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Where and How the Transaction</w:t>
            </w:r>
          </w:p>
        </w:tc>
        <w:tc>
          <w:tcPr>
            <w:tcW w:w="0" w:type="dxa"/>
            <w:vAlign w:val="bottom"/>
          </w:tcPr>
          <w:p>
            <w:pPr>
              <w:spacing w:after="0"/>
              <w:rPr>
                <w:sz w:val="1"/>
                <w:szCs w:val="1"/>
                <w:color w:val="auto"/>
              </w:rPr>
            </w:pPr>
          </w:p>
        </w:tc>
      </w:tr>
      <w:tr>
        <w:trPr>
          <w:trHeight w:val="148"/>
        </w:trPr>
        <w:tc>
          <w:tcPr>
            <w:tcW w:w="1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Reporting</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or</w:t>
            </w:r>
          </w:p>
        </w:tc>
        <w:tc>
          <w:tcPr>
            <w:tcW w:w="8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Person</w:t>
            </w:r>
          </w:p>
        </w:tc>
        <w:tc>
          <w:tcPr>
            <w:tcW w:w="15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(disposed)</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0" w:type="dxa"/>
            <w:vAlign w:val="bottom"/>
          </w:tcPr>
          <w:p>
            <w:pPr>
              <w:spacing w:after="0"/>
              <w:rPr>
                <w:sz w:val="15"/>
                <w:szCs w:val="15"/>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was Effected</w:t>
            </w:r>
          </w:p>
        </w:tc>
        <w:tc>
          <w:tcPr>
            <w:tcW w:w="0" w:type="dxa"/>
            <w:vAlign w:val="bottom"/>
          </w:tcPr>
          <w:p>
            <w:pPr>
              <w:spacing w:after="0"/>
              <w:rPr>
                <w:sz w:val="1"/>
                <w:szCs w:val="1"/>
                <w:color w:val="auto"/>
              </w:rPr>
            </w:pPr>
          </w:p>
        </w:tc>
      </w:tr>
      <w:tr>
        <w:trPr>
          <w:trHeight w:val="203"/>
        </w:trPr>
        <w:tc>
          <w:tcPr>
            <w:tcW w:w="1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210/P10</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(175,000)</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1"/>
              </w:rPr>
              <w:t>Class A</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11/29/2024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14.1395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2.474 M</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(425,000)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14.1434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6.011 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4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Gift to charitable foundation</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(386,500)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14.0295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5.422 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(213,500)</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13.9060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2.969 M</w:t>
            </w:r>
          </w:p>
        </w:tc>
        <w:tc>
          <w:tcPr>
            <w:tcW w:w="4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(700,000)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Class B</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Voluntary conversion of Class B shares into Class A shares</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700,000</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4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Voluntary conversion of Class B shares into Class A shares</w:t>
            </w: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(130,000)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13.8936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1.806 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
      <w:numFmt w:val="bullet"/>
      <w:start w:val="1"/>
    </w:lvl>
    <w:lvl w:ilvl="1">
      <w:lvlJc w:val="left"/>
      <w:lvlText w:val=" "/>
      <w:numFmt w:val="bullet"/>
      <w:start w:val="1"/>
    </w:lvl>
  </w:abstractNum>
  <w:abstractNum w:abstractNumId="2">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519B500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431BD7B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3F2DBA31"/>
    <w:multiLevelType w:val="hybridMultilevel"/>
    <w:lvl w:ilvl="0">
      <w:lvlJc w:val="left"/>
      <w:lvlText w:val=" "/>
      <w:numFmt w:val="bullet"/>
      <w:start w:val="1"/>
    </w:lvl>
    <w:lvl w:ilvl="1">
      <w:lvlJc w:val="left"/>
      <w:lvlText w:val=" "/>
      <w:numFmt w:val="bullet"/>
      <w:start w:val="1"/>
    </w:lvl>
  </w:abstractNum>
  <w:abstractNum w:abstractNumId="6">
    <w:nsid w:val="7C83E4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257130A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62BBD95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436C6125"/>
    <w:multiLevelType w:val="hybridMultilevel"/>
    <w:lvl w:ilvl="0">
      <w:lvlJc w:val="left"/>
      <w:lvlText w:val=" "/>
      <w:numFmt w:val="bullet"/>
      <w:start w:val="1"/>
    </w:lvl>
    <w:lvl w:ilvl="1">
      <w:lvlJc w:val="left"/>
      <w:lvlText w:val=" "/>
      <w:numFmt w:val="bullet"/>
      <w:start w:val="1"/>
    </w:lvl>
  </w:abstractNum>
  <w:abstractNum w:abstractNumId="10">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333AB10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2443A858"/>
    <w:multiLevelType w:val="hybridMultilevel"/>
    <w:lvl w:ilvl="0">
      <w:lvlJc w:val="left"/>
      <w:lvlText w:val=" "/>
      <w:numFmt w:val="bullet"/>
      <w:start w:val="1"/>
    </w:lvl>
    <w:lvl w:ilvl="1">
      <w:lvlJc w:val="left"/>
      <w:lvlText w:val=" "/>
      <w:numFmt w:val="bullet"/>
      <w:start w:val="1"/>
    </w:lvl>
  </w:abstractNum>
  <w:abstractNum w:abstractNumId="14">
    <w:nsid w:val="2D1D5A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6763845E"/>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75A2A8D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8EDBDAB"/>
    <w:multiLevelType w:val="hybridMultilevel"/>
    <w:lvl w:ilvl="0">
      <w:lvlJc w:val="left"/>
      <w:lvlText w:val=" "/>
      <w:numFmt w:val="bullet"/>
      <w:start w:val="1"/>
    </w:lvl>
    <w:lvl w:ilvl="1">
      <w:lvlJc w:val="left"/>
      <w:lvlText w:val=" "/>
      <w:numFmt w:val="bullet"/>
      <w:start w:val="1"/>
    </w:lvl>
  </w:abstractNum>
  <w:abstractNum w:abstractNumId="18">
    <w:nsid w:val="79838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4353D0C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B03E0C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189A769B"/>
    <w:multiLevelType w:val="hybridMultilevel"/>
    <w:lvl w:ilvl="0">
      <w:lvlJc w:val="left"/>
      <w:lvlText w:val=" "/>
      <w:numFmt w:val="bullet"/>
      <w:start w:val="1"/>
    </w:lvl>
    <w:lvl w:ilvl="1">
      <w:lvlJc w:val="left"/>
      <w:lvlText w:val=" "/>
      <w:numFmt w:val="bullet"/>
      <w:start w:val="1"/>
    </w:lvl>
  </w:abstractNum>
  <w:abstractNum w:abstractNumId="22">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71F3245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2CA8861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836C40E"/>
    <w:multiLevelType w:val="hybridMultilevel"/>
    <w:lvl w:ilvl="0">
      <w:lvlJc w:val="left"/>
      <w:lvlText w:val=" "/>
      <w:numFmt w:val="bullet"/>
      <w:start w:val="1"/>
    </w:lvl>
    <w:lvl w:ilvl="1">
      <w:lvlJc w:val="left"/>
      <w:lvlText w:val=" "/>
      <w:numFmt w:val="bullet"/>
      <w:start w:val="1"/>
    </w:lvl>
  </w:abstractNum>
  <w:abstractNum w:abstractNumId="26">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3A95F87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813864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2024-12-05T20:42:30Z</dcterms:created>
  <dcterms:modified xsi:type="dcterms:W3CDTF">2024-12-05T20:42:30Z</dcterms:modified>
</cp:coreProperties>
</file>