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333-279769</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2</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August 1, 2024)</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P10, Inc.</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Up to 56,553,931</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Shares of</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Class A Common Stock</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by Selling</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Stockholders</w:t>
      </w:r>
    </w:p>
    <w:p>
      <w:pPr>
        <w:spacing w:after="0" w:line="6"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_____________________________</w:t>
      </w:r>
    </w:p>
    <w:p>
      <w:pPr>
        <w:spacing w:after="0" w:line="178" w:lineRule="exact"/>
        <w:rPr>
          <w:sz w:val="24"/>
          <w:szCs w:val="24"/>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This prospectus supplement updates and supplements the prospectus dated August 1, 2024, which forms a part of our Registration Statement on Form S-1 (Registration No. 333-279769) (as supplemented from time to time, the “Prospectus”), which relates to the resale from time to time by the selling stockholders named therein of up to 56,553,931 shares of our Class A common stock. We will not receive any proceeds from the sale of our securities by the selling stockholders. Capitalized terms used in this prospectus supplement and not otherwise defined herein have the meanings specified in the Prospectus.</w:t>
      </w:r>
    </w:p>
    <w:p>
      <w:pPr>
        <w:spacing w:after="0" w:line="143" w:lineRule="exact"/>
        <w:rPr>
          <w:sz w:val="24"/>
          <w:szCs w:val="24"/>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This prospectus supplement is being filed to update and supplement the information included in the Prospectus with the information contained in our Quarterly Report on Form 10-Q filed with the Securities and Exchange Commission on November 8, 2024 and our Current Reports on Form 8-K filed with the Securities and Exchange Commission on November 7, 2024 (first filing, Item 5.02 and related Exhibit 10.1 only), November 7, 2024 (second filing), September 17, 2024 (Item 3.02 only) and August 5, 2024 (Items 1.01 and 2.03 and related Exhibit 10.1 only), each of which is set forth below.</w:t>
      </w:r>
    </w:p>
    <w:p>
      <w:pPr>
        <w:spacing w:after="0" w:line="139" w:lineRule="exact"/>
        <w:rPr>
          <w:sz w:val="24"/>
          <w:szCs w:val="24"/>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This prospectus supplement is not complete without the Prospectus. This prospectus supplement should be read in conjunction with the Prospectus, which is to be delivered with this prospectus supplement, and is qualified by reference thereto, except to the extent that the information in this prospectus supplement updates or supersedes the information contained in the Prospectus. Please keep this prospectus supplement with your Prospectus for future reference.</w:t>
      </w:r>
    </w:p>
    <w:p>
      <w:pPr>
        <w:spacing w:after="0" w:line="153" w:lineRule="exact"/>
        <w:rPr>
          <w:sz w:val="24"/>
          <w:szCs w:val="24"/>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Our Class A common stock is listed on the New York Stock Exchange under the symbol “PX”. On November 5, 2024, the last reported sales price of our Class A common stock was $11.13 per share. We have two classes of common stock: Class A common stock and Class B common stock. Each share of Class A common stock entitles its holder to one vote per share. Each share of Class B common stock entitles its holder to ten votes per share.</w:t>
      </w:r>
    </w:p>
    <w:p>
      <w:pPr>
        <w:spacing w:after="0" w:line="131" w:lineRule="exact"/>
        <w:rPr>
          <w:sz w:val="24"/>
          <w:szCs w:val="24"/>
          <w:color w:val="auto"/>
        </w:rPr>
      </w:pPr>
    </w:p>
    <w:p>
      <w:pPr>
        <w:ind w:right="60" w:firstLine="749"/>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See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beginning on page 5 of the Prospectus, as well as the other information contained in or incorporated by reference in the Prospectus or in any accompanying prospectus supplement before making a decision to invest in our securities.</w:t>
      </w:r>
    </w:p>
    <w:p>
      <w:pPr>
        <w:spacing w:after="0" w:line="130" w:lineRule="exact"/>
        <w:rPr>
          <w:sz w:val="24"/>
          <w:szCs w:val="24"/>
          <w:color w:val="auto"/>
        </w:rPr>
      </w:pPr>
    </w:p>
    <w:p>
      <w:pPr>
        <w:ind w:right="60"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November 8, 2024.</w:t>
      </w: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1"/>
          <w:szCs w:val="11"/>
          <w:color w:val="auto"/>
        </w:rPr>
        <w:t>DOCPROPERTY DOCXDOCID DMS=eDocs Format=&lt;&lt;LIB&gt;&gt; &lt;&lt;NUM&gt;&gt;.&lt;&lt;VER&gt;&gt; PRESERVELOCATION \* MERGEFORMAT KL2 3404283.2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663575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480" w:hanging="459"/>
        <w:spacing w:after="0"/>
        <w:tabs>
          <w:tab w:leader="none" w:pos="4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33" w:lineRule="exact"/>
        <w:rPr>
          <w:rFonts w:ascii="MS PGothic" w:cs="MS PGothic" w:eastAsia="MS PGothic" w:hAnsi="MS PGothic"/>
          <w:sz w:val="18"/>
          <w:szCs w:val="18"/>
          <w:color w:val="auto"/>
          <w:highlight w:val="black"/>
        </w:rPr>
      </w:pPr>
    </w:p>
    <w:p>
      <w:pPr>
        <w:ind w:left="366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For the quarterly period ended September 30, 2024</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 w:lineRule="exact"/>
        <w:rPr>
          <w:sz w:val="20"/>
          <w:szCs w:val="20"/>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33"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____________________ to ____________________</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001-40937</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P10,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2"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6160" w:type="dxa"/>
            <w:vAlign w:val="bottom"/>
          </w:tcPr>
          <w:p>
            <w:pPr>
              <w:jc w:val="center"/>
              <w:ind w:right="370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22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87-2908160</w:t>
            </w:r>
          </w:p>
        </w:tc>
      </w:tr>
      <w:tr>
        <w:trPr>
          <w:trHeight w:val="148"/>
        </w:trPr>
        <w:tc>
          <w:tcPr>
            <w:tcW w:w="6160" w:type="dxa"/>
            <w:vAlign w:val="bottom"/>
          </w:tcPr>
          <w:p>
            <w:pPr>
              <w:jc w:val="center"/>
              <w:ind w:right="368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220" w:type="dxa"/>
            <w:vAlign w:val="bottom"/>
          </w:tcPr>
          <w:p>
            <w:pPr>
              <w:jc w:val="center"/>
              <w:ind w:left="28"/>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62"/>
        </w:trPr>
        <w:tc>
          <w:tcPr>
            <w:tcW w:w="6160" w:type="dxa"/>
            <w:vAlign w:val="bottom"/>
          </w:tcPr>
          <w:p>
            <w:pPr>
              <w:jc w:val="center"/>
              <w:ind w:right="368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22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149"/>
        </w:trPr>
        <w:tc>
          <w:tcPr>
            <w:tcW w:w="6160" w:type="dxa"/>
            <w:vAlign w:val="bottom"/>
          </w:tcPr>
          <w:p>
            <w:pPr>
              <w:jc w:val="center"/>
              <w:ind w:right="3708"/>
              <w:spacing w:after="0" w:line="149" w:lineRule="exact"/>
              <w:rPr>
                <w:sz w:val="20"/>
                <w:szCs w:val="20"/>
                <w:color w:val="auto"/>
              </w:rPr>
            </w:pPr>
            <w:r>
              <w:rPr>
                <w:rFonts w:ascii="Times New Roman" w:cs="Times New Roman" w:eastAsia="Times New Roman" w:hAnsi="Times New Roman"/>
                <w:sz w:val="14"/>
                <w:szCs w:val="14"/>
                <w:b w:val="1"/>
                <w:bCs w:val="1"/>
                <w:color w:val="auto"/>
              </w:rPr>
              <w:t>4514 Cole Ave, Suite 1600</w:t>
            </w:r>
          </w:p>
        </w:tc>
        <w:tc>
          <w:tcPr>
            <w:tcW w:w="1220" w:type="dxa"/>
            <w:vAlign w:val="bottom"/>
          </w:tcPr>
          <w:p>
            <w:pPr>
              <w:jc w:val="right"/>
              <w:ind w:right="308"/>
              <w:spacing w:after="0" w:line="149" w:lineRule="exact"/>
              <w:rPr>
                <w:sz w:val="20"/>
                <w:szCs w:val="20"/>
                <w:color w:val="auto"/>
              </w:rPr>
            </w:pPr>
            <w:r>
              <w:rPr>
                <w:rFonts w:ascii="Times New Roman" w:cs="Times New Roman" w:eastAsia="Times New Roman" w:hAnsi="Times New Roman"/>
                <w:sz w:val="14"/>
                <w:szCs w:val="14"/>
                <w:b w:val="1"/>
                <w:bCs w:val="1"/>
                <w:color w:val="auto"/>
              </w:rPr>
              <w:t>75205</w:t>
            </w:r>
          </w:p>
        </w:tc>
      </w:tr>
      <w:tr>
        <w:trPr>
          <w:trHeight w:val="162"/>
        </w:trPr>
        <w:tc>
          <w:tcPr>
            <w:tcW w:w="6160" w:type="dxa"/>
            <w:vAlign w:val="bottom"/>
          </w:tcPr>
          <w:p>
            <w:pPr>
              <w:jc w:val="center"/>
              <w:ind w:right="3708"/>
              <w:spacing w:after="0"/>
              <w:rPr>
                <w:sz w:val="20"/>
                <w:szCs w:val="20"/>
                <w:color w:val="auto"/>
              </w:rPr>
            </w:pPr>
            <w:r>
              <w:rPr>
                <w:rFonts w:ascii="Times New Roman" w:cs="Times New Roman" w:eastAsia="Times New Roman" w:hAnsi="Times New Roman"/>
                <w:sz w:val="14"/>
                <w:szCs w:val="14"/>
                <w:b w:val="1"/>
                <w:bCs w:val="1"/>
                <w:color w:val="auto"/>
              </w:rPr>
              <w:t>Dallas, TX</w:t>
            </w:r>
          </w:p>
        </w:tc>
        <w:tc>
          <w:tcPr>
            <w:tcW w:w="1220" w:type="dxa"/>
            <w:vAlign w:val="bottom"/>
          </w:tcPr>
          <w:p>
            <w:pPr>
              <w:spacing w:after="0"/>
              <w:rPr>
                <w:sz w:val="14"/>
                <w:szCs w:val="14"/>
                <w:color w:val="auto"/>
              </w:rPr>
            </w:pPr>
          </w:p>
        </w:tc>
      </w:tr>
      <w:tr>
        <w:trPr>
          <w:trHeight w:val="162"/>
        </w:trPr>
        <w:tc>
          <w:tcPr>
            <w:tcW w:w="6160" w:type="dxa"/>
            <w:vAlign w:val="bottom"/>
          </w:tcPr>
          <w:p>
            <w:pPr>
              <w:jc w:val="center"/>
              <w:ind w:right="370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22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190"/>
        </w:trPr>
        <w:tc>
          <w:tcPr>
            <w:tcW w:w="6160" w:type="dxa"/>
            <w:vAlign w:val="bottom"/>
          </w:tcPr>
          <w:p>
            <w:pPr>
              <w:ind w:left="194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(214) 865-7998</w:t>
            </w:r>
          </w:p>
        </w:tc>
        <w:tc>
          <w:tcPr>
            <w:tcW w:w="1220" w:type="dxa"/>
            <w:vAlign w:val="bottom"/>
          </w:tcPr>
          <w:p>
            <w:pPr>
              <w:spacing w:after="0"/>
              <w:rPr>
                <w:sz w:val="16"/>
                <w:szCs w:val="16"/>
                <w:color w:val="auto"/>
              </w:rPr>
            </w:pPr>
          </w:p>
        </w:tc>
      </w:tr>
    </w:tbl>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ind w:left="19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220" w:type="dxa"/>
            <w:vAlign w:val="bottom"/>
          </w:tcPr>
          <w:p>
            <w:pPr>
              <w:spacing w:after="0"/>
              <w:rPr>
                <w:sz w:val="13"/>
                <w:szCs w:val="13"/>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87"/>
        </w:trPr>
        <w:tc>
          <w:tcPr>
            <w:tcW w:w="4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220" w:type="dxa"/>
            <w:vAlign w:val="bottom"/>
          </w:tcPr>
          <w:p>
            <w:pPr>
              <w:spacing w:after="0"/>
              <w:rPr>
                <w:sz w:val="16"/>
                <w:szCs w:val="16"/>
                <w:color w:val="auto"/>
              </w:rPr>
            </w:pPr>
          </w:p>
        </w:tc>
        <w:tc>
          <w:tcPr>
            <w:tcW w:w="4820" w:type="dxa"/>
            <w:vAlign w:val="bottom"/>
            <w:tcBorders>
              <w:bottom w:val="single" w:sz="8" w:color="auto"/>
            </w:tcBorders>
          </w:tcPr>
          <w:p>
            <w:pPr>
              <w:spacing w:after="0"/>
              <w:rPr>
                <w:sz w:val="16"/>
                <w:szCs w:val="16"/>
                <w:color w:val="auto"/>
              </w:rPr>
            </w:pPr>
          </w:p>
        </w:tc>
      </w:tr>
      <w:tr>
        <w:trPr>
          <w:trHeight w:val="182"/>
        </w:trPr>
        <w:tc>
          <w:tcPr>
            <w:tcW w:w="49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Class A Common Stock, $0.001 par value per share</w:t>
            </w:r>
          </w:p>
        </w:tc>
        <w:tc>
          <w:tcPr>
            <w:tcW w:w="12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PX</w:t>
            </w:r>
          </w:p>
        </w:tc>
        <w:tc>
          <w:tcPr>
            <w:tcW w:w="220" w:type="dxa"/>
            <w:vAlign w:val="bottom"/>
          </w:tcPr>
          <w:p>
            <w:pPr>
              <w:spacing w:after="0"/>
              <w:rPr>
                <w:sz w:val="15"/>
                <w:szCs w:val="15"/>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NYSE</w:t>
            </w:r>
          </w:p>
        </w:tc>
      </w:tr>
    </w:tbl>
    <w:p>
      <w:pPr>
        <w:spacing w:after="0" w:line="248" w:lineRule="exact"/>
        <w:rPr>
          <w:sz w:val="20"/>
          <w:szCs w:val="20"/>
          <w:color w:val="auto"/>
        </w:rPr>
      </w:pPr>
    </w:p>
    <w:p>
      <w:pPr>
        <w:ind w:right="220"/>
        <w:spacing w:after="0" w:line="17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34"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(§232.405 of this chapter)</w:t>
      </w:r>
    </w:p>
    <w:tbl>
      <w:tblPr>
        <w:tblLayout w:type="fixed"/>
        <w:tblInd w:w="0" w:type="dxa"/>
        <w:tblCellMar>
          <w:top w:w="0" w:type="dxa"/>
          <w:left w:w="0" w:type="dxa"/>
          <w:bottom w:w="0" w:type="dxa"/>
          <w:right w:w="0" w:type="dxa"/>
        </w:tblCellMar>
      </w:tblPr>
      <w:tr>
        <w:trPr>
          <w:trHeight w:val="152"/>
        </w:trPr>
        <w:tc>
          <w:tcPr>
            <w:tcW w:w="6540" w:type="dxa"/>
            <w:vAlign w:val="bottom"/>
            <w:gridSpan w:val="2"/>
          </w:tcPr>
          <w:p>
            <w:pPr>
              <w:spacing w:after="0" w:line="152" w:lineRule="exact"/>
              <w:rPr>
                <w:sz w:val="20"/>
                <w:szCs w:val="20"/>
                <w:color w:val="auto"/>
              </w:rPr>
            </w:pPr>
            <w:r>
              <w:rPr>
                <w:rFonts w:ascii="Times New Roman" w:cs="Times New Roman" w:eastAsia="Times New Roman" w:hAnsi="Times New Roman"/>
                <w:sz w:val="14"/>
                <w:szCs w:val="14"/>
                <w:color w:val="auto"/>
              </w:rPr>
              <w:t>during the preceding 12 months (or for such shorter period that the registrant was required to submit such files).</w:t>
            </w:r>
          </w:p>
        </w:tc>
        <w:tc>
          <w:tcPr>
            <w:tcW w:w="4320" w:type="dxa"/>
            <w:vAlign w:val="bottom"/>
          </w:tcPr>
          <w:p>
            <w:pPr>
              <w:ind w:left="80"/>
              <w:spacing w:after="0" w:line="152"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tc>
        <w:tc>
          <w:tcPr>
            <w:tcW w:w="300" w:type="dxa"/>
            <w:vAlign w:val="bottom"/>
          </w:tcPr>
          <w:p>
            <w:pPr>
              <w:spacing w:after="0"/>
              <w:rPr>
                <w:sz w:val="13"/>
                <w:szCs w:val="13"/>
                <w:color w:val="auto"/>
              </w:rPr>
            </w:pPr>
          </w:p>
        </w:tc>
      </w:tr>
      <w:tr>
        <w:trPr>
          <w:trHeight w:val="148"/>
        </w:trPr>
        <w:tc>
          <w:tcPr>
            <w:tcW w:w="108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w:t>
            </w:r>
          </w:p>
        </w:tc>
        <w:tc>
          <w:tcPr>
            <w:tcW w:w="300" w:type="dxa"/>
            <w:vAlign w:val="bottom"/>
          </w:tcPr>
          <w:p>
            <w:pPr>
              <w:spacing w:after="0"/>
              <w:rPr>
                <w:sz w:val="12"/>
                <w:szCs w:val="12"/>
                <w:color w:val="auto"/>
              </w:rPr>
            </w:pPr>
          </w:p>
        </w:tc>
      </w:tr>
      <w:tr>
        <w:trPr>
          <w:trHeight w:val="188"/>
        </w:trPr>
        <w:tc>
          <w:tcPr>
            <w:tcW w:w="108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definitions of “large accelerated filer,” “accelerated filer,” “smaller reporting company,” and “emerging growth company” in Rule 12b-2 of the Exchange Act.</w:t>
            </w:r>
          </w:p>
        </w:tc>
        <w:tc>
          <w:tcPr>
            <w:tcW w:w="300" w:type="dxa"/>
            <w:vAlign w:val="bottom"/>
          </w:tcPr>
          <w:p>
            <w:pPr>
              <w:spacing w:after="0"/>
              <w:rPr>
                <w:sz w:val="16"/>
                <w:szCs w:val="16"/>
                <w:color w:val="auto"/>
              </w:rPr>
            </w:pPr>
          </w:p>
        </w:tc>
      </w:tr>
      <w:tr>
        <w:trPr>
          <w:trHeight w:val="265"/>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Large accelerated filer</w:t>
            </w:r>
          </w:p>
        </w:tc>
        <w:tc>
          <w:tcPr>
            <w:tcW w:w="4380" w:type="dxa"/>
            <w:vAlign w:val="bottom"/>
          </w:tcPr>
          <w:p>
            <w:pPr>
              <w:ind w:left="580"/>
              <w:spacing w:after="0" w:line="141" w:lineRule="exact"/>
              <w:rPr>
                <w:sz w:val="20"/>
                <w:szCs w:val="20"/>
                <w:color w:val="auto"/>
              </w:rPr>
            </w:pPr>
            <w:r>
              <w:rPr>
                <w:rFonts w:ascii="MS PGothic" w:cs="MS PGothic" w:eastAsia="MS PGothic" w:hAnsi="MS PGothic"/>
                <w:sz w:val="14"/>
                <w:szCs w:val="14"/>
                <w:color w:val="auto"/>
              </w:rPr>
              <w:t>☐</w:t>
            </w:r>
          </w:p>
        </w:tc>
        <w:tc>
          <w:tcPr>
            <w:tcW w:w="432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Accelerated filer</w:t>
            </w:r>
          </w:p>
        </w:tc>
        <w:tc>
          <w:tcPr>
            <w:tcW w:w="300" w:type="dxa"/>
            <w:vAlign w:val="bottom"/>
          </w:tcPr>
          <w:p>
            <w:pPr>
              <w:ind w:left="1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3"/>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Non-accelerated filer</w:t>
            </w:r>
          </w:p>
        </w:tc>
        <w:tc>
          <w:tcPr>
            <w:tcW w:w="4380" w:type="dxa"/>
            <w:vAlign w:val="bottom"/>
          </w:tcPr>
          <w:p>
            <w:pPr>
              <w:ind w:left="580"/>
              <w:spacing w:after="0" w:line="141" w:lineRule="exact"/>
              <w:rPr>
                <w:sz w:val="20"/>
                <w:szCs w:val="20"/>
                <w:color w:val="auto"/>
              </w:rPr>
            </w:pPr>
            <w:r>
              <w:rPr>
                <w:rFonts w:ascii="MS PGothic" w:cs="MS PGothic" w:eastAsia="MS PGothic" w:hAnsi="MS PGothic"/>
                <w:sz w:val="14"/>
                <w:szCs w:val="14"/>
                <w:color w:val="auto"/>
              </w:rPr>
              <w:t>☐</w:t>
            </w:r>
          </w:p>
        </w:tc>
        <w:tc>
          <w:tcPr>
            <w:tcW w:w="432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300" w:type="dxa"/>
            <w:vAlign w:val="bottom"/>
          </w:tcPr>
          <w:p>
            <w:pPr>
              <w:ind w:left="1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4"/>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Emerging growth company</w:t>
            </w:r>
          </w:p>
        </w:tc>
        <w:tc>
          <w:tcPr>
            <w:tcW w:w="4380" w:type="dxa"/>
            <w:vAlign w:val="bottom"/>
          </w:tcPr>
          <w:p>
            <w:pPr>
              <w:ind w:left="580"/>
              <w:spacing w:after="0" w:line="141" w:lineRule="exact"/>
              <w:rPr>
                <w:sz w:val="20"/>
                <w:szCs w:val="20"/>
                <w:color w:val="auto"/>
              </w:rPr>
            </w:pPr>
            <w:r>
              <w:rPr>
                <w:rFonts w:ascii="MS PGothic" w:cs="MS PGothic" w:eastAsia="MS PGothic" w:hAnsi="MS PGothic"/>
                <w:sz w:val="14"/>
                <w:szCs w:val="14"/>
                <w:color w:val="auto"/>
              </w:rPr>
              <w:t>☒</w:t>
            </w:r>
          </w:p>
        </w:tc>
        <w:tc>
          <w:tcPr>
            <w:tcW w:w="432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pacing w:after="0" w:line="46" w:lineRule="exact"/>
        <w:rPr>
          <w:sz w:val="20"/>
          <w:szCs w:val="20"/>
          <w:color w:val="auto"/>
        </w:rPr>
      </w:pPr>
    </w:p>
    <w:p>
      <w:pPr>
        <w:ind w:right="56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6" w:lineRule="exact"/>
        <w:rPr>
          <w:sz w:val="20"/>
          <w:szCs w:val="20"/>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November 4, 2024, there were 54,850,578 shares of the registrant's Class A common stock and 56,772,177 shares of the Registrant's Class B common stock,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868045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94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r>
      <w:tr>
        <w:trPr>
          <w:trHeight w:val="412"/>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76"/>
        </w:trPr>
        <w:tc>
          <w:tcPr>
            <w:tcW w:w="20" w:type="dxa"/>
            <w:vAlign w:val="bottom"/>
          </w:tcPr>
          <w:p>
            <w:pPr>
              <w:spacing w:after="0"/>
              <w:rPr>
                <w:sz w:val="15"/>
                <w:szCs w:val="15"/>
                <w:color w:val="auto"/>
              </w:rPr>
            </w:pPr>
          </w:p>
        </w:tc>
        <w:tc>
          <w:tcPr>
            <w:tcW w:w="114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b w:val="1"/>
                <w:bCs w:val="1"/>
                <w:color w:val="0000FF"/>
              </w:rPr>
              <w:t>PART I</w:t>
            </w:r>
          </w:p>
        </w:tc>
        <w:tc>
          <w:tcPr>
            <w:tcW w:w="9300" w:type="dxa"/>
            <w:vAlign w:val="bottom"/>
            <w:gridSpan w:val="13"/>
          </w:tcPr>
          <w:p>
            <w:pPr>
              <w:ind w:left="60"/>
              <w:spacing w:after="0" w:line="176" w:lineRule="exact"/>
              <w:rPr>
                <w:sz w:val="20"/>
                <w:szCs w:val="20"/>
                <w:color w:val="auto"/>
              </w:rPr>
            </w:pPr>
            <w:r>
              <w:rPr>
                <w:rFonts w:ascii="Times New Roman" w:cs="Times New Roman" w:eastAsia="Times New Roman" w:hAnsi="Times New Roman"/>
                <w:sz w:val="18"/>
                <w:szCs w:val="18"/>
                <w:color w:val="auto"/>
              </w:rPr>
              <w:t>FINANCIAL INFORMATION</w:t>
            </w:r>
          </w:p>
        </w:tc>
        <w:tc>
          <w:tcPr>
            <w:tcW w:w="780" w:type="dxa"/>
            <w:vAlign w:val="bottom"/>
          </w:tcPr>
          <w:p>
            <w:pPr>
              <w:spacing w:after="0"/>
              <w:rPr>
                <w:sz w:val="15"/>
                <w:szCs w:val="15"/>
                <w:color w:val="auto"/>
              </w:rPr>
            </w:pPr>
          </w:p>
        </w:tc>
      </w:tr>
      <w:tr>
        <w:trPr>
          <w:trHeight w:val="209"/>
        </w:trPr>
        <w:tc>
          <w:tcPr>
            <w:tcW w:w="20" w:type="dxa"/>
            <w:vAlign w:val="bottom"/>
          </w:tcPr>
          <w:p>
            <w:pPr>
              <w:spacing w:after="0"/>
              <w:rPr>
                <w:sz w:val="18"/>
                <w:szCs w:val="18"/>
                <w:color w:val="auto"/>
              </w:rPr>
            </w:pPr>
          </w:p>
        </w:tc>
        <w:tc>
          <w:tcPr>
            <w:tcW w:w="58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Item 1.</w:t>
            </w:r>
          </w:p>
        </w:tc>
        <w:tc>
          <w:tcPr>
            <w:tcW w:w="560" w:type="dxa"/>
            <w:vAlign w:val="bottom"/>
            <w:gridSpan w:val="3"/>
          </w:tcPr>
          <w:p>
            <w:pPr>
              <w:spacing w:after="0"/>
              <w:rPr>
                <w:sz w:val="18"/>
                <w:szCs w:val="18"/>
                <w:color w:val="auto"/>
              </w:rPr>
            </w:pPr>
          </w:p>
        </w:tc>
        <w:tc>
          <w:tcPr>
            <w:tcW w:w="93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0"/>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0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320" w:type="dxa"/>
            <w:vAlign w:val="bottom"/>
            <w:tcBorders>
              <w:top w:val="single" w:sz="8" w:color="0000FF"/>
            </w:tcBorders>
          </w:tcPr>
          <w:p>
            <w:pPr>
              <w:spacing w:after="0"/>
              <w:rPr>
                <w:sz w:val="18"/>
                <w:szCs w:val="18"/>
                <w:color w:val="auto"/>
              </w:rPr>
            </w:pPr>
          </w:p>
        </w:tc>
        <w:tc>
          <w:tcPr>
            <w:tcW w:w="6880" w:type="dxa"/>
            <w:vAlign w:val="bottom"/>
            <w:gridSpan w:val="8"/>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9"/>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Consolidated Statements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Consolidated Statements of Changes in Equity</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0"/>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8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480" w:type="dxa"/>
            <w:vAlign w:val="bottom"/>
            <w:tcBorders>
              <w:top w:val="single" w:sz="8" w:color="0000FF"/>
            </w:tcBorders>
          </w:tcPr>
          <w:p>
            <w:pPr>
              <w:spacing w:after="0"/>
              <w:rPr>
                <w:sz w:val="18"/>
                <w:szCs w:val="18"/>
                <w:color w:val="auto"/>
              </w:rPr>
            </w:pPr>
          </w:p>
        </w:tc>
        <w:tc>
          <w:tcPr>
            <w:tcW w:w="5940" w:type="dxa"/>
            <w:vAlign w:val="bottom"/>
            <w:gridSpan w:val="5"/>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9"/>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9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Notes to Unaudited Consolidated Financial Statements</w:t>
            </w:r>
          </w:p>
        </w:tc>
        <w:tc>
          <w:tcPr>
            <w:tcW w:w="534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09"/>
        </w:trPr>
        <w:tc>
          <w:tcPr>
            <w:tcW w:w="20" w:type="dxa"/>
            <w:vAlign w:val="bottom"/>
          </w:tcPr>
          <w:p>
            <w:pPr>
              <w:spacing w:after="0"/>
              <w:rPr>
                <w:sz w:val="18"/>
                <w:szCs w:val="18"/>
                <w:color w:val="auto"/>
              </w:rPr>
            </w:pPr>
          </w:p>
        </w:tc>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09"/>
        </w:trPr>
        <w:tc>
          <w:tcPr>
            <w:tcW w:w="20" w:type="dxa"/>
            <w:vAlign w:val="bottom"/>
          </w:tcPr>
          <w:p>
            <w:pPr>
              <w:spacing w:after="0"/>
              <w:rPr>
                <w:sz w:val="18"/>
                <w:szCs w:val="18"/>
                <w:color w:val="auto"/>
              </w:rPr>
            </w:pPr>
          </w:p>
        </w:tc>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60" w:type="dxa"/>
            <w:vAlign w:val="bottom"/>
            <w:tcBorders>
              <w:top w:val="single" w:sz="8" w:color="0000FF"/>
            </w:tcBorders>
          </w:tcPr>
          <w:p>
            <w:pPr>
              <w:spacing w:after="0"/>
              <w:rPr>
                <w:sz w:val="18"/>
                <w:szCs w:val="18"/>
                <w:color w:val="auto"/>
              </w:rPr>
            </w:pPr>
          </w:p>
        </w:tc>
        <w:tc>
          <w:tcPr>
            <w:tcW w:w="28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0"/>
        </w:trPr>
        <w:tc>
          <w:tcPr>
            <w:tcW w:w="20" w:type="dxa"/>
            <w:vAlign w:val="bottom"/>
          </w:tcPr>
          <w:p>
            <w:pPr>
              <w:spacing w:after="0"/>
              <w:rPr>
                <w:sz w:val="18"/>
                <w:szCs w:val="18"/>
                <w:color w:val="auto"/>
              </w:rPr>
            </w:pPr>
          </w:p>
        </w:tc>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7520" w:type="dxa"/>
            <w:vAlign w:val="bottom"/>
            <w:gridSpan w:val="10"/>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439"/>
        </w:trPr>
        <w:tc>
          <w:tcPr>
            <w:tcW w:w="20" w:type="dxa"/>
            <w:vAlign w:val="bottom"/>
          </w:tcPr>
          <w:p>
            <w:pPr>
              <w:spacing w:after="0"/>
              <w:rPr>
                <w:sz w:val="24"/>
                <w:szCs w:val="24"/>
                <w:color w:val="auto"/>
              </w:rPr>
            </w:pPr>
          </w:p>
        </w:tc>
        <w:tc>
          <w:tcPr>
            <w:tcW w:w="6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color w:val="0000FF"/>
                <w:w w:val="94"/>
              </w:rPr>
              <w:t>PART II</w:t>
            </w:r>
          </w:p>
        </w:tc>
        <w:tc>
          <w:tcPr>
            <w:tcW w:w="480" w:type="dxa"/>
            <w:vAlign w:val="bottom"/>
            <w:gridSpan w:val="2"/>
          </w:tcPr>
          <w:p>
            <w:pPr>
              <w:spacing w:after="0"/>
              <w:rPr>
                <w:sz w:val="24"/>
                <w:szCs w:val="24"/>
                <w:color w:val="auto"/>
              </w:rPr>
            </w:pPr>
          </w:p>
        </w:tc>
        <w:tc>
          <w:tcPr>
            <w:tcW w:w="9300" w:type="dxa"/>
            <w:vAlign w:val="bottom"/>
            <w:gridSpan w:val="13"/>
          </w:tcPr>
          <w:p>
            <w:pPr>
              <w:ind w:left="60"/>
              <w:spacing w:after="0"/>
              <w:rPr>
                <w:sz w:val="20"/>
                <w:szCs w:val="20"/>
                <w:color w:val="auto"/>
              </w:rPr>
            </w:pPr>
            <w:r>
              <w:rPr>
                <w:rFonts w:ascii="Times New Roman" w:cs="Times New Roman" w:eastAsia="Times New Roman" w:hAnsi="Times New Roman"/>
                <w:sz w:val="18"/>
                <w:szCs w:val="18"/>
                <w:color w:val="auto"/>
              </w:rPr>
              <w:t>OTHER INFORMATION</w:t>
            </w:r>
          </w:p>
        </w:tc>
        <w:tc>
          <w:tcPr>
            <w:tcW w:w="78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0"/>
        </w:trPr>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3020" w:type="dxa"/>
            <w:vAlign w:val="bottom"/>
            <w:gridSpan w:val="8"/>
          </w:tcPr>
          <w:p>
            <w:pPr>
              <w:spacing w:after="0" w:line="20" w:lineRule="exact"/>
              <w:rPr>
                <w:sz w:val="1"/>
                <w:szCs w:val="1"/>
                <w:color w:val="auto"/>
              </w:rPr>
            </w:pPr>
          </w:p>
        </w:tc>
        <w:tc>
          <w:tcPr>
            <w:tcW w:w="49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94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0"/>
        </w:trPr>
        <w:tc>
          <w:tcPr>
            <w:tcW w:w="20" w:type="dxa"/>
            <w:vAlign w:val="bottom"/>
          </w:tcPr>
          <w:p>
            <w:pPr>
              <w:spacing w:after="0"/>
              <w:rPr>
                <w:sz w:val="18"/>
                <w:szCs w:val="18"/>
                <w:color w:val="auto"/>
              </w:rPr>
            </w:pPr>
          </w:p>
        </w:tc>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0"/>
        </w:trPr>
        <w:tc>
          <w:tcPr>
            <w:tcW w:w="20" w:type="dxa"/>
            <w:vAlign w:val="bottom"/>
          </w:tcPr>
          <w:p>
            <w:pPr>
              <w:spacing w:after="0"/>
              <w:rPr>
                <w:sz w:val="18"/>
                <w:szCs w:val="18"/>
                <w:color w:val="auto"/>
              </w:rPr>
            </w:pPr>
          </w:p>
        </w:tc>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6.</w:t>
            </w:r>
          </w:p>
        </w:tc>
        <w:tc>
          <w:tcPr>
            <w:tcW w:w="134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Exhibits</w:t>
            </w:r>
          </w:p>
        </w:tc>
        <w:tc>
          <w:tcPr>
            <w:tcW w:w="7960" w:type="dxa"/>
            <w:vAlign w:val="bottom"/>
            <w:gridSpan w:val="11"/>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09"/>
        </w:trPr>
        <w:tc>
          <w:tcPr>
            <w:tcW w:w="20" w:type="dxa"/>
            <w:vAlign w:val="bottom"/>
          </w:tcPr>
          <w:p>
            <w:pPr>
              <w:spacing w:after="0"/>
              <w:rPr>
                <w:sz w:val="18"/>
                <w:szCs w:val="18"/>
                <w:color w:val="auto"/>
              </w:rPr>
            </w:pPr>
          </w:p>
        </w:tc>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1337"/>
        </w:trPr>
        <w:tc>
          <w:tcPr>
            <w:tcW w:w="20" w:type="dxa"/>
            <w:vAlign w:val="bottom"/>
            <w:tcBorders>
              <w:bottom w:val="single" w:sz="8" w:color="9A9A9A"/>
            </w:tcBorders>
          </w:tcPr>
          <w:p>
            <w:pPr>
              <w:spacing w:after="0"/>
              <w:rPr>
                <w:sz w:val="24"/>
                <w:szCs w:val="24"/>
                <w:color w:val="auto"/>
              </w:rPr>
            </w:pPr>
          </w:p>
        </w:tc>
        <w:tc>
          <w:tcPr>
            <w:tcW w:w="5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5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40" w:type="dxa"/>
            <w:vAlign w:val="bottom"/>
          </w:tcPr>
          <w:p>
            <w:pPr>
              <w:spacing w:after="0"/>
              <w:rPr>
                <w:sz w:val="15"/>
                <w:szCs w:val="15"/>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As of</w:t>
            </w:r>
          </w:p>
        </w:tc>
      </w:tr>
      <w:tr>
        <w:trPr>
          <w:trHeight w:val="175"/>
        </w:trPr>
        <w:tc>
          <w:tcPr>
            <w:tcW w:w="55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5"/>
                <w:szCs w:val="15"/>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55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169"/>
        </w:trPr>
        <w:tc>
          <w:tcPr>
            <w:tcW w:w="55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5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61,451</w:t>
            </w:r>
          </w:p>
        </w:tc>
        <w:tc>
          <w:tcPr>
            <w:tcW w:w="2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30,467</w:t>
            </w:r>
          </w:p>
        </w:tc>
        <w:tc>
          <w:tcPr>
            <w:tcW w:w="100" w:type="dxa"/>
            <w:vAlign w:val="bottom"/>
          </w:tcPr>
          <w:p>
            <w:pPr>
              <w:spacing w:after="0"/>
              <w:rPr>
                <w:sz w:val="20"/>
                <w:szCs w:val="20"/>
                <w:color w:val="auto"/>
              </w:rPr>
            </w:pPr>
          </w:p>
        </w:tc>
      </w:tr>
      <w:tr>
        <w:trPr>
          <w:trHeight w:val="247"/>
        </w:trPr>
        <w:tc>
          <w:tcPr>
            <w:tcW w:w="55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Restricted cash</w:t>
            </w:r>
          </w:p>
        </w:tc>
        <w:tc>
          <w:tcPr>
            <w:tcW w:w="2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100" w:type="dxa"/>
            <w:vAlign w:val="bottom"/>
            <w:shd w:val="clear" w:color="auto" w:fill="CFF0FC"/>
          </w:tcPr>
          <w:p>
            <w:pPr>
              <w:spacing w:after="0"/>
              <w:rPr>
                <w:sz w:val="21"/>
                <w:szCs w:val="21"/>
                <w:color w:val="auto"/>
              </w:rPr>
            </w:pPr>
          </w:p>
        </w:tc>
      </w:tr>
      <w:tr>
        <w:trPr>
          <w:trHeight w:val="239"/>
        </w:trPr>
        <w:tc>
          <w:tcPr>
            <w:tcW w:w="5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receivable</w:t>
            </w:r>
          </w:p>
        </w:tc>
        <w:tc>
          <w:tcPr>
            <w:tcW w:w="2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27,128</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20,620</w:t>
            </w:r>
          </w:p>
        </w:tc>
        <w:tc>
          <w:tcPr>
            <w:tcW w:w="100" w:type="dxa"/>
            <w:vAlign w:val="bottom"/>
          </w:tcPr>
          <w:p>
            <w:pPr>
              <w:spacing w:after="0"/>
              <w:rPr>
                <w:sz w:val="20"/>
                <w:szCs w:val="20"/>
                <w:color w:val="auto"/>
              </w:rPr>
            </w:pPr>
          </w:p>
        </w:tc>
      </w:tr>
      <w:tr>
        <w:trPr>
          <w:trHeight w:val="247"/>
        </w:trPr>
        <w:tc>
          <w:tcPr>
            <w:tcW w:w="55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Notes receivable</w:t>
            </w:r>
          </w:p>
        </w:tc>
        <w:tc>
          <w:tcPr>
            <w:tcW w:w="2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6,091</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5,755</w:t>
            </w:r>
          </w:p>
        </w:tc>
        <w:tc>
          <w:tcPr>
            <w:tcW w:w="100" w:type="dxa"/>
            <w:vAlign w:val="bottom"/>
            <w:shd w:val="clear" w:color="auto" w:fill="CFF0FC"/>
          </w:tcPr>
          <w:p>
            <w:pPr>
              <w:spacing w:after="0"/>
              <w:rPr>
                <w:sz w:val="21"/>
                <w:szCs w:val="21"/>
                <w:color w:val="auto"/>
              </w:rPr>
            </w:pPr>
          </w:p>
        </w:tc>
      </w:tr>
      <w:tr>
        <w:trPr>
          <w:trHeight w:val="239"/>
        </w:trPr>
        <w:tc>
          <w:tcPr>
            <w:tcW w:w="5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Due from related parties</w:t>
            </w:r>
          </w:p>
        </w:tc>
        <w:tc>
          <w:tcPr>
            <w:tcW w:w="2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74,062</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57,696</w:t>
            </w:r>
          </w:p>
        </w:tc>
        <w:tc>
          <w:tcPr>
            <w:tcW w:w="100" w:type="dxa"/>
            <w:vAlign w:val="bottom"/>
          </w:tcPr>
          <w:p>
            <w:pPr>
              <w:spacing w:after="0"/>
              <w:rPr>
                <w:sz w:val="20"/>
                <w:szCs w:val="20"/>
                <w:color w:val="auto"/>
              </w:rPr>
            </w:pPr>
          </w:p>
        </w:tc>
      </w:tr>
      <w:tr>
        <w:trPr>
          <w:trHeight w:val="247"/>
        </w:trPr>
        <w:tc>
          <w:tcPr>
            <w:tcW w:w="55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Investment in unconsolidated subsidiaries</w:t>
            </w:r>
          </w:p>
        </w:tc>
        <w:tc>
          <w:tcPr>
            <w:tcW w:w="2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2,577</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100" w:type="dxa"/>
            <w:vAlign w:val="bottom"/>
            <w:shd w:val="clear" w:color="auto" w:fill="CFF0FC"/>
          </w:tcPr>
          <w:p>
            <w:pPr>
              <w:spacing w:after="0"/>
              <w:rPr>
                <w:sz w:val="21"/>
                <w:szCs w:val="21"/>
                <w:color w:val="auto"/>
              </w:rPr>
            </w:pPr>
          </w:p>
        </w:tc>
      </w:tr>
      <w:tr>
        <w:trPr>
          <w:trHeight w:val="239"/>
        </w:trPr>
        <w:tc>
          <w:tcPr>
            <w:tcW w:w="5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4,133</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15,011</w:t>
            </w:r>
          </w:p>
        </w:tc>
        <w:tc>
          <w:tcPr>
            <w:tcW w:w="100" w:type="dxa"/>
            <w:vAlign w:val="bottom"/>
          </w:tcPr>
          <w:p>
            <w:pPr>
              <w:spacing w:after="0"/>
              <w:rPr>
                <w:sz w:val="20"/>
                <w:szCs w:val="20"/>
                <w:color w:val="auto"/>
              </w:rPr>
            </w:pPr>
          </w:p>
        </w:tc>
      </w:tr>
      <w:tr>
        <w:trPr>
          <w:trHeight w:val="247"/>
        </w:trPr>
        <w:tc>
          <w:tcPr>
            <w:tcW w:w="55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6,118</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3,325</w:t>
            </w:r>
          </w:p>
        </w:tc>
        <w:tc>
          <w:tcPr>
            <w:tcW w:w="100" w:type="dxa"/>
            <w:vAlign w:val="bottom"/>
            <w:shd w:val="clear" w:color="auto" w:fill="CFF0FC"/>
          </w:tcPr>
          <w:p>
            <w:pPr>
              <w:spacing w:after="0"/>
              <w:rPr>
                <w:sz w:val="21"/>
                <w:szCs w:val="21"/>
                <w:color w:val="auto"/>
              </w:rPr>
            </w:pPr>
          </w:p>
        </w:tc>
      </w:tr>
      <w:tr>
        <w:trPr>
          <w:trHeight w:val="239"/>
        </w:trPr>
        <w:tc>
          <w:tcPr>
            <w:tcW w:w="5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Right-of-use assets</w:t>
            </w:r>
          </w:p>
        </w:tc>
        <w:tc>
          <w:tcPr>
            <w:tcW w:w="2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18,227</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17,087</w:t>
            </w:r>
          </w:p>
        </w:tc>
        <w:tc>
          <w:tcPr>
            <w:tcW w:w="100" w:type="dxa"/>
            <w:vAlign w:val="bottom"/>
          </w:tcPr>
          <w:p>
            <w:pPr>
              <w:spacing w:after="0"/>
              <w:rPr>
                <w:sz w:val="20"/>
                <w:szCs w:val="20"/>
                <w:color w:val="auto"/>
              </w:rPr>
            </w:pPr>
          </w:p>
        </w:tc>
      </w:tr>
      <w:tr>
        <w:trPr>
          <w:trHeight w:val="247"/>
        </w:trPr>
        <w:tc>
          <w:tcPr>
            <w:tcW w:w="55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Contingent payments to customers</w:t>
            </w:r>
          </w:p>
        </w:tc>
        <w:tc>
          <w:tcPr>
            <w:tcW w:w="2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12,799</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14,034</w:t>
            </w:r>
          </w:p>
        </w:tc>
        <w:tc>
          <w:tcPr>
            <w:tcW w:w="100" w:type="dxa"/>
            <w:vAlign w:val="bottom"/>
            <w:shd w:val="clear" w:color="auto" w:fill="CFF0FC"/>
          </w:tcPr>
          <w:p>
            <w:pPr>
              <w:spacing w:after="0"/>
              <w:rPr>
                <w:sz w:val="21"/>
                <w:szCs w:val="21"/>
                <w:color w:val="auto"/>
              </w:rPr>
            </w:pPr>
          </w:p>
        </w:tc>
      </w:tr>
      <w:tr>
        <w:trPr>
          <w:trHeight w:val="239"/>
        </w:trPr>
        <w:tc>
          <w:tcPr>
            <w:tcW w:w="5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tax assets, net</w:t>
            </w:r>
          </w:p>
        </w:tc>
        <w:tc>
          <w:tcPr>
            <w:tcW w:w="2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32,709</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37,518</w:t>
            </w:r>
          </w:p>
        </w:tc>
        <w:tc>
          <w:tcPr>
            <w:tcW w:w="100" w:type="dxa"/>
            <w:vAlign w:val="bottom"/>
          </w:tcPr>
          <w:p>
            <w:pPr>
              <w:spacing w:after="0"/>
              <w:rPr>
                <w:sz w:val="20"/>
                <w:szCs w:val="20"/>
                <w:color w:val="auto"/>
              </w:rPr>
            </w:pPr>
          </w:p>
        </w:tc>
      </w:tr>
      <w:tr>
        <w:trPr>
          <w:trHeight w:val="247"/>
        </w:trPr>
        <w:tc>
          <w:tcPr>
            <w:tcW w:w="55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Intangibles, net</w:t>
            </w:r>
          </w:p>
        </w:tc>
        <w:tc>
          <w:tcPr>
            <w:tcW w:w="2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103,883</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123,195</w:t>
            </w:r>
          </w:p>
        </w:tc>
        <w:tc>
          <w:tcPr>
            <w:tcW w:w="100" w:type="dxa"/>
            <w:vAlign w:val="bottom"/>
            <w:shd w:val="clear" w:color="auto" w:fill="CFF0FC"/>
          </w:tcPr>
          <w:p>
            <w:pPr>
              <w:spacing w:after="0"/>
              <w:rPr>
                <w:sz w:val="21"/>
                <w:szCs w:val="21"/>
                <w:color w:val="auto"/>
              </w:rPr>
            </w:pPr>
          </w:p>
        </w:tc>
      </w:tr>
      <w:tr>
        <w:trPr>
          <w:trHeight w:val="239"/>
        </w:trPr>
        <w:tc>
          <w:tcPr>
            <w:tcW w:w="5500" w:type="dxa"/>
            <w:vAlign w:val="bottom"/>
            <w:tcBorders>
              <w:bottom w:val="single" w:sz="8" w:color="CFF0FC"/>
            </w:tcBorders>
          </w:tcPr>
          <w:p>
            <w:pPr>
              <w:ind w:left="160"/>
              <w:spacing w:after="0"/>
              <w:rPr>
                <w:sz w:val="20"/>
                <w:szCs w:val="20"/>
                <w:color w:val="auto"/>
              </w:rPr>
            </w:pPr>
            <w:r>
              <w:rPr>
                <w:rFonts w:ascii="Times New Roman" w:cs="Times New Roman" w:eastAsia="Times New Roman" w:hAnsi="Times New Roman"/>
                <w:sz w:val="18"/>
                <w:szCs w:val="18"/>
                <w:color w:val="auto"/>
              </w:rPr>
              <w:t>Goodwill</w:t>
            </w:r>
          </w:p>
        </w:tc>
        <w:tc>
          <w:tcPr>
            <w:tcW w:w="216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506,038</w:t>
            </w:r>
          </w:p>
        </w:tc>
        <w:tc>
          <w:tcPr>
            <w:tcW w:w="2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506,038</w:t>
            </w:r>
          </w:p>
        </w:tc>
        <w:tc>
          <w:tcPr>
            <w:tcW w:w="100" w:type="dxa"/>
            <w:vAlign w:val="bottom"/>
            <w:tcBorders>
              <w:bottom w:val="single" w:sz="8" w:color="CFF0FC"/>
            </w:tcBorders>
          </w:tcPr>
          <w:p>
            <w:pPr>
              <w:spacing w:after="0"/>
              <w:rPr>
                <w:sz w:val="20"/>
                <w:szCs w:val="20"/>
                <w:color w:val="auto"/>
              </w:rPr>
            </w:pPr>
          </w:p>
        </w:tc>
      </w:tr>
      <w:tr>
        <w:trPr>
          <w:trHeight w:val="277"/>
        </w:trPr>
        <w:tc>
          <w:tcPr>
            <w:tcW w:w="550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assets</w:t>
            </w:r>
          </w:p>
        </w:tc>
        <w:tc>
          <w:tcPr>
            <w:tcW w:w="21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857,033</w:t>
            </w:r>
          </w:p>
        </w:tc>
        <w:tc>
          <w:tcPr>
            <w:tcW w:w="2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834,074</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5"/>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5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4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24,553</w:t>
            </w:r>
          </w:p>
        </w:tc>
        <w:tc>
          <w:tcPr>
            <w:tcW w:w="2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15,054</w:t>
            </w:r>
          </w:p>
        </w:tc>
        <w:tc>
          <w:tcPr>
            <w:tcW w:w="100" w:type="dxa"/>
            <w:vAlign w:val="bottom"/>
          </w:tcPr>
          <w:p>
            <w:pPr>
              <w:spacing w:after="0"/>
              <w:rPr>
                <w:sz w:val="20"/>
                <w:szCs w:val="20"/>
                <w:color w:val="auto"/>
              </w:rPr>
            </w:pPr>
          </w:p>
        </w:tc>
      </w:tr>
      <w:tr>
        <w:trPr>
          <w:trHeight w:val="247"/>
        </w:trPr>
        <w:tc>
          <w:tcPr>
            <w:tcW w:w="55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63,018</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45,081</w:t>
            </w:r>
          </w:p>
        </w:tc>
        <w:tc>
          <w:tcPr>
            <w:tcW w:w="100" w:type="dxa"/>
            <w:vAlign w:val="bottom"/>
            <w:shd w:val="clear" w:color="auto" w:fill="CFF0FC"/>
          </w:tcPr>
          <w:p>
            <w:pPr>
              <w:spacing w:after="0"/>
              <w:rPr>
                <w:sz w:val="21"/>
                <w:szCs w:val="21"/>
                <w:color w:val="auto"/>
              </w:rPr>
            </w:pPr>
          </w:p>
        </w:tc>
      </w:tr>
      <w:tr>
        <w:trPr>
          <w:trHeight w:val="239"/>
        </w:trPr>
        <w:tc>
          <w:tcPr>
            <w:tcW w:w="5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Due to related parties</w:t>
            </w:r>
          </w:p>
        </w:tc>
        <w:tc>
          <w:tcPr>
            <w:tcW w:w="2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100" w:type="dxa"/>
            <w:vAlign w:val="bottom"/>
          </w:tcPr>
          <w:p>
            <w:pPr>
              <w:spacing w:after="0"/>
              <w:rPr>
                <w:sz w:val="20"/>
                <w:szCs w:val="20"/>
                <w:color w:val="auto"/>
              </w:rPr>
            </w:pPr>
          </w:p>
        </w:tc>
      </w:tr>
      <w:tr>
        <w:trPr>
          <w:trHeight w:val="247"/>
        </w:trPr>
        <w:tc>
          <w:tcPr>
            <w:tcW w:w="55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 liabilities</w:t>
            </w:r>
          </w:p>
        </w:tc>
        <w:tc>
          <w:tcPr>
            <w:tcW w:w="2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00" w:type="dxa"/>
            <w:vAlign w:val="bottom"/>
            <w:shd w:val="clear" w:color="auto" w:fill="CFF0FC"/>
          </w:tcPr>
          <w:p>
            <w:pPr>
              <w:spacing w:after="0"/>
              <w:rPr>
                <w:sz w:val="21"/>
                <w:szCs w:val="21"/>
                <w:color w:val="auto"/>
              </w:rPr>
            </w:pPr>
          </w:p>
        </w:tc>
      </w:tr>
      <w:tr>
        <w:trPr>
          <w:trHeight w:val="239"/>
        </w:trPr>
        <w:tc>
          <w:tcPr>
            <w:tcW w:w="5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4,288</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6,693</w:t>
            </w:r>
          </w:p>
        </w:tc>
        <w:tc>
          <w:tcPr>
            <w:tcW w:w="100" w:type="dxa"/>
            <w:vAlign w:val="bottom"/>
          </w:tcPr>
          <w:p>
            <w:pPr>
              <w:spacing w:after="0"/>
              <w:rPr>
                <w:sz w:val="20"/>
                <w:szCs w:val="20"/>
                <w:color w:val="auto"/>
              </w:rPr>
            </w:pPr>
          </w:p>
        </w:tc>
      </w:tr>
      <w:tr>
        <w:trPr>
          <w:trHeight w:val="247"/>
        </w:trPr>
        <w:tc>
          <w:tcPr>
            <w:tcW w:w="55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Accrued contingent liabilities</w:t>
            </w:r>
          </w:p>
        </w:tc>
        <w:tc>
          <w:tcPr>
            <w:tcW w:w="2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16,222</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16,222</w:t>
            </w:r>
          </w:p>
        </w:tc>
        <w:tc>
          <w:tcPr>
            <w:tcW w:w="100" w:type="dxa"/>
            <w:vAlign w:val="bottom"/>
            <w:shd w:val="clear" w:color="auto" w:fill="CFF0FC"/>
          </w:tcPr>
          <w:p>
            <w:pPr>
              <w:spacing w:after="0"/>
              <w:rPr>
                <w:sz w:val="21"/>
                <w:szCs w:val="21"/>
                <w:color w:val="auto"/>
              </w:rPr>
            </w:pPr>
          </w:p>
        </w:tc>
      </w:tr>
      <w:tr>
        <w:trPr>
          <w:trHeight w:val="239"/>
        </w:trPr>
        <w:tc>
          <w:tcPr>
            <w:tcW w:w="5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revenues</w:t>
            </w:r>
          </w:p>
        </w:tc>
        <w:tc>
          <w:tcPr>
            <w:tcW w:w="2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12,770</w:t>
            </w:r>
          </w:p>
        </w:tc>
        <w:tc>
          <w:tcPr>
            <w:tcW w:w="100" w:type="dxa"/>
            <w:vAlign w:val="bottom"/>
          </w:tcPr>
          <w:p>
            <w:pPr>
              <w:spacing w:after="0"/>
              <w:rPr>
                <w:sz w:val="20"/>
                <w:szCs w:val="20"/>
                <w:color w:val="auto"/>
              </w:rPr>
            </w:pPr>
          </w:p>
        </w:tc>
      </w:tr>
      <w:tr>
        <w:trPr>
          <w:trHeight w:val="247"/>
        </w:trPr>
        <w:tc>
          <w:tcPr>
            <w:tcW w:w="55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Lease liabilities</w:t>
            </w:r>
          </w:p>
        </w:tc>
        <w:tc>
          <w:tcPr>
            <w:tcW w:w="2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21,082</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20,278</w:t>
            </w:r>
          </w:p>
        </w:tc>
        <w:tc>
          <w:tcPr>
            <w:tcW w:w="100" w:type="dxa"/>
            <w:vAlign w:val="bottom"/>
            <w:shd w:val="clear" w:color="auto" w:fill="CFF0FC"/>
          </w:tcPr>
          <w:p>
            <w:pPr>
              <w:spacing w:after="0"/>
              <w:rPr>
                <w:sz w:val="21"/>
                <w:szCs w:val="21"/>
                <w:color w:val="auto"/>
              </w:rPr>
            </w:pPr>
          </w:p>
        </w:tc>
      </w:tr>
      <w:tr>
        <w:trPr>
          <w:trHeight w:val="263"/>
        </w:trPr>
        <w:tc>
          <w:tcPr>
            <w:tcW w:w="5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Debt obligations</w:t>
            </w:r>
          </w:p>
        </w:tc>
        <w:tc>
          <w:tcPr>
            <w:tcW w:w="21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319,411</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289,844</w:t>
            </w:r>
          </w:p>
        </w:tc>
        <w:tc>
          <w:tcPr>
            <w:tcW w:w="100" w:type="dxa"/>
            <w:vAlign w:val="bottom"/>
          </w:tcPr>
          <w:p>
            <w:pPr>
              <w:spacing w:after="0"/>
              <w:rPr>
                <w:sz w:val="22"/>
                <w:szCs w:val="22"/>
                <w:color w:val="auto"/>
              </w:rPr>
            </w:pPr>
          </w:p>
        </w:tc>
      </w:tr>
      <w:tr>
        <w:trPr>
          <w:trHeight w:val="230"/>
        </w:trPr>
        <w:tc>
          <w:tcPr>
            <w:tcW w:w="5500" w:type="dxa"/>
            <w:vAlign w:val="bottom"/>
            <w:tcBorders>
              <w:top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liabilities</w:t>
            </w:r>
          </w:p>
        </w:tc>
        <w:tc>
          <w:tcPr>
            <w:tcW w:w="216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CFF0FC"/>
            </w:tcBorders>
            <w:shd w:val="clear" w:color="auto" w:fill="CFF0FC"/>
          </w:tcPr>
          <w:p>
            <w:pPr>
              <w:spacing w:after="0"/>
              <w:rPr>
                <w:sz w:val="20"/>
                <w:szCs w:val="20"/>
                <w:color w:val="auto"/>
              </w:rPr>
            </w:pPr>
          </w:p>
        </w:tc>
        <w:tc>
          <w:tcPr>
            <w:tcW w:w="140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462,939</w:t>
            </w:r>
          </w:p>
        </w:tc>
        <w:tc>
          <w:tcPr>
            <w:tcW w:w="22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408,912</w:t>
            </w:r>
          </w:p>
        </w:tc>
        <w:tc>
          <w:tcPr>
            <w:tcW w:w="100" w:type="dxa"/>
            <w:vAlign w:val="bottom"/>
            <w:tcBorders>
              <w:top w:val="single" w:sz="8" w:color="CFF0FC"/>
            </w:tcBorders>
            <w:shd w:val="clear" w:color="auto" w:fill="CFF0FC"/>
          </w:tcPr>
          <w:p>
            <w:pPr>
              <w:spacing w:after="0"/>
              <w:rPr>
                <w:sz w:val="20"/>
                <w:szCs w:val="20"/>
                <w:color w:val="auto"/>
              </w:rPr>
            </w:pPr>
          </w:p>
        </w:tc>
      </w:tr>
      <w:tr>
        <w:trPr>
          <w:trHeight w:val="241"/>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13)</w:t>
            </w:r>
          </w:p>
        </w:tc>
        <w:tc>
          <w:tcPr>
            <w:tcW w:w="2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5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5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Class A common stock, $0.001 par value; 510,000,000 shares authorized;</w:t>
            </w:r>
          </w:p>
        </w:tc>
        <w:tc>
          <w:tcPr>
            <w:tcW w:w="2400" w:type="dxa"/>
            <w:vAlign w:val="bottom"/>
            <w:gridSpan w:val="2"/>
          </w:tcPr>
          <w:p>
            <w:pPr>
              <w:jc w:val="right"/>
              <w:ind w:right="650"/>
              <w:spacing w:after="0"/>
              <w:rPr>
                <w:sz w:val="20"/>
                <w:szCs w:val="20"/>
                <w:color w:val="auto"/>
              </w:rPr>
            </w:pPr>
            <w:r>
              <w:rPr>
                <w:rFonts w:ascii="Times New Roman" w:cs="Times New Roman" w:eastAsia="Times New Roman" w:hAnsi="Times New Roman"/>
                <w:sz w:val="18"/>
                <w:szCs w:val="18"/>
                <w:color w:val="auto"/>
              </w:rPr>
              <w:t>61,357,766 issued and</w:t>
            </w: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53,813,892 outstanding as of September 30, 2024, and 59,340,269 issued and 57,622,895 outstanding</w:t>
            </w: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 of December 31, 2023, respectively</w:t>
            </w:r>
          </w:p>
        </w:tc>
        <w:tc>
          <w:tcPr>
            <w:tcW w:w="2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0"/>
                <w:szCs w:val="20"/>
                <w:color w:val="auto"/>
              </w:rPr>
            </w:pPr>
          </w:p>
        </w:tc>
      </w:tr>
      <w:tr>
        <w:trPr>
          <w:trHeight w:val="218"/>
        </w:trPr>
        <w:tc>
          <w:tcPr>
            <w:tcW w:w="790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Class B common stock, $0.001 par value; 180,000,000 shares authorized; 57,531,354 shares issued</w:t>
            </w:r>
          </w:p>
        </w:tc>
        <w:tc>
          <w:tcPr>
            <w:tcW w:w="1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90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and 57,407,903 shares outstanding as of September 30, 2024, and 58,597,718 shares issued and</w:t>
            </w:r>
          </w:p>
        </w:tc>
        <w:tc>
          <w:tcPr>
            <w:tcW w:w="1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55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58,474,267 shares outstanding as of December 31, 2023, respectively</w:t>
            </w:r>
          </w:p>
        </w:tc>
        <w:tc>
          <w:tcPr>
            <w:tcW w:w="2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FF0FC"/>
          </w:tcPr>
          <w:p>
            <w:pPr>
              <w:spacing w:after="0"/>
              <w:rPr>
                <w:sz w:val="21"/>
                <w:szCs w:val="21"/>
                <w:color w:val="auto"/>
              </w:rPr>
            </w:pPr>
          </w:p>
        </w:tc>
      </w:tr>
      <w:tr>
        <w:trPr>
          <w:trHeight w:val="239"/>
        </w:trPr>
        <w:tc>
          <w:tcPr>
            <w:tcW w:w="5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Treasury stock</w:t>
            </w:r>
          </w:p>
        </w:tc>
        <w:tc>
          <w:tcPr>
            <w:tcW w:w="2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(66,273 )</w:t>
            </w:r>
          </w:p>
        </w:tc>
        <w:tc>
          <w:tcPr>
            <w:tcW w:w="240" w:type="dxa"/>
            <w:vAlign w:val="bottom"/>
          </w:tcPr>
          <w:p>
            <w:pPr>
              <w:spacing w:after="0"/>
              <w:rPr>
                <w:sz w:val="20"/>
                <w:szCs w:val="20"/>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(17,588 )</w:t>
            </w:r>
          </w:p>
        </w:tc>
      </w:tr>
      <w:tr>
        <w:trPr>
          <w:trHeight w:val="247"/>
        </w:trPr>
        <w:tc>
          <w:tcPr>
            <w:tcW w:w="55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Additional paid-in-capital</w:t>
            </w:r>
          </w:p>
        </w:tc>
        <w:tc>
          <w:tcPr>
            <w:tcW w:w="2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640,204</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636,073</w:t>
            </w:r>
          </w:p>
        </w:tc>
        <w:tc>
          <w:tcPr>
            <w:tcW w:w="100" w:type="dxa"/>
            <w:vAlign w:val="bottom"/>
            <w:shd w:val="clear" w:color="auto" w:fill="CFF0FC"/>
          </w:tcPr>
          <w:p>
            <w:pPr>
              <w:spacing w:after="0"/>
              <w:rPr>
                <w:sz w:val="21"/>
                <w:szCs w:val="21"/>
                <w:color w:val="auto"/>
              </w:rPr>
            </w:pPr>
          </w:p>
        </w:tc>
      </w:tr>
      <w:tr>
        <w:trPr>
          <w:trHeight w:val="239"/>
        </w:trPr>
        <w:tc>
          <w:tcPr>
            <w:tcW w:w="5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Accumulated deficit</w:t>
            </w:r>
          </w:p>
        </w:tc>
        <w:tc>
          <w:tcPr>
            <w:tcW w:w="2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(219,592 )</w:t>
            </w:r>
          </w:p>
        </w:tc>
        <w:tc>
          <w:tcPr>
            <w:tcW w:w="240" w:type="dxa"/>
            <w:vAlign w:val="bottom"/>
          </w:tcPr>
          <w:p>
            <w:pPr>
              <w:spacing w:after="0"/>
              <w:rPr>
                <w:sz w:val="20"/>
                <w:szCs w:val="20"/>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(233,012 )</w:t>
            </w:r>
          </w:p>
        </w:tc>
      </w:tr>
      <w:tr>
        <w:trPr>
          <w:trHeight w:val="243"/>
        </w:trPr>
        <w:tc>
          <w:tcPr>
            <w:tcW w:w="55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1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39,644</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39,573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equity</w:t>
            </w:r>
          </w:p>
        </w:tc>
        <w:tc>
          <w:tcPr>
            <w:tcW w:w="2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394,094</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425,162</w:t>
            </w:r>
          </w:p>
        </w:tc>
        <w:tc>
          <w:tcPr>
            <w:tcW w:w="100" w:type="dxa"/>
            <w:vAlign w:val="bottom"/>
          </w:tcPr>
          <w:p>
            <w:pPr>
              <w:spacing w:after="0"/>
              <w:rPr>
                <w:sz w:val="20"/>
                <w:szCs w:val="20"/>
                <w:color w:val="auto"/>
              </w:rPr>
            </w:pPr>
          </w:p>
        </w:tc>
      </w:tr>
      <w:tr>
        <w:trPr>
          <w:trHeight w:val="279"/>
        </w:trPr>
        <w:tc>
          <w:tcPr>
            <w:tcW w:w="5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1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857,033</w:t>
            </w:r>
          </w:p>
        </w:tc>
        <w:tc>
          <w:tcPr>
            <w:tcW w:w="2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834,074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-4028440</wp:posOffset>
            </wp:positionV>
            <wp:extent cx="768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-4011295</wp:posOffset>
            </wp:positionV>
            <wp:extent cx="768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-4191000</wp:posOffset>
            </wp:positionV>
            <wp:extent cx="768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-4028440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-4011295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-4191000</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-2296795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-351155</wp:posOffset>
            </wp:positionV>
            <wp:extent cx="768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-351155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768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768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Notes to Consolidated Financial Statements are an integral part of these statements.</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in thousands except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0" w:type="dxa"/>
            <w:vAlign w:val="bottom"/>
            <w:gridSpan w:val="5"/>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180" w:type="dxa"/>
            <w:vAlign w:val="bottom"/>
          </w:tcPr>
          <w:p>
            <w:pPr>
              <w:spacing w:after="0"/>
              <w:rPr>
                <w:sz w:val="13"/>
                <w:szCs w:val="13"/>
                <w:color w:val="auto"/>
              </w:rPr>
            </w:pPr>
          </w:p>
        </w:tc>
        <w:tc>
          <w:tcPr>
            <w:tcW w:w="1920" w:type="dxa"/>
            <w:vAlign w:val="bottom"/>
            <w:gridSpan w:val="5"/>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For the Nine Months</w:t>
            </w:r>
          </w:p>
        </w:tc>
      </w:tr>
      <w:tr>
        <w:trPr>
          <w:trHeight w:val="190"/>
        </w:trPr>
        <w:tc>
          <w:tcPr>
            <w:tcW w:w="6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0" w:type="dxa"/>
            <w:vAlign w:val="bottom"/>
            <w:gridSpan w:val="5"/>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180" w:type="dxa"/>
            <w:vAlign w:val="bottom"/>
          </w:tcPr>
          <w:p>
            <w:pPr>
              <w:spacing w:after="0"/>
              <w:rPr>
                <w:sz w:val="16"/>
                <w:szCs w:val="16"/>
                <w:color w:val="auto"/>
              </w:rPr>
            </w:pPr>
          </w:p>
        </w:tc>
        <w:tc>
          <w:tcPr>
            <w:tcW w:w="1920" w:type="dxa"/>
            <w:vAlign w:val="bottom"/>
            <w:gridSpan w:val="5"/>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Ended September 30,</w:t>
            </w:r>
          </w:p>
        </w:tc>
      </w:tr>
      <w:tr>
        <w:trPr>
          <w:trHeight w:val="172"/>
        </w:trPr>
        <w:tc>
          <w:tcPr>
            <w:tcW w:w="69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69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50"/>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6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Management and advisory fees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72,595</w:t>
            </w:r>
          </w:p>
        </w:tc>
        <w:tc>
          <w:tcPr>
            <w:tcW w:w="3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58,078</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206,192</w:t>
            </w:r>
          </w:p>
        </w:tc>
        <w:tc>
          <w:tcPr>
            <w:tcW w:w="3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176,322</w:t>
            </w:r>
          </w:p>
        </w:tc>
        <w:tc>
          <w:tcPr>
            <w:tcW w:w="100" w:type="dxa"/>
            <w:vAlign w:val="bottom"/>
          </w:tcPr>
          <w:p>
            <w:pPr>
              <w:spacing w:after="0"/>
              <w:rPr>
                <w:sz w:val="20"/>
                <w:szCs w:val="20"/>
                <w:color w:val="auto"/>
              </w:rPr>
            </w:pPr>
          </w:p>
        </w:tc>
      </w:tr>
      <w:tr>
        <w:trPr>
          <w:trHeight w:val="243"/>
        </w:trPr>
        <w:tc>
          <w:tcPr>
            <w:tcW w:w="69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revenue</w:t>
            </w:r>
          </w:p>
        </w:tc>
        <w:tc>
          <w:tcPr>
            <w:tcW w:w="16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3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5,242</w:t>
            </w:r>
          </w:p>
        </w:tc>
        <w:tc>
          <w:tcPr>
            <w:tcW w:w="3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74,243</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58,942</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211,434</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178,667</w:t>
            </w:r>
          </w:p>
        </w:tc>
        <w:tc>
          <w:tcPr>
            <w:tcW w:w="100" w:type="dxa"/>
            <w:vAlign w:val="bottom"/>
          </w:tcPr>
          <w:p>
            <w:pPr>
              <w:spacing w:after="0"/>
              <w:rPr>
                <w:sz w:val="20"/>
                <w:szCs w:val="20"/>
                <w:color w:val="auto"/>
              </w:rPr>
            </w:pPr>
          </w:p>
        </w:tc>
      </w:tr>
      <w:tr>
        <w:trPr>
          <w:trHeight w:val="247"/>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6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42,531</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42,175</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115,893</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114,128</w:t>
            </w:r>
          </w:p>
        </w:tc>
        <w:tc>
          <w:tcPr>
            <w:tcW w:w="100" w:type="dxa"/>
            <w:vAlign w:val="bottom"/>
          </w:tcPr>
          <w:p>
            <w:pPr>
              <w:spacing w:after="0"/>
              <w:rPr>
                <w:sz w:val="20"/>
                <w:szCs w:val="20"/>
                <w:color w:val="auto"/>
              </w:rPr>
            </w:pPr>
          </w:p>
        </w:tc>
      </w:tr>
      <w:tr>
        <w:trPr>
          <w:trHeight w:val="247"/>
        </w:trPr>
        <w:tc>
          <w:tcPr>
            <w:tcW w:w="6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Professional fees</w:t>
            </w:r>
          </w:p>
        </w:tc>
        <w:tc>
          <w:tcPr>
            <w:tcW w:w="16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9,169</w:t>
            </w:r>
          </w:p>
        </w:tc>
        <w:tc>
          <w:tcPr>
            <w:tcW w:w="3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3,357</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16,472</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10,191</w:t>
            </w:r>
          </w:p>
        </w:tc>
        <w:tc>
          <w:tcPr>
            <w:tcW w:w="100" w:type="dxa"/>
            <w:vAlign w:val="bottom"/>
            <w:shd w:val="clear" w:color="auto" w:fill="CFF0FC"/>
          </w:tcPr>
          <w:p>
            <w:pPr>
              <w:spacing w:after="0"/>
              <w:rPr>
                <w:sz w:val="21"/>
                <w:szCs w:val="21"/>
                <w:color w:val="auto"/>
              </w:rPr>
            </w:pPr>
          </w:p>
        </w:tc>
      </w:tr>
      <w:tr>
        <w:trPr>
          <w:trHeight w:val="239"/>
        </w:trPr>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administrative and other</w:t>
            </w: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6,606</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5,315</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19,680</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15,209</w:t>
            </w:r>
          </w:p>
        </w:tc>
        <w:tc>
          <w:tcPr>
            <w:tcW w:w="100" w:type="dxa"/>
            <w:vAlign w:val="bottom"/>
          </w:tcPr>
          <w:p>
            <w:pPr>
              <w:spacing w:after="0"/>
              <w:rPr>
                <w:sz w:val="20"/>
                <w:szCs w:val="20"/>
                <w:color w:val="auto"/>
              </w:rPr>
            </w:pPr>
          </w:p>
        </w:tc>
      </w:tr>
      <w:tr>
        <w:trPr>
          <w:trHeight w:val="247"/>
        </w:trPr>
        <w:tc>
          <w:tcPr>
            <w:tcW w:w="6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Contingent consideration expense</w:t>
            </w:r>
          </w:p>
        </w:tc>
        <w:tc>
          <w:tcPr>
            <w:tcW w:w="16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3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shd w:val="clear" w:color="auto" w:fill="CFF0FC"/>
          </w:tcPr>
          <w:p>
            <w:pPr>
              <w:spacing w:after="0"/>
              <w:rPr>
                <w:sz w:val="21"/>
                <w:szCs w:val="21"/>
                <w:color w:val="auto"/>
              </w:rPr>
            </w:pPr>
          </w:p>
        </w:tc>
      </w:tr>
      <w:tr>
        <w:trPr>
          <w:trHeight w:val="239"/>
        </w:trPr>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6,437</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7,319</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19,312</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21,893</w:t>
            </w:r>
          </w:p>
        </w:tc>
        <w:tc>
          <w:tcPr>
            <w:tcW w:w="100" w:type="dxa"/>
            <w:vAlign w:val="bottom"/>
          </w:tcPr>
          <w:p>
            <w:pPr>
              <w:spacing w:after="0"/>
              <w:rPr>
                <w:sz w:val="20"/>
                <w:szCs w:val="20"/>
                <w:color w:val="auto"/>
              </w:rPr>
            </w:pPr>
          </w:p>
        </w:tc>
      </w:tr>
      <w:tr>
        <w:trPr>
          <w:trHeight w:val="243"/>
        </w:trPr>
        <w:tc>
          <w:tcPr>
            <w:tcW w:w="69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Strategic alliance expense</w:t>
            </w:r>
          </w:p>
        </w:tc>
        <w:tc>
          <w:tcPr>
            <w:tcW w:w="16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3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2,153</w:t>
            </w:r>
          </w:p>
        </w:tc>
        <w:tc>
          <w:tcPr>
            <w:tcW w:w="3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65,417</w:t>
            </w:r>
          </w:p>
        </w:tc>
        <w:tc>
          <w:tcPr>
            <w:tcW w:w="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58,559</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173,670</w:t>
            </w: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163,089</w:t>
            </w:r>
          </w:p>
        </w:tc>
        <w:tc>
          <w:tcPr>
            <w:tcW w:w="100" w:type="dxa"/>
            <w:vAlign w:val="bottom"/>
          </w:tcPr>
          <w:p>
            <w:pPr>
              <w:spacing w:after="0"/>
              <w:rPr>
                <w:sz w:val="20"/>
                <w:szCs w:val="20"/>
                <w:color w:val="auto"/>
              </w:rPr>
            </w:pPr>
          </w:p>
        </w:tc>
      </w:tr>
      <w:tr>
        <w:trPr>
          <w:trHeight w:val="241"/>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6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8,826</w:t>
            </w:r>
          </w:p>
        </w:tc>
        <w:tc>
          <w:tcPr>
            <w:tcW w:w="3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37,764</w:t>
            </w:r>
          </w:p>
        </w:tc>
        <w:tc>
          <w:tcPr>
            <w:tcW w:w="3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15,578</w:t>
            </w:r>
          </w:p>
        </w:tc>
        <w:tc>
          <w:tcPr>
            <w:tcW w:w="100" w:type="dxa"/>
            <w:vAlign w:val="bottom"/>
            <w:shd w:val="clear" w:color="auto" w:fill="CFF0FC"/>
          </w:tcPr>
          <w:p>
            <w:pPr>
              <w:spacing w:after="0"/>
              <w:rPr>
                <w:sz w:val="20"/>
                <w:szCs w:val="20"/>
                <w:color w:val="auto"/>
              </w:rPr>
            </w:pPr>
          </w:p>
        </w:tc>
      </w:tr>
      <w:tr>
        <w:trPr>
          <w:trHeight w:val="241"/>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6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(6,692 )</w:t>
            </w:r>
          </w:p>
        </w:tc>
        <w:tc>
          <w:tcPr>
            <w:tcW w:w="18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(5,482 )</w:t>
            </w:r>
          </w:p>
        </w:tc>
        <w:tc>
          <w:tcPr>
            <w:tcW w:w="18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(18,583 )</w:t>
            </w:r>
          </w:p>
        </w:tc>
        <w:tc>
          <w:tcPr>
            <w:tcW w:w="16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(16,080 )</w:t>
            </w:r>
          </w:p>
        </w:tc>
      </w:tr>
      <w:tr>
        <w:trPr>
          <w:trHeight w:val="263"/>
        </w:trPr>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income/(loss)</w:t>
            </w:r>
          </w:p>
        </w:tc>
        <w:tc>
          <w:tcPr>
            <w:tcW w:w="1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(1,851 )</w:t>
            </w:r>
          </w:p>
        </w:tc>
        <w:tc>
          <w:tcPr>
            <w:tcW w:w="1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(2,570 )</w:t>
            </w:r>
          </w:p>
        </w:tc>
      </w:tr>
      <w:tr>
        <w:trPr>
          <w:trHeight w:val="226"/>
        </w:trPr>
        <w:tc>
          <w:tcPr>
            <w:tcW w:w="6980" w:type="dxa"/>
            <w:vAlign w:val="bottom"/>
            <w:tcBorders>
              <w:top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other (expense)</w:t>
            </w:r>
          </w:p>
        </w:tc>
        <w:tc>
          <w:tcPr>
            <w:tcW w:w="16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(6,238</w:t>
            </w:r>
          </w:p>
        </w:tc>
        <w:tc>
          <w:tcPr>
            <w:tcW w:w="360" w:type="dxa"/>
            <w:vAlign w:val="bottom"/>
            <w:tcBorders>
              <w:top w:val="single" w:sz="8" w:color="CFF0FC"/>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(7,333</w:t>
            </w:r>
          </w:p>
        </w:tc>
        <w:tc>
          <w:tcPr>
            <w:tcW w:w="240" w:type="dxa"/>
            <w:vAlign w:val="bottom"/>
            <w:tcBorders>
              <w:top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(17,067 )</w:t>
            </w:r>
          </w:p>
        </w:tc>
        <w:tc>
          <w:tcPr>
            <w:tcW w:w="16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(18,650</w:t>
            </w:r>
          </w:p>
        </w:tc>
        <w:tc>
          <w:tcPr>
            <w:tcW w:w="10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9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48"/>
        </w:trPr>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income/(loss) before income taxes</w:t>
            </w:r>
          </w:p>
        </w:tc>
        <w:tc>
          <w:tcPr>
            <w:tcW w:w="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w:t>
            </w: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(6,950 )</w:t>
            </w: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20,697</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(3,072 )</w:t>
            </w:r>
          </w:p>
        </w:tc>
      </w:tr>
      <w:tr>
        <w:trPr>
          <w:trHeight w:val="250"/>
        </w:trPr>
        <w:tc>
          <w:tcPr>
            <w:tcW w:w="6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(1,255 )</w:t>
            </w:r>
          </w:p>
        </w:tc>
        <w:tc>
          <w:tcPr>
            <w:tcW w:w="18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(1,800 )</w:t>
            </w:r>
          </w:p>
        </w:tc>
        <w:tc>
          <w:tcPr>
            <w:tcW w:w="18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(6,731 )</w:t>
            </w:r>
          </w:p>
        </w:tc>
        <w:tc>
          <w:tcPr>
            <w:tcW w:w="16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(2,807 )</w:t>
            </w:r>
          </w:p>
        </w:tc>
      </w:tr>
      <w:tr>
        <w:trPr>
          <w:trHeight w:val="20"/>
        </w:trPr>
        <w:tc>
          <w:tcPr>
            <w:tcW w:w="6980" w:type="dxa"/>
            <w:vAlign w:val="bottom"/>
            <w:shd w:val="clear" w:color="auto" w:fill="CFF0FC"/>
          </w:tcPr>
          <w:p>
            <w:pPr>
              <w:spacing w:after="0" w:line="20" w:lineRule="exact"/>
              <w:rPr>
                <w:sz w:val="1"/>
                <w:szCs w:val="1"/>
                <w:color w:val="auto"/>
              </w:rPr>
            </w:pPr>
          </w:p>
        </w:tc>
        <w:tc>
          <w:tcPr>
            <w:tcW w:w="160" w:type="dxa"/>
            <w:vAlign w:val="bottom"/>
            <w:tcBorders>
              <w:bottom w:val="single" w:sz="8" w:color="auto"/>
            </w:tcBorders>
            <w:shd w:val="clear" w:color="auto" w:fill="CFF0FC"/>
          </w:tcPr>
          <w:p>
            <w:pPr>
              <w:spacing w:after="0" w:line="20" w:lineRule="exact"/>
              <w:rPr>
                <w:sz w:val="1"/>
                <w:szCs w:val="1"/>
                <w:color w:val="auto"/>
              </w:rPr>
            </w:pPr>
          </w:p>
        </w:tc>
        <w:tc>
          <w:tcPr>
            <w:tcW w:w="560" w:type="dxa"/>
            <w:vAlign w:val="bottom"/>
            <w:tcBorders>
              <w:bottom w:val="single" w:sz="8" w:color="auto"/>
            </w:tcBorders>
            <w:shd w:val="clear" w:color="auto" w:fill="CFF0FC"/>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80" w:type="dxa"/>
            <w:vAlign w:val="bottom"/>
            <w:tcBorders>
              <w:bottom w:val="single" w:sz="8" w:color="auto"/>
            </w:tcBorders>
            <w:shd w:val="clear" w:color="auto" w:fill="CFF0FC"/>
          </w:tcPr>
          <w:p>
            <w:pPr>
              <w:spacing w:after="0" w:line="20" w:lineRule="exact"/>
              <w:rPr>
                <w:sz w:val="1"/>
                <w:szCs w:val="1"/>
                <w:color w:val="auto"/>
              </w:rPr>
            </w:pPr>
          </w:p>
        </w:tc>
        <w:tc>
          <w:tcPr>
            <w:tcW w:w="660" w:type="dxa"/>
            <w:vAlign w:val="bottom"/>
            <w:tcBorders>
              <w:bottom w:val="single" w:sz="8" w:color="auto"/>
            </w:tcBorders>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6"/>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3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(8,750</w:t>
            </w: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13,966</w:t>
            </w:r>
          </w:p>
        </w:tc>
        <w:tc>
          <w:tcPr>
            <w:tcW w:w="3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(5,879 )</w:t>
            </w:r>
          </w:p>
        </w:tc>
      </w:tr>
      <w:tr>
        <w:trPr>
          <w:trHeight w:val="254"/>
        </w:trPr>
        <w:tc>
          <w:tcPr>
            <w:tcW w:w="69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39"/>
        </w:trPr>
        <w:tc>
          <w:tcPr>
            <w:tcW w:w="6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Less: net (income)/loss attributable to noncontrolling interests in P10 Intermediate</w:t>
            </w:r>
          </w:p>
        </w:tc>
        <w:tc>
          <w:tcPr>
            <w:tcW w:w="16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3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(546 )</w:t>
            </w:r>
          </w:p>
        </w:tc>
        <w:tc>
          <w:tcPr>
            <w:tcW w:w="16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(169 )</w:t>
            </w:r>
          </w:p>
        </w:tc>
      </w:tr>
      <w:tr>
        <w:trPr>
          <w:trHeight w:val="20"/>
        </w:trPr>
        <w:tc>
          <w:tcPr>
            <w:tcW w:w="69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8"/>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INCOME/(LOSS) ATTRIBUTABLE TO P10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3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(8,416 )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13,420</w:t>
            </w:r>
          </w:p>
        </w:tc>
        <w:tc>
          <w:tcPr>
            <w:tcW w:w="3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(6,048 )</w:t>
            </w:r>
          </w:p>
        </w:tc>
      </w:tr>
      <w:tr>
        <w:trPr>
          <w:trHeight w:val="20"/>
        </w:trPr>
        <w:tc>
          <w:tcPr>
            <w:tcW w:w="6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9"/>
        </w:trPr>
        <w:tc>
          <w:tcPr>
            <w:tcW w:w="6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6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Earnings/(loss) per share</w:t>
            </w:r>
          </w:p>
        </w:tc>
        <w:tc>
          <w:tcPr>
            <w:tcW w:w="160" w:type="dxa"/>
            <w:vAlign w:val="bottom"/>
            <w:tcBorders>
              <w:bottom w:val="single" w:sz="8" w:color="CFF0FC"/>
            </w:tcBorders>
            <w:shd w:val="clear" w:color="auto" w:fill="CFF0FC"/>
          </w:tcPr>
          <w:p>
            <w:pPr>
              <w:spacing w:after="0"/>
              <w:rPr>
                <w:sz w:val="20"/>
                <w:szCs w:val="20"/>
                <w:color w:val="auto"/>
              </w:rPr>
            </w:pPr>
          </w:p>
        </w:tc>
        <w:tc>
          <w:tcPr>
            <w:tcW w:w="56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r>
      <w:tr>
        <w:trPr>
          <w:trHeight w:val="234"/>
        </w:trPr>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 earnings/(loss) per share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3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(0.07 )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3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(0.05 )</w:t>
            </w:r>
          </w:p>
        </w:tc>
      </w:tr>
      <w:tr>
        <w:trPr>
          <w:trHeight w:val="22"/>
        </w:trPr>
        <w:tc>
          <w:tcPr>
            <w:tcW w:w="6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69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Diluted earnings/(loss) per share</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3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FF0FC"/>
            </w:tcBorders>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(0.07 )</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3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(0.05 )</w:t>
            </w:r>
          </w:p>
        </w:tc>
      </w:tr>
      <w:tr>
        <w:trPr>
          <w:trHeight w:val="211"/>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basic</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111,37</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116,235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112,954</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116,134</w:t>
            </w:r>
          </w:p>
        </w:tc>
        <w:tc>
          <w:tcPr>
            <w:tcW w:w="100" w:type="dxa"/>
            <w:vAlign w:val="bottom"/>
          </w:tcPr>
          <w:p>
            <w:pPr>
              <w:spacing w:after="0"/>
              <w:rPr>
                <w:sz w:val="18"/>
                <w:szCs w:val="18"/>
                <w:color w:val="auto"/>
              </w:rPr>
            </w:pPr>
          </w:p>
        </w:tc>
      </w:tr>
      <w:tr>
        <w:trPr>
          <w:trHeight w:val="241"/>
        </w:trPr>
        <w:tc>
          <w:tcPr>
            <w:tcW w:w="6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8"/>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diluted</w:t>
            </w: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119,27</w:t>
            </w: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116,235</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120,738</w:t>
            </w: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116,134</w:t>
            </w:r>
          </w:p>
        </w:tc>
        <w:tc>
          <w:tcPr>
            <w:tcW w:w="100" w:type="dxa"/>
            <w:vAlign w:val="bottom"/>
            <w:shd w:val="clear" w:color="auto" w:fill="CFF0FC"/>
          </w:tcPr>
          <w:p>
            <w:pPr>
              <w:spacing w:after="0"/>
              <w:rPr>
                <w:sz w:val="18"/>
                <w:szCs w:val="18"/>
                <w:color w:val="auto"/>
              </w:rPr>
            </w:pPr>
          </w:p>
        </w:tc>
      </w:tr>
      <w:tr>
        <w:trPr>
          <w:trHeight w:val="248"/>
        </w:trPr>
        <w:tc>
          <w:tcPr>
            <w:tcW w:w="69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-4448175</wp:posOffset>
            </wp:positionV>
            <wp:extent cx="768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-4448175</wp:posOffset>
            </wp:positionV>
            <wp:extent cx="774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-4448175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-4448175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-3205480</wp:posOffset>
            </wp:positionV>
            <wp:extent cx="768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-3205480</wp:posOffset>
            </wp:positionV>
            <wp:extent cx="774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-3205480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-3205480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4878705</wp:posOffset>
            </wp:positionH>
            <wp:positionV relativeFrom="paragraph">
              <wp:posOffset>-2420620</wp:posOffset>
            </wp:positionV>
            <wp:extent cx="102235" cy="1968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2235" cy="196850"/>
                    </a:xfrm>
                    <a:prstGeom prst="rect">
                      <a:avLst/>
                    </a:prstGeom>
                    <a:noFill/>
                  </pic:spPr>
                </pic:pic>
              </a:graphicData>
            </a:graphic>
          </wp:anchor>
        </w:drawing>
        <w:drawing>
          <wp:anchor simplePos="0" relativeHeight="251657728" behindDoc="1" locked="0" layoutInCell="0" allowOverlap="1">
            <wp:simplePos x="0" y="0"/>
            <wp:positionH relativeFrom="column">
              <wp:posOffset>5641340</wp:posOffset>
            </wp:positionH>
            <wp:positionV relativeFrom="paragraph">
              <wp:posOffset>-2420620</wp:posOffset>
            </wp:positionV>
            <wp:extent cx="102870" cy="1968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2870" cy="19685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-2245360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-2420620</wp:posOffset>
            </wp:positionV>
            <wp:extent cx="93980" cy="1968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-1919605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-1919605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4878705</wp:posOffset>
            </wp:positionH>
            <wp:positionV relativeFrom="paragraph">
              <wp:posOffset>-1923415</wp:posOffset>
            </wp:positionV>
            <wp:extent cx="102235" cy="1968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2235" cy="196850"/>
                    </a:xfrm>
                    <a:prstGeom prst="rect">
                      <a:avLst/>
                    </a:prstGeom>
                    <a:noFill/>
                  </pic:spPr>
                </pic:pic>
              </a:graphicData>
            </a:graphic>
          </wp:anchor>
        </w:drawing>
        <w:drawing>
          <wp:anchor simplePos="0" relativeHeight="251657728" behindDoc="1" locked="0" layoutInCell="0" allowOverlap="1">
            <wp:simplePos x="0" y="0"/>
            <wp:positionH relativeFrom="column">
              <wp:posOffset>5641340</wp:posOffset>
            </wp:positionH>
            <wp:positionV relativeFrom="paragraph">
              <wp:posOffset>-1923415</wp:posOffset>
            </wp:positionV>
            <wp:extent cx="102870" cy="1968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2870" cy="19685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-1422400</wp:posOffset>
            </wp:positionV>
            <wp:extent cx="768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-1422400</wp:posOffset>
            </wp:positionV>
            <wp:extent cx="774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-1422400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-1422400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Notes to Consolidated Financial Statements are an integral part of these statements.</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60" w:type="dxa"/>
            <w:vAlign w:val="bottom"/>
          </w:tcPr>
          <w:p>
            <w:pPr>
              <w:spacing w:after="0"/>
              <w:rPr>
                <w:sz w:val="11"/>
                <w:szCs w:val="11"/>
                <w:color w:val="auto"/>
              </w:rPr>
            </w:pPr>
          </w:p>
        </w:tc>
        <w:tc>
          <w:tcPr>
            <w:tcW w:w="1560" w:type="dxa"/>
            <w:vAlign w:val="bottom"/>
            <w:gridSpan w:val="3"/>
            <w:vMerge w:val="restart"/>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Common Stock - Class A</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940" w:type="dxa"/>
            <w:vAlign w:val="bottom"/>
            <w:gridSpan w:val="5"/>
            <w:vMerge w:val="restart"/>
          </w:tcPr>
          <w:p>
            <w:pPr>
              <w:jc w:val="right"/>
              <w:ind w:right="520"/>
              <w:spacing w:after="0"/>
              <w:rPr>
                <w:sz w:val="20"/>
                <w:szCs w:val="20"/>
                <w:color w:val="auto"/>
              </w:rPr>
            </w:pPr>
            <w:r>
              <w:rPr>
                <w:rFonts w:ascii="Times New Roman" w:cs="Times New Roman" w:eastAsia="Times New Roman" w:hAnsi="Times New Roman"/>
                <w:sz w:val="11"/>
                <w:szCs w:val="11"/>
                <w:b w:val="1"/>
                <w:bCs w:val="1"/>
                <w:color w:val="auto"/>
              </w:rPr>
              <w:t>Common Stock - Class B</w:t>
            </w:r>
          </w:p>
        </w:tc>
        <w:tc>
          <w:tcPr>
            <w:tcW w:w="1840" w:type="dxa"/>
            <w:vAlign w:val="bottom"/>
            <w:gridSpan w:val="5"/>
            <w:vMerge w:val="restart"/>
          </w:tcPr>
          <w:p>
            <w:pPr>
              <w:jc w:val="right"/>
              <w:ind w:right="640"/>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Non</w:t>
            </w: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60" w:type="dxa"/>
            <w:vAlign w:val="bottom"/>
          </w:tcPr>
          <w:p>
            <w:pPr>
              <w:spacing w:after="0"/>
              <w:rPr>
                <w:sz w:val="11"/>
                <w:szCs w:val="11"/>
                <w:color w:val="auto"/>
              </w:rPr>
            </w:pPr>
          </w:p>
        </w:tc>
        <w:tc>
          <w:tcPr>
            <w:tcW w:w="156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940" w:type="dxa"/>
            <w:vAlign w:val="bottom"/>
            <w:gridSpan w:val="5"/>
            <w:vMerge w:val="continue"/>
          </w:tcPr>
          <w:p>
            <w:pPr>
              <w:spacing w:after="0"/>
              <w:rPr>
                <w:sz w:val="11"/>
                <w:szCs w:val="11"/>
                <w:color w:val="auto"/>
              </w:rPr>
            </w:pPr>
          </w:p>
        </w:tc>
        <w:tc>
          <w:tcPr>
            <w:tcW w:w="1840" w:type="dxa"/>
            <w:vAlign w:val="bottom"/>
            <w:gridSpan w:val="5"/>
            <w:vMerge w:val="continue"/>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80" w:type="dxa"/>
            <w:vAlign w:val="bottom"/>
          </w:tcPr>
          <w:p>
            <w:pPr>
              <w:spacing w:after="0"/>
              <w:rPr>
                <w:sz w:val="11"/>
                <w:szCs w:val="11"/>
                <w:color w:val="auto"/>
              </w:rPr>
            </w:pPr>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5"/>
              </w:rPr>
              <w:t>Controlling</w:t>
            </w:r>
          </w:p>
        </w:tc>
        <w:tc>
          <w:tcPr>
            <w:tcW w:w="180" w:type="dxa"/>
            <w:vAlign w:val="bottom"/>
          </w:tcPr>
          <w:p>
            <w:pPr>
              <w:spacing w:after="0"/>
              <w:rPr>
                <w:sz w:val="11"/>
                <w:szCs w:val="11"/>
                <w:color w:val="auto"/>
              </w:rPr>
            </w:pPr>
          </w:p>
        </w:tc>
        <w:tc>
          <w:tcPr>
            <w:tcW w:w="760" w:type="dxa"/>
            <w:vAlign w:val="bottom"/>
            <w:gridSpan w:val="2"/>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39"/>
        </w:trPr>
        <w:tc>
          <w:tcPr>
            <w:tcW w:w="2060" w:type="dxa"/>
            <w:vAlign w:val="bottom"/>
          </w:tcPr>
          <w:p>
            <w:pPr>
              <w:spacing w:after="0"/>
              <w:rPr>
                <w:sz w:val="12"/>
                <w:szCs w:val="12"/>
                <w:color w:val="auto"/>
              </w:rPr>
            </w:pPr>
          </w:p>
        </w:tc>
        <w:tc>
          <w:tcPr>
            <w:tcW w:w="720" w:type="dxa"/>
            <w:vAlign w:val="bottom"/>
            <w:tcBorders>
              <w:top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Borders>
              <w:top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40" w:type="dxa"/>
            <w:vAlign w:val="bottom"/>
          </w:tcPr>
          <w:p>
            <w:pPr>
              <w:spacing w:after="0"/>
              <w:rPr>
                <w:sz w:val="12"/>
                <w:szCs w:val="12"/>
                <w:color w:val="auto"/>
              </w:rPr>
            </w:pPr>
          </w:p>
        </w:tc>
        <w:tc>
          <w:tcPr>
            <w:tcW w:w="740" w:type="dxa"/>
            <w:vAlign w:val="bottom"/>
            <w:tcBorders>
              <w:top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40" w:type="dxa"/>
            <w:vAlign w:val="bottom"/>
          </w:tcPr>
          <w:p>
            <w:pPr>
              <w:spacing w:after="0"/>
              <w:rPr>
                <w:sz w:val="12"/>
                <w:szCs w:val="12"/>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Paid-in-capital</w:t>
            </w:r>
          </w:p>
        </w:tc>
        <w:tc>
          <w:tcPr>
            <w:tcW w:w="140" w:type="dxa"/>
            <w:vAlign w:val="bottom"/>
          </w:tcPr>
          <w:p>
            <w:pPr>
              <w:spacing w:after="0"/>
              <w:rPr>
                <w:sz w:val="12"/>
                <w:szCs w:val="12"/>
                <w:color w:val="auto"/>
              </w:rPr>
            </w:pP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80" w:type="dxa"/>
            <w:vAlign w:val="bottom"/>
          </w:tcPr>
          <w:p>
            <w:pPr>
              <w:spacing w:after="0"/>
              <w:rPr>
                <w:sz w:val="12"/>
                <w:szCs w:val="12"/>
                <w:color w:val="auto"/>
              </w:rPr>
            </w:pPr>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Interst</w:t>
            </w:r>
          </w:p>
        </w:tc>
        <w:tc>
          <w:tcPr>
            <w:tcW w:w="180" w:type="dxa"/>
            <w:vAlign w:val="bottom"/>
          </w:tcPr>
          <w:p>
            <w:pPr>
              <w:spacing w:after="0"/>
              <w:rPr>
                <w:sz w:val="12"/>
                <w:szCs w:val="12"/>
                <w:color w:val="auto"/>
              </w:rPr>
            </w:pPr>
          </w:p>
        </w:tc>
        <w:tc>
          <w:tcPr>
            <w:tcW w:w="760" w:type="dxa"/>
            <w:vAlign w:val="bottom"/>
            <w:gridSpan w:val="2"/>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45"/>
        </w:trPr>
        <w:tc>
          <w:tcPr>
            <w:tcW w:w="2060" w:type="dxa"/>
            <w:vAlign w:val="bottom"/>
          </w:tcPr>
          <w:p>
            <w:pPr>
              <w:spacing w:after="0"/>
              <w:rPr>
                <w:sz w:val="12"/>
                <w:szCs w:val="12"/>
                <w:color w:val="auto"/>
              </w:rPr>
            </w:pPr>
          </w:p>
        </w:tc>
        <w:tc>
          <w:tcPr>
            <w:tcW w:w="720" w:type="dxa"/>
            <w:vAlign w:val="bottom"/>
            <w:tcBorders>
              <w:top w:val="single" w:sz="8" w:color="auto"/>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Borders>
              <w:top w:val="single" w:sz="8" w:color="auto"/>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Borders>
              <w:top w:val="single" w:sz="8" w:color="auto"/>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December 31, 2022</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42,365</w:t>
            </w:r>
          </w:p>
        </w:tc>
        <w:tc>
          <w:tcPr>
            <w:tcW w:w="260" w:type="dxa"/>
            <w:vAlign w:val="bottom"/>
            <w:shd w:val="clear" w:color="auto" w:fill="CFF0FC"/>
          </w:tcPr>
          <w:p>
            <w:pPr>
              <w:spacing w:after="0"/>
              <w:rPr>
                <w:sz w:val="15"/>
                <w:szCs w:val="15"/>
                <w:color w:val="auto"/>
              </w:rPr>
            </w:pPr>
          </w:p>
        </w:tc>
        <w:tc>
          <w:tcPr>
            <w:tcW w:w="580" w:type="dxa"/>
            <w:vAlign w:val="bottom"/>
            <w:shd w:val="clear" w:color="auto" w:fill="CFF0FC"/>
          </w:tcPr>
          <w:p>
            <w:pPr>
              <w:jc w:val="right"/>
              <w:ind w:right="466"/>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90"/>
              </w:rPr>
              <w:t>42</w:t>
            </w:r>
          </w:p>
        </w:tc>
        <w:tc>
          <w:tcPr>
            <w:tcW w:w="24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73,008</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73</w:t>
            </w:r>
          </w:p>
        </w:tc>
        <w:tc>
          <w:tcPr>
            <w:tcW w:w="24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1,061</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(9,926 )</w:t>
            </w: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628,828</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(225,879 )</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40,745</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433,883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60" w:type="dxa"/>
            <w:vAlign w:val="bottom"/>
            <w:tcBorders>
              <w:top w:val="single" w:sz="8" w:color="CFF0FC"/>
            </w:tcBorders>
          </w:tcPr>
          <w:p>
            <w:pPr>
              <w:ind w:left="60"/>
              <w:spacing w:after="0"/>
              <w:rPr>
                <w:sz w:val="20"/>
                <w:szCs w:val="20"/>
                <w:color w:val="auto"/>
              </w:rPr>
            </w:pPr>
            <w:r>
              <w:rPr>
                <w:rFonts w:ascii="Times New Roman" w:cs="Times New Roman" w:eastAsia="Times New Roman" w:hAnsi="Times New Roman"/>
                <w:sz w:val="11"/>
                <w:szCs w:val="11"/>
                <w:color w:val="auto"/>
              </w:rPr>
              <w:t>Net income</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top w:val="single" w:sz="8" w:color="CFF0FC"/>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Borders>
              <w:top w:val="single" w:sz="8" w:color="CFF0FC"/>
            </w:tcBorders>
          </w:tcPr>
          <w:p>
            <w:pPr>
              <w:spacing w:after="0"/>
              <w:rPr>
                <w:sz w:val="11"/>
                <w:szCs w:val="11"/>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top w:val="single" w:sz="8" w:color="CFF0FC"/>
            </w:tcBorders>
          </w:tcPr>
          <w:p>
            <w:pPr>
              <w:spacing w:after="0"/>
              <w:rPr>
                <w:sz w:val="11"/>
                <w:szCs w:val="11"/>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605</w:t>
            </w:r>
          </w:p>
        </w:tc>
        <w:tc>
          <w:tcPr>
            <w:tcW w:w="14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164</w:t>
            </w:r>
          </w:p>
        </w:tc>
        <w:tc>
          <w:tcPr>
            <w:tcW w:w="100" w:type="dxa"/>
            <w:vAlign w:val="bottom"/>
            <w:tcBorders>
              <w:top w:val="single" w:sz="8" w:color="CFF0FC"/>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769</w:t>
            </w: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Stock-based compensation</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3,252</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3,252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Issuance of restricted stock units</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354</w:t>
            </w: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40" w:type="dxa"/>
            <w:vAlign w:val="bottom"/>
          </w:tcPr>
          <w:p>
            <w:pPr>
              <w:spacing w:after="0"/>
              <w:rPr>
                <w:sz w:val="12"/>
                <w:szCs w:val="12"/>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60" w:type="dxa"/>
            <w:vAlign w:val="bottom"/>
            <w:shd w:val="clear" w:color="auto" w:fill="CFF0FC"/>
          </w:tcPr>
          <w:p>
            <w:pPr>
              <w:ind w:left="60"/>
              <w:spacing w:after="0" w:line="125" w:lineRule="exact"/>
              <w:rPr>
                <w:sz w:val="20"/>
                <w:szCs w:val="20"/>
                <w:color w:val="auto"/>
              </w:rPr>
            </w:pPr>
            <w:r>
              <w:rPr>
                <w:rFonts w:ascii="Times New Roman" w:cs="Times New Roman" w:eastAsia="Times New Roman" w:hAnsi="Times New Roman"/>
                <w:sz w:val="11"/>
                <w:szCs w:val="11"/>
                <w:color w:val="auto"/>
                <w:w w:val="98"/>
              </w:rPr>
              <w:t>Exchange of Class B common stock for Class</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76</w:t>
            </w:r>
          </w:p>
        </w:tc>
        <w:tc>
          <w:tcPr>
            <w:tcW w:w="2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90"/>
              </w:rPr>
              <w:t>—</w:t>
            </w:r>
          </w:p>
        </w:tc>
        <w:tc>
          <w:tcPr>
            <w:tcW w:w="1220" w:type="dxa"/>
            <w:vAlign w:val="bottom"/>
            <w:gridSpan w:val="3"/>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(76 )</w:t>
            </w:r>
          </w:p>
        </w:tc>
        <w:tc>
          <w:tcPr>
            <w:tcW w:w="120" w:type="dxa"/>
            <w:vAlign w:val="bottom"/>
            <w:shd w:val="clear" w:color="auto" w:fill="CFF0FC"/>
          </w:tcPr>
          <w:p>
            <w:pPr>
              <w:spacing w:after="0"/>
              <w:rPr>
                <w:sz w:val="10"/>
                <w:szCs w:val="10"/>
                <w:color w:val="auto"/>
              </w:rPr>
            </w:pPr>
          </w:p>
        </w:tc>
        <w:tc>
          <w:tcPr>
            <w:tcW w:w="84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7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7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7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0"/>
                <w:szCs w:val="10"/>
                <w:color w:val="auto"/>
              </w:rPr>
            </w:pPr>
          </w:p>
        </w:tc>
        <w:tc>
          <w:tcPr>
            <w:tcW w:w="7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73"/>
        </w:trPr>
        <w:tc>
          <w:tcPr>
            <w:tcW w:w="2060" w:type="dxa"/>
            <w:vAlign w:val="bottom"/>
            <w:vMerge w:val="restart"/>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A common stock</w:t>
            </w:r>
          </w:p>
        </w:tc>
        <w:tc>
          <w:tcPr>
            <w:tcW w:w="720" w:type="dxa"/>
            <w:vAlign w:val="bottom"/>
            <w:vMerge w:val="continue"/>
            <w:shd w:val="clear" w:color="auto" w:fill="CFF0FC"/>
          </w:tcPr>
          <w:p>
            <w:pPr>
              <w:spacing w:after="0"/>
              <w:rPr>
                <w:sz w:val="6"/>
                <w:szCs w:val="6"/>
                <w:color w:val="auto"/>
              </w:rPr>
            </w:pPr>
          </w:p>
        </w:tc>
        <w:tc>
          <w:tcPr>
            <w:tcW w:w="260" w:type="dxa"/>
            <w:vAlign w:val="bottom"/>
            <w:shd w:val="clear" w:color="auto" w:fill="CFF0FC"/>
          </w:tcPr>
          <w:p>
            <w:pPr>
              <w:spacing w:after="0"/>
              <w:rPr>
                <w:sz w:val="6"/>
                <w:szCs w:val="6"/>
                <w:color w:val="auto"/>
              </w:rPr>
            </w:pPr>
          </w:p>
        </w:tc>
        <w:tc>
          <w:tcPr>
            <w:tcW w:w="580" w:type="dxa"/>
            <w:vAlign w:val="bottom"/>
            <w:shd w:val="clear" w:color="auto" w:fill="CFF0FC"/>
          </w:tcPr>
          <w:p>
            <w:pPr>
              <w:spacing w:after="0"/>
              <w:rPr>
                <w:sz w:val="6"/>
                <w:szCs w:val="6"/>
                <w:color w:val="auto"/>
              </w:rPr>
            </w:pPr>
          </w:p>
        </w:tc>
        <w:tc>
          <w:tcPr>
            <w:tcW w:w="140" w:type="dxa"/>
            <w:vAlign w:val="bottom"/>
            <w:vMerge w:val="continue"/>
            <w:shd w:val="clear" w:color="auto" w:fill="CFF0FC"/>
          </w:tcPr>
          <w:p>
            <w:pPr>
              <w:spacing w:after="0"/>
              <w:rPr>
                <w:sz w:val="6"/>
                <w:szCs w:val="6"/>
                <w:color w:val="auto"/>
              </w:rPr>
            </w:pPr>
          </w:p>
        </w:tc>
        <w:tc>
          <w:tcPr>
            <w:tcW w:w="1220" w:type="dxa"/>
            <w:vAlign w:val="bottom"/>
            <w:gridSpan w:val="3"/>
            <w:vMerge w:val="continue"/>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840" w:type="dxa"/>
            <w:vAlign w:val="bottom"/>
            <w:gridSpan w:val="2"/>
            <w:vMerge w:val="continue"/>
            <w:shd w:val="clear" w:color="auto" w:fill="CFF0FC"/>
          </w:tcPr>
          <w:p>
            <w:pPr>
              <w:spacing w:after="0"/>
              <w:rPr>
                <w:sz w:val="6"/>
                <w:szCs w:val="6"/>
                <w:color w:val="auto"/>
              </w:rPr>
            </w:pPr>
          </w:p>
        </w:tc>
        <w:tc>
          <w:tcPr>
            <w:tcW w:w="740" w:type="dxa"/>
            <w:vAlign w:val="bottom"/>
            <w:vMerge w:val="continue"/>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740" w:type="dxa"/>
            <w:vAlign w:val="bottom"/>
            <w:gridSpan w:val="2"/>
            <w:vMerge w:val="continue"/>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760" w:type="dxa"/>
            <w:vAlign w:val="bottom"/>
            <w:gridSpan w:val="2"/>
            <w:vMerge w:val="continue"/>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720" w:type="dxa"/>
            <w:vAlign w:val="bottom"/>
            <w:gridSpan w:val="2"/>
            <w:vMerge w:val="continue"/>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740" w:type="dxa"/>
            <w:vAlign w:val="bottom"/>
            <w:gridSpan w:val="2"/>
            <w:vMerge w:val="continue"/>
            <w:shd w:val="clear" w:color="auto" w:fill="CFF0FC"/>
          </w:tcPr>
          <w:p>
            <w:pPr>
              <w:spacing w:after="0"/>
              <w:rPr>
                <w:sz w:val="6"/>
                <w:szCs w:val="6"/>
                <w:color w:val="auto"/>
              </w:rPr>
            </w:pPr>
          </w:p>
        </w:tc>
        <w:tc>
          <w:tcPr>
            <w:tcW w:w="180" w:type="dxa"/>
            <w:vAlign w:val="bottom"/>
            <w:shd w:val="clear" w:color="auto" w:fill="CFF0FC"/>
          </w:tcPr>
          <w:p>
            <w:pPr>
              <w:spacing w:after="0"/>
              <w:rPr>
                <w:sz w:val="6"/>
                <w:szCs w:val="6"/>
                <w:color w:val="auto"/>
              </w:rPr>
            </w:pPr>
          </w:p>
        </w:tc>
        <w:tc>
          <w:tcPr>
            <w:tcW w:w="760" w:type="dxa"/>
            <w:vAlign w:val="bottom"/>
            <w:gridSpan w:val="2"/>
            <w:vMerge w:val="continue"/>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76"/>
        </w:trPr>
        <w:tc>
          <w:tcPr>
            <w:tcW w:w="2060" w:type="dxa"/>
            <w:vAlign w:val="bottom"/>
            <w:vMerge w:val="continue"/>
            <w:shd w:val="clear" w:color="auto" w:fill="CFF0FC"/>
          </w:tcPr>
          <w:p>
            <w:pPr>
              <w:spacing w:after="0"/>
              <w:rPr>
                <w:sz w:val="6"/>
                <w:szCs w:val="6"/>
                <w:color w:val="auto"/>
              </w:rPr>
            </w:pPr>
          </w:p>
        </w:tc>
        <w:tc>
          <w:tcPr>
            <w:tcW w:w="720" w:type="dxa"/>
            <w:vAlign w:val="bottom"/>
            <w:shd w:val="clear" w:color="auto" w:fill="CFF0FC"/>
          </w:tcPr>
          <w:p>
            <w:pPr>
              <w:spacing w:after="0"/>
              <w:rPr>
                <w:sz w:val="6"/>
                <w:szCs w:val="6"/>
                <w:color w:val="auto"/>
              </w:rPr>
            </w:pPr>
          </w:p>
        </w:tc>
        <w:tc>
          <w:tcPr>
            <w:tcW w:w="260" w:type="dxa"/>
            <w:vAlign w:val="bottom"/>
            <w:shd w:val="clear" w:color="auto" w:fill="CFF0FC"/>
          </w:tcPr>
          <w:p>
            <w:pPr>
              <w:spacing w:after="0"/>
              <w:rPr>
                <w:sz w:val="6"/>
                <w:szCs w:val="6"/>
                <w:color w:val="auto"/>
              </w:rPr>
            </w:pPr>
          </w:p>
        </w:tc>
        <w:tc>
          <w:tcPr>
            <w:tcW w:w="58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74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60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74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60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64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58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64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180" w:type="dxa"/>
            <w:vAlign w:val="bottom"/>
            <w:shd w:val="clear" w:color="auto" w:fill="CFF0FC"/>
          </w:tcPr>
          <w:p>
            <w:pPr>
              <w:spacing w:after="0"/>
              <w:rPr>
                <w:sz w:val="6"/>
                <w:szCs w:val="6"/>
                <w:color w:val="auto"/>
              </w:rPr>
            </w:pPr>
          </w:p>
        </w:tc>
        <w:tc>
          <w:tcPr>
            <w:tcW w:w="66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060" w:type="dxa"/>
            <w:vAlign w:val="bottom"/>
          </w:tcPr>
          <w:p>
            <w:pPr>
              <w:ind w:left="60"/>
              <w:spacing w:after="0" w:line="122" w:lineRule="exact"/>
              <w:rPr>
                <w:sz w:val="20"/>
                <w:szCs w:val="20"/>
                <w:color w:val="auto"/>
              </w:rPr>
            </w:pPr>
            <w:r>
              <w:rPr>
                <w:rFonts w:ascii="Times New Roman" w:cs="Times New Roman" w:eastAsia="Times New Roman" w:hAnsi="Times New Roman"/>
                <w:sz w:val="11"/>
                <w:szCs w:val="11"/>
                <w:color w:val="auto"/>
              </w:rPr>
              <w:t>Exercise of stock options (net of tax and</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294</w:t>
            </w: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0"/>
                <w:szCs w:val="10"/>
                <w:color w:val="auto"/>
              </w:rPr>
            </w:pPr>
          </w:p>
        </w:tc>
        <w:tc>
          <w:tcPr>
            <w:tcW w:w="9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73"/>
        </w:trPr>
        <w:tc>
          <w:tcPr>
            <w:tcW w:w="206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auto"/>
              </w:rPr>
              <w:t>strike price)</w:t>
            </w:r>
          </w:p>
        </w:tc>
        <w:tc>
          <w:tcPr>
            <w:tcW w:w="7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206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6"/>
        </w:trPr>
        <w:tc>
          <w:tcPr>
            <w:tcW w:w="2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Repurchase of common stock for employee</w:t>
            </w:r>
          </w:p>
        </w:tc>
        <w:tc>
          <w:tcPr>
            <w:tcW w:w="7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60" w:type="dxa"/>
            <w:vAlign w:val="bottom"/>
            <w:shd w:val="clear" w:color="auto" w:fill="CFF0FC"/>
          </w:tcPr>
          <w:p>
            <w:pPr>
              <w:ind w:left="60"/>
              <w:spacing w:after="0" w:line="122" w:lineRule="exact"/>
              <w:rPr>
                <w:sz w:val="20"/>
                <w:szCs w:val="20"/>
                <w:color w:val="auto"/>
              </w:rPr>
            </w:pPr>
            <w:r>
              <w:rPr>
                <w:rFonts w:ascii="Times New Roman" w:cs="Times New Roman" w:eastAsia="Times New Roman" w:hAnsi="Times New Roman"/>
                <w:sz w:val="11"/>
                <w:szCs w:val="11"/>
                <w:color w:val="auto"/>
              </w:rPr>
              <w:t>tax witholding and exercised stock option</w:t>
            </w:r>
          </w:p>
        </w:tc>
        <w:tc>
          <w:tcPr>
            <w:tcW w:w="7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shd w:val="clear" w:color="auto" w:fill="CFF0FC"/>
          </w:tcPr>
          <w:p>
            <w:pPr>
              <w:spacing w:after="0"/>
              <w:rPr>
                <w:sz w:val="10"/>
                <w:szCs w:val="10"/>
                <w:color w:val="auto"/>
              </w:rPr>
            </w:pPr>
          </w:p>
        </w:tc>
        <w:tc>
          <w:tcPr>
            <w:tcW w:w="980" w:type="dxa"/>
            <w:vAlign w:val="bottom"/>
            <w:gridSpan w:val="2"/>
            <w:shd w:val="clear" w:color="auto" w:fill="CFF0FC"/>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84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76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(3,038 )</w:t>
            </w:r>
          </w:p>
        </w:tc>
        <w:tc>
          <w:tcPr>
            <w:tcW w:w="14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0"/>
                <w:szCs w:val="10"/>
                <w:color w:val="auto"/>
              </w:rPr>
            </w:pPr>
          </w:p>
        </w:tc>
        <w:tc>
          <w:tcPr>
            <w:tcW w:w="760" w:type="dxa"/>
            <w:vAlign w:val="bottom"/>
            <w:gridSpan w:val="2"/>
            <w:shd w:val="clear" w:color="auto" w:fill="CFF0FC"/>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(3,038 )</w:t>
            </w:r>
          </w:p>
        </w:tc>
        <w:tc>
          <w:tcPr>
            <w:tcW w:w="0" w:type="dxa"/>
            <w:vAlign w:val="bottom"/>
          </w:tcPr>
          <w:p>
            <w:pPr>
              <w:spacing w:after="0"/>
              <w:rPr>
                <w:sz w:val="1"/>
                <w:szCs w:val="1"/>
                <w:color w:val="auto"/>
              </w:rPr>
            </w:pPr>
          </w:p>
        </w:tc>
      </w:tr>
      <w:tr>
        <w:trPr>
          <w:trHeight w:val="149"/>
        </w:trPr>
        <w:tc>
          <w:tcPr>
            <w:tcW w:w="2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strike price</w:t>
            </w:r>
          </w:p>
        </w:tc>
        <w:tc>
          <w:tcPr>
            <w:tcW w:w="7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Stock repurchase</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0"/>
              </w:rPr>
              <w:t>—</w:t>
            </w:r>
          </w:p>
        </w:tc>
        <w:tc>
          <w:tcPr>
            <w:tcW w:w="122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(100 )</w:t>
            </w:r>
          </w:p>
        </w:tc>
        <w:tc>
          <w:tcPr>
            <w:tcW w:w="12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(851 )</w:t>
            </w:r>
          </w:p>
        </w:tc>
        <w:tc>
          <w:tcPr>
            <w:tcW w:w="14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(851 )</w:t>
            </w:r>
          </w:p>
        </w:tc>
        <w:tc>
          <w:tcPr>
            <w:tcW w:w="0" w:type="dxa"/>
            <w:vAlign w:val="bottom"/>
          </w:tcPr>
          <w:p>
            <w:pPr>
              <w:spacing w:after="0"/>
              <w:rPr>
                <w:sz w:val="1"/>
                <w:szCs w:val="1"/>
                <w:color w:val="auto"/>
              </w:rPr>
            </w:pPr>
          </w:p>
        </w:tc>
      </w:tr>
      <w:tr>
        <w:trPr>
          <w:trHeight w:val="125"/>
        </w:trPr>
        <w:tc>
          <w:tcPr>
            <w:tcW w:w="2060" w:type="dxa"/>
            <w:vAlign w:val="bottom"/>
            <w:shd w:val="clear" w:color="auto" w:fill="CFF0FC"/>
          </w:tcPr>
          <w:p>
            <w:pPr>
              <w:ind w:left="60"/>
              <w:spacing w:after="0" w:line="125" w:lineRule="exact"/>
              <w:rPr>
                <w:sz w:val="20"/>
                <w:szCs w:val="20"/>
                <w:color w:val="auto"/>
              </w:rPr>
            </w:pPr>
            <w:r>
              <w:rPr>
                <w:rFonts w:ascii="Times New Roman" w:cs="Times New Roman" w:eastAsia="Times New Roman" w:hAnsi="Times New Roman"/>
                <w:sz w:val="11"/>
                <w:szCs w:val="11"/>
                <w:color w:val="auto"/>
              </w:rPr>
              <w:t>Accrual for excise tax associated with stock</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shd w:val="clear" w:color="auto" w:fill="CFF0FC"/>
          </w:tcPr>
          <w:p>
            <w:pPr>
              <w:spacing w:after="0"/>
              <w:rPr>
                <w:sz w:val="10"/>
                <w:szCs w:val="10"/>
                <w:color w:val="auto"/>
              </w:rPr>
            </w:pPr>
          </w:p>
        </w:tc>
        <w:tc>
          <w:tcPr>
            <w:tcW w:w="98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84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76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(7 )</w:t>
            </w:r>
          </w:p>
        </w:tc>
        <w:tc>
          <w:tcPr>
            <w:tcW w:w="140" w:type="dxa"/>
            <w:vAlign w:val="bottom"/>
            <w:shd w:val="clear" w:color="auto" w:fill="CFF0FC"/>
          </w:tcPr>
          <w:p>
            <w:pPr>
              <w:spacing w:after="0"/>
              <w:rPr>
                <w:sz w:val="10"/>
                <w:szCs w:val="10"/>
                <w:color w:val="auto"/>
              </w:rPr>
            </w:pPr>
          </w:p>
        </w:tc>
        <w:tc>
          <w:tcPr>
            <w:tcW w:w="7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7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0"/>
                <w:szCs w:val="10"/>
                <w:color w:val="auto"/>
              </w:rPr>
            </w:pPr>
          </w:p>
        </w:tc>
        <w:tc>
          <w:tcPr>
            <w:tcW w:w="76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(7 )</w:t>
            </w:r>
          </w:p>
        </w:tc>
        <w:tc>
          <w:tcPr>
            <w:tcW w:w="0" w:type="dxa"/>
            <w:vAlign w:val="bottom"/>
          </w:tcPr>
          <w:p>
            <w:pPr>
              <w:spacing w:after="0"/>
              <w:rPr>
                <w:sz w:val="1"/>
                <w:szCs w:val="1"/>
                <w:color w:val="auto"/>
              </w:rPr>
            </w:pPr>
          </w:p>
        </w:tc>
      </w:tr>
      <w:tr>
        <w:trPr>
          <w:trHeight w:val="73"/>
        </w:trPr>
        <w:tc>
          <w:tcPr>
            <w:tcW w:w="2060" w:type="dxa"/>
            <w:vAlign w:val="bottom"/>
            <w:vMerge w:val="restart"/>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repurchases</w:t>
            </w:r>
          </w:p>
        </w:tc>
        <w:tc>
          <w:tcPr>
            <w:tcW w:w="720" w:type="dxa"/>
            <w:vAlign w:val="bottom"/>
            <w:vMerge w:val="continue"/>
            <w:shd w:val="clear" w:color="auto" w:fill="CFF0FC"/>
          </w:tcPr>
          <w:p>
            <w:pPr>
              <w:spacing w:after="0"/>
              <w:rPr>
                <w:sz w:val="6"/>
                <w:szCs w:val="6"/>
                <w:color w:val="auto"/>
              </w:rPr>
            </w:pPr>
          </w:p>
        </w:tc>
        <w:tc>
          <w:tcPr>
            <w:tcW w:w="260" w:type="dxa"/>
            <w:vAlign w:val="bottom"/>
            <w:shd w:val="clear" w:color="auto" w:fill="CFF0FC"/>
          </w:tcPr>
          <w:p>
            <w:pPr>
              <w:spacing w:after="0"/>
              <w:rPr>
                <w:sz w:val="6"/>
                <w:szCs w:val="6"/>
                <w:color w:val="auto"/>
              </w:rPr>
            </w:pPr>
          </w:p>
        </w:tc>
        <w:tc>
          <w:tcPr>
            <w:tcW w:w="580" w:type="dxa"/>
            <w:vAlign w:val="bottom"/>
            <w:shd w:val="clear" w:color="auto" w:fill="CFF0FC"/>
          </w:tcPr>
          <w:p>
            <w:pPr>
              <w:spacing w:after="0"/>
              <w:rPr>
                <w:sz w:val="6"/>
                <w:szCs w:val="6"/>
                <w:color w:val="auto"/>
              </w:rPr>
            </w:pPr>
          </w:p>
        </w:tc>
        <w:tc>
          <w:tcPr>
            <w:tcW w:w="140" w:type="dxa"/>
            <w:vAlign w:val="bottom"/>
            <w:vMerge w:val="continue"/>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980" w:type="dxa"/>
            <w:vAlign w:val="bottom"/>
            <w:gridSpan w:val="2"/>
            <w:vMerge w:val="continue"/>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840" w:type="dxa"/>
            <w:vAlign w:val="bottom"/>
            <w:gridSpan w:val="2"/>
            <w:vMerge w:val="continue"/>
            <w:shd w:val="clear" w:color="auto" w:fill="CFF0FC"/>
          </w:tcPr>
          <w:p>
            <w:pPr>
              <w:spacing w:after="0"/>
              <w:rPr>
                <w:sz w:val="6"/>
                <w:szCs w:val="6"/>
                <w:color w:val="auto"/>
              </w:rPr>
            </w:pPr>
          </w:p>
        </w:tc>
        <w:tc>
          <w:tcPr>
            <w:tcW w:w="740" w:type="dxa"/>
            <w:vAlign w:val="bottom"/>
            <w:vMerge w:val="continue"/>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740" w:type="dxa"/>
            <w:vAlign w:val="bottom"/>
            <w:gridSpan w:val="2"/>
            <w:vMerge w:val="continue"/>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760" w:type="dxa"/>
            <w:vAlign w:val="bottom"/>
            <w:gridSpan w:val="2"/>
            <w:vMerge w:val="continue"/>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720" w:type="dxa"/>
            <w:vAlign w:val="bottom"/>
            <w:gridSpan w:val="2"/>
            <w:vMerge w:val="continue"/>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740" w:type="dxa"/>
            <w:vAlign w:val="bottom"/>
            <w:gridSpan w:val="2"/>
            <w:vMerge w:val="continue"/>
            <w:shd w:val="clear" w:color="auto" w:fill="CFF0FC"/>
          </w:tcPr>
          <w:p>
            <w:pPr>
              <w:spacing w:after="0"/>
              <w:rPr>
                <w:sz w:val="6"/>
                <w:szCs w:val="6"/>
                <w:color w:val="auto"/>
              </w:rPr>
            </w:pPr>
          </w:p>
        </w:tc>
        <w:tc>
          <w:tcPr>
            <w:tcW w:w="180" w:type="dxa"/>
            <w:vAlign w:val="bottom"/>
            <w:shd w:val="clear" w:color="auto" w:fill="CFF0FC"/>
          </w:tcPr>
          <w:p>
            <w:pPr>
              <w:spacing w:after="0"/>
              <w:rPr>
                <w:sz w:val="6"/>
                <w:szCs w:val="6"/>
                <w:color w:val="auto"/>
              </w:rPr>
            </w:pPr>
          </w:p>
        </w:tc>
        <w:tc>
          <w:tcPr>
            <w:tcW w:w="760" w:type="dxa"/>
            <w:vAlign w:val="bottom"/>
            <w:gridSpan w:val="2"/>
            <w:vMerge w:val="continue"/>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76"/>
        </w:trPr>
        <w:tc>
          <w:tcPr>
            <w:tcW w:w="2060" w:type="dxa"/>
            <w:vAlign w:val="bottom"/>
            <w:vMerge w:val="continue"/>
            <w:shd w:val="clear" w:color="auto" w:fill="CFF0FC"/>
          </w:tcPr>
          <w:p>
            <w:pPr>
              <w:spacing w:after="0"/>
              <w:rPr>
                <w:sz w:val="6"/>
                <w:szCs w:val="6"/>
                <w:color w:val="auto"/>
              </w:rPr>
            </w:pPr>
          </w:p>
        </w:tc>
        <w:tc>
          <w:tcPr>
            <w:tcW w:w="720" w:type="dxa"/>
            <w:vAlign w:val="bottom"/>
            <w:shd w:val="clear" w:color="auto" w:fill="CFF0FC"/>
          </w:tcPr>
          <w:p>
            <w:pPr>
              <w:spacing w:after="0"/>
              <w:rPr>
                <w:sz w:val="6"/>
                <w:szCs w:val="6"/>
                <w:color w:val="auto"/>
              </w:rPr>
            </w:pPr>
          </w:p>
        </w:tc>
        <w:tc>
          <w:tcPr>
            <w:tcW w:w="260" w:type="dxa"/>
            <w:vAlign w:val="bottom"/>
            <w:shd w:val="clear" w:color="auto" w:fill="CFF0FC"/>
          </w:tcPr>
          <w:p>
            <w:pPr>
              <w:spacing w:after="0"/>
              <w:rPr>
                <w:sz w:val="6"/>
                <w:szCs w:val="6"/>
                <w:color w:val="auto"/>
              </w:rPr>
            </w:pPr>
          </w:p>
        </w:tc>
        <w:tc>
          <w:tcPr>
            <w:tcW w:w="58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74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60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74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60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64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58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64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180" w:type="dxa"/>
            <w:vAlign w:val="bottom"/>
            <w:shd w:val="clear" w:color="auto" w:fill="CFF0FC"/>
          </w:tcPr>
          <w:p>
            <w:pPr>
              <w:spacing w:after="0"/>
              <w:rPr>
                <w:sz w:val="6"/>
                <w:szCs w:val="6"/>
                <w:color w:val="auto"/>
              </w:rPr>
            </w:pPr>
          </w:p>
        </w:tc>
        <w:tc>
          <w:tcPr>
            <w:tcW w:w="66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20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Distribution to non-controlling interests, net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2"/>
                <w:szCs w:val="12"/>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(122 )</w:t>
            </w:r>
          </w:p>
        </w:tc>
        <w:tc>
          <w:tcPr>
            <w:tcW w:w="180" w:type="dxa"/>
            <w:vAlign w:val="bottom"/>
          </w:tcPr>
          <w:p>
            <w:pPr>
              <w:spacing w:after="0"/>
              <w:rPr>
                <w:sz w:val="12"/>
                <w:szCs w:val="12"/>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(122 )</w:t>
            </w:r>
          </w:p>
        </w:tc>
        <w:tc>
          <w:tcPr>
            <w:tcW w:w="0" w:type="dxa"/>
            <w:vAlign w:val="bottom"/>
          </w:tcPr>
          <w:p>
            <w:pPr>
              <w:spacing w:after="0"/>
              <w:rPr>
                <w:sz w:val="1"/>
                <w:szCs w:val="1"/>
                <w:color w:val="auto"/>
              </w:rPr>
            </w:pPr>
          </w:p>
        </w:tc>
      </w:tr>
      <w:tr>
        <w:trPr>
          <w:trHeight w:val="153"/>
        </w:trPr>
        <w:tc>
          <w:tcPr>
            <w:tcW w:w="2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Dividends declared</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(1 )</w:t>
            </w:r>
          </w:p>
        </w:tc>
        <w:tc>
          <w:tcPr>
            <w:tcW w:w="14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(1 )</w:t>
            </w:r>
          </w:p>
        </w:tc>
        <w:tc>
          <w:tcPr>
            <w:tcW w:w="0" w:type="dxa"/>
            <w:vAlign w:val="bottom"/>
          </w:tcPr>
          <w:p>
            <w:pPr>
              <w:spacing w:after="0"/>
              <w:rPr>
                <w:sz w:val="1"/>
                <w:szCs w:val="1"/>
                <w:color w:val="auto"/>
              </w:rPr>
            </w:pPr>
          </w:p>
        </w:tc>
      </w:tr>
      <w:tr>
        <w:trPr>
          <w:trHeight w:val="144"/>
        </w:trPr>
        <w:tc>
          <w:tcPr>
            <w:tcW w:w="20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Dividends paid per share $0.03</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(3,477 )</w:t>
            </w:r>
          </w:p>
        </w:tc>
        <w:tc>
          <w:tcPr>
            <w:tcW w:w="14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(3,477 )</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March 31, 2023</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43,089</w:t>
            </w:r>
          </w:p>
        </w:tc>
        <w:tc>
          <w:tcPr>
            <w:tcW w:w="260" w:type="dxa"/>
            <w:vAlign w:val="bottom"/>
            <w:shd w:val="clear" w:color="auto" w:fill="CFF0FC"/>
          </w:tcPr>
          <w:p>
            <w:pPr>
              <w:spacing w:after="0"/>
              <w:rPr>
                <w:sz w:val="15"/>
                <w:szCs w:val="15"/>
                <w:color w:val="auto"/>
              </w:rPr>
            </w:pPr>
          </w:p>
        </w:tc>
        <w:tc>
          <w:tcPr>
            <w:tcW w:w="580" w:type="dxa"/>
            <w:vAlign w:val="bottom"/>
            <w:shd w:val="clear" w:color="auto" w:fill="CFF0FC"/>
          </w:tcPr>
          <w:p>
            <w:pPr>
              <w:jc w:val="right"/>
              <w:ind w:right="466"/>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90"/>
              </w:rPr>
              <w:t>43</w:t>
            </w:r>
          </w:p>
        </w:tc>
        <w:tc>
          <w:tcPr>
            <w:tcW w:w="24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72,832</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73</w:t>
            </w:r>
          </w:p>
        </w:tc>
        <w:tc>
          <w:tcPr>
            <w:tcW w:w="24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1,061</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(9,926 )</w:t>
            </w: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624,706</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(225,274 )</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40,787</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430,409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60" w:type="dxa"/>
            <w:vAlign w:val="bottom"/>
            <w:tcBorders>
              <w:top w:val="single" w:sz="8" w:color="CFF0FC"/>
            </w:tcBorders>
          </w:tcPr>
          <w:p>
            <w:pPr>
              <w:ind w:left="60"/>
              <w:spacing w:after="0"/>
              <w:rPr>
                <w:sz w:val="20"/>
                <w:szCs w:val="20"/>
                <w:color w:val="auto"/>
              </w:rPr>
            </w:pPr>
            <w:r>
              <w:rPr>
                <w:rFonts w:ascii="Times New Roman" w:cs="Times New Roman" w:eastAsia="Times New Roman" w:hAnsi="Times New Roman"/>
                <w:sz w:val="11"/>
                <w:szCs w:val="11"/>
                <w:color w:val="auto"/>
              </w:rPr>
              <w:t>Net income</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top w:val="single" w:sz="8" w:color="CFF0FC"/>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Borders>
              <w:top w:val="single" w:sz="8" w:color="CFF0FC"/>
            </w:tcBorders>
          </w:tcPr>
          <w:p>
            <w:pPr>
              <w:spacing w:after="0"/>
              <w:rPr>
                <w:sz w:val="11"/>
                <w:szCs w:val="11"/>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top w:val="single" w:sz="8" w:color="CFF0FC"/>
            </w:tcBorders>
          </w:tcPr>
          <w:p>
            <w:pPr>
              <w:spacing w:after="0"/>
              <w:rPr>
                <w:sz w:val="11"/>
                <w:szCs w:val="11"/>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1,763</w:t>
            </w:r>
          </w:p>
        </w:tc>
        <w:tc>
          <w:tcPr>
            <w:tcW w:w="14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339</w:t>
            </w:r>
          </w:p>
        </w:tc>
        <w:tc>
          <w:tcPr>
            <w:tcW w:w="100" w:type="dxa"/>
            <w:vAlign w:val="bottom"/>
            <w:tcBorders>
              <w:top w:val="single" w:sz="8" w:color="CFF0FC"/>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2,102</w:t>
            </w: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Stock-based compensation</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4,162</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4,162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Issuance of restricted stock units</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230</w:t>
            </w: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2"/>
                <w:szCs w:val="12"/>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4,285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4,285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60" w:type="dxa"/>
            <w:vAlign w:val="bottom"/>
            <w:shd w:val="clear" w:color="auto" w:fill="CFF0FC"/>
          </w:tcPr>
          <w:p>
            <w:pPr>
              <w:ind w:left="60"/>
              <w:spacing w:after="0" w:line="125" w:lineRule="exact"/>
              <w:rPr>
                <w:sz w:val="20"/>
                <w:szCs w:val="20"/>
                <w:color w:val="auto"/>
              </w:rPr>
            </w:pPr>
            <w:r>
              <w:rPr>
                <w:rFonts w:ascii="Times New Roman" w:cs="Times New Roman" w:eastAsia="Times New Roman" w:hAnsi="Times New Roman"/>
                <w:sz w:val="11"/>
                <w:szCs w:val="11"/>
                <w:color w:val="auto"/>
                <w:w w:val="98"/>
              </w:rPr>
              <w:t>Exchange of Class B common stock for Class</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451</w:t>
            </w:r>
          </w:p>
        </w:tc>
        <w:tc>
          <w:tcPr>
            <w:tcW w:w="2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220" w:type="dxa"/>
            <w:vAlign w:val="bottom"/>
            <w:gridSpan w:val="3"/>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(451 )</w:t>
            </w:r>
          </w:p>
        </w:tc>
        <w:tc>
          <w:tcPr>
            <w:tcW w:w="120" w:type="dxa"/>
            <w:vAlign w:val="bottom"/>
            <w:shd w:val="clear" w:color="auto" w:fill="CFF0FC"/>
          </w:tcPr>
          <w:p>
            <w:pPr>
              <w:spacing w:after="0"/>
              <w:rPr>
                <w:sz w:val="10"/>
                <w:szCs w:val="10"/>
                <w:color w:val="auto"/>
              </w:rPr>
            </w:pPr>
          </w:p>
        </w:tc>
        <w:tc>
          <w:tcPr>
            <w:tcW w:w="84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(1 )</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7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7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7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0"/>
                <w:szCs w:val="10"/>
                <w:color w:val="auto"/>
              </w:rPr>
            </w:pPr>
          </w:p>
        </w:tc>
        <w:tc>
          <w:tcPr>
            <w:tcW w:w="7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73"/>
        </w:trPr>
        <w:tc>
          <w:tcPr>
            <w:tcW w:w="2060" w:type="dxa"/>
            <w:vAlign w:val="bottom"/>
            <w:vMerge w:val="restart"/>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A common stock</w:t>
            </w:r>
          </w:p>
        </w:tc>
        <w:tc>
          <w:tcPr>
            <w:tcW w:w="720" w:type="dxa"/>
            <w:vAlign w:val="bottom"/>
            <w:vMerge w:val="continue"/>
            <w:shd w:val="clear" w:color="auto" w:fill="CFF0FC"/>
          </w:tcPr>
          <w:p>
            <w:pPr>
              <w:spacing w:after="0"/>
              <w:rPr>
                <w:sz w:val="6"/>
                <w:szCs w:val="6"/>
                <w:color w:val="auto"/>
              </w:rPr>
            </w:pPr>
          </w:p>
        </w:tc>
        <w:tc>
          <w:tcPr>
            <w:tcW w:w="260" w:type="dxa"/>
            <w:vAlign w:val="bottom"/>
            <w:shd w:val="clear" w:color="auto" w:fill="CFF0FC"/>
          </w:tcPr>
          <w:p>
            <w:pPr>
              <w:spacing w:after="0"/>
              <w:rPr>
                <w:sz w:val="6"/>
                <w:szCs w:val="6"/>
                <w:color w:val="auto"/>
              </w:rPr>
            </w:pPr>
          </w:p>
        </w:tc>
        <w:tc>
          <w:tcPr>
            <w:tcW w:w="580" w:type="dxa"/>
            <w:vAlign w:val="bottom"/>
            <w:shd w:val="clear" w:color="auto" w:fill="CFF0FC"/>
          </w:tcPr>
          <w:p>
            <w:pPr>
              <w:spacing w:after="0"/>
              <w:rPr>
                <w:sz w:val="6"/>
                <w:szCs w:val="6"/>
                <w:color w:val="auto"/>
              </w:rPr>
            </w:pPr>
          </w:p>
        </w:tc>
        <w:tc>
          <w:tcPr>
            <w:tcW w:w="140" w:type="dxa"/>
            <w:vAlign w:val="bottom"/>
            <w:vMerge w:val="continue"/>
            <w:shd w:val="clear" w:color="auto" w:fill="CFF0FC"/>
          </w:tcPr>
          <w:p>
            <w:pPr>
              <w:spacing w:after="0"/>
              <w:rPr>
                <w:sz w:val="6"/>
                <w:szCs w:val="6"/>
                <w:color w:val="auto"/>
              </w:rPr>
            </w:pPr>
          </w:p>
        </w:tc>
        <w:tc>
          <w:tcPr>
            <w:tcW w:w="1220" w:type="dxa"/>
            <w:vAlign w:val="bottom"/>
            <w:gridSpan w:val="3"/>
            <w:vMerge w:val="continue"/>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840" w:type="dxa"/>
            <w:vAlign w:val="bottom"/>
            <w:gridSpan w:val="2"/>
            <w:vMerge w:val="continue"/>
            <w:shd w:val="clear" w:color="auto" w:fill="CFF0FC"/>
          </w:tcPr>
          <w:p>
            <w:pPr>
              <w:spacing w:after="0"/>
              <w:rPr>
                <w:sz w:val="6"/>
                <w:szCs w:val="6"/>
                <w:color w:val="auto"/>
              </w:rPr>
            </w:pPr>
          </w:p>
        </w:tc>
        <w:tc>
          <w:tcPr>
            <w:tcW w:w="740" w:type="dxa"/>
            <w:vAlign w:val="bottom"/>
            <w:vMerge w:val="continue"/>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740" w:type="dxa"/>
            <w:vAlign w:val="bottom"/>
            <w:gridSpan w:val="2"/>
            <w:vMerge w:val="continue"/>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760" w:type="dxa"/>
            <w:vAlign w:val="bottom"/>
            <w:gridSpan w:val="2"/>
            <w:vMerge w:val="continue"/>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720" w:type="dxa"/>
            <w:vAlign w:val="bottom"/>
            <w:gridSpan w:val="2"/>
            <w:vMerge w:val="continue"/>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740" w:type="dxa"/>
            <w:vAlign w:val="bottom"/>
            <w:gridSpan w:val="2"/>
            <w:vMerge w:val="continue"/>
            <w:shd w:val="clear" w:color="auto" w:fill="CFF0FC"/>
          </w:tcPr>
          <w:p>
            <w:pPr>
              <w:spacing w:after="0"/>
              <w:rPr>
                <w:sz w:val="6"/>
                <w:szCs w:val="6"/>
                <w:color w:val="auto"/>
              </w:rPr>
            </w:pPr>
          </w:p>
        </w:tc>
        <w:tc>
          <w:tcPr>
            <w:tcW w:w="180" w:type="dxa"/>
            <w:vAlign w:val="bottom"/>
            <w:shd w:val="clear" w:color="auto" w:fill="CFF0FC"/>
          </w:tcPr>
          <w:p>
            <w:pPr>
              <w:spacing w:after="0"/>
              <w:rPr>
                <w:sz w:val="6"/>
                <w:szCs w:val="6"/>
                <w:color w:val="auto"/>
              </w:rPr>
            </w:pPr>
          </w:p>
        </w:tc>
        <w:tc>
          <w:tcPr>
            <w:tcW w:w="760" w:type="dxa"/>
            <w:vAlign w:val="bottom"/>
            <w:gridSpan w:val="2"/>
            <w:vMerge w:val="continue"/>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76"/>
        </w:trPr>
        <w:tc>
          <w:tcPr>
            <w:tcW w:w="2060" w:type="dxa"/>
            <w:vAlign w:val="bottom"/>
            <w:vMerge w:val="continue"/>
            <w:shd w:val="clear" w:color="auto" w:fill="CFF0FC"/>
          </w:tcPr>
          <w:p>
            <w:pPr>
              <w:spacing w:after="0"/>
              <w:rPr>
                <w:sz w:val="6"/>
                <w:szCs w:val="6"/>
                <w:color w:val="auto"/>
              </w:rPr>
            </w:pPr>
          </w:p>
        </w:tc>
        <w:tc>
          <w:tcPr>
            <w:tcW w:w="720" w:type="dxa"/>
            <w:vAlign w:val="bottom"/>
            <w:shd w:val="clear" w:color="auto" w:fill="CFF0FC"/>
          </w:tcPr>
          <w:p>
            <w:pPr>
              <w:spacing w:after="0"/>
              <w:rPr>
                <w:sz w:val="6"/>
                <w:szCs w:val="6"/>
                <w:color w:val="auto"/>
              </w:rPr>
            </w:pPr>
          </w:p>
        </w:tc>
        <w:tc>
          <w:tcPr>
            <w:tcW w:w="260" w:type="dxa"/>
            <w:vAlign w:val="bottom"/>
            <w:shd w:val="clear" w:color="auto" w:fill="CFF0FC"/>
          </w:tcPr>
          <w:p>
            <w:pPr>
              <w:spacing w:after="0"/>
              <w:rPr>
                <w:sz w:val="6"/>
                <w:szCs w:val="6"/>
                <w:color w:val="auto"/>
              </w:rPr>
            </w:pPr>
          </w:p>
        </w:tc>
        <w:tc>
          <w:tcPr>
            <w:tcW w:w="58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74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60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74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60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64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58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64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180" w:type="dxa"/>
            <w:vAlign w:val="bottom"/>
            <w:shd w:val="clear" w:color="auto" w:fill="CFF0FC"/>
          </w:tcPr>
          <w:p>
            <w:pPr>
              <w:spacing w:after="0"/>
              <w:rPr>
                <w:sz w:val="6"/>
                <w:szCs w:val="6"/>
                <w:color w:val="auto"/>
              </w:rPr>
            </w:pPr>
          </w:p>
        </w:tc>
        <w:tc>
          <w:tcPr>
            <w:tcW w:w="66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060" w:type="dxa"/>
            <w:vAlign w:val="bottom"/>
          </w:tcPr>
          <w:p>
            <w:pPr>
              <w:ind w:left="60"/>
              <w:spacing w:after="0" w:line="122" w:lineRule="exact"/>
              <w:rPr>
                <w:sz w:val="20"/>
                <w:szCs w:val="20"/>
                <w:color w:val="auto"/>
              </w:rPr>
            </w:pPr>
            <w:r>
              <w:rPr>
                <w:rFonts w:ascii="Times New Roman" w:cs="Times New Roman" w:eastAsia="Times New Roman" w:hAnsi="Times New Roman"/>
                <w:sz w:val="11"/>
                <w:szCs w:val="11"/>
                <w:color w:val="auto"/>
              </w:rPr>
              <w:t>Exercise of stock options (net of tax and</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54</w:t>
            </w: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0"/>
                <w:szCs w:val="10"/>
                <w:color w:val="auto"/>
              </w:rPr>
            </w:pPr>
          </w:p>
        </w:tc>
        <w:tc>
          <w:tcPr>
            <w:tcW w:w="9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73"/>
        </w:trPr>
        <w:tc>
          <w:tcPr>
            <w:tcW w:w="206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auto"/>
              </w:rPr>
              <w:t>strike price)</w:t>
            </w:r>
          </w:p>
        </w:tc>
        <w:tc>
          <w:tcPr>
            <w:tcW w:w="7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206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6"/>
        </w:trPr>
        <w:tc>
          <w:tcPr>
            <w:tcW w:w="2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Repurchase of common stock for employee</w:t>
            </w:r>
          </w:p>
        </w:tc>
        <w:tc>
          <w:tcPr>
            <w:tcW w:w="7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60" w:type="dxa"/>
            <w:vAlign w:val="bottom"/>
            <w:shd w:val="clear" w:color="auto" w:fill="CFF0FC"/>
          </w:tcPr>
          <w:p>
            <w:pPr>
              <w:ind w:left="60"/>
              <w:spacing w:after="0" w:line="122" w:lineRule="exact"/>
              <w:rPr>
                <w:sz w:val="20"/>
                <w:szCs w:val="20"/>
                <w:color w:val="auto"/>
              </w:rPr>
            </w:pPr>
            <w:r>
              <w:rPr>
                <w:rFonts w:ascii="Times New Roman" w:cs="Times New Roman" w:eastAsia="Times New Roman" w:hAnsi="Times New Roman"/>
                <w:sz w:val="11"/>
                <w:szCs w:val="11"/>
                <w:color w:val="auto"/>
              </w:rPr>
              <w:t>tax witholding and exercised stock option</w:t>
            </w:r>
          </w:p>
        </w:tc>
        <w:tc>
          <w:tcPr>
            <w:tcW w:w="7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shd w:val="clear" w:color="auto" w:fill="CFF0FC"/>
          </w:tcPr>
          <w:p>
            <w:pPr>
              <w:spacing w:after="0"/>
              <w:rPr>
                <w:sz w:val="10"/>
                <w:szCs w:val="10"/>
                <w:color w:val="auto"/>
              </w:rPr>
            </w:pPr>
          </w:p>
        </w:tc>
        <w:tc>
          <w:tcPr>
            <w:tcW w:w="980" w:type="dxa"/>
            <w:vAlign w:val="bottom"/>
            <w:gridSpan w:val="2"/>
            <w:shd w:val="clear" w:color="auto" w:fill="CFF0FC"/>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84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76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(1,958 )</w:t>
            </w:r>
          </w:p>
        </w:tc>
        <w:tc>
          <w:tcPr>
            <w:tcW w:w="14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0"/>
                <w:szCs w:val="10"/>
                <w:color w:val="auto"/>
              </w:rPr>
            </w:pPr>
          </w:p>
        </w:tc>
        <w:tc>
          <w:tcPr>
            <w:tcW w:w="760" w:type="dxa"/>
            <w:vAlign w:val="bottom"/>
            <w:gridSpan w:val="2"/>
            <w:shd w:val="clear" w:color="auto" w:fill="CFF0FC"/>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(1,958 )</w:t>
            </w:r>
          </w:p>
        </w:tc>
        <w:tc>
          <w:tcPr>
            <w:tcW w:w="0" w:type="dxa"/>
            <w:vAlign w:val="bottom"/>
          </w:tcPr>
          <w:p>
            <w:pPr>
              <w:spacing w:after="0"/>
              <w:rPr>
                <w:sz w:val="1"/>
                <w:szCs w:val="1"/>
                <w:color w:val="auto"/>
              </w:rPr>
            </w:pPr>
          </w:p>
        </w:tc>
      </w:tr>
      <w:tr>
        <w:trPr>
          <w:trHeight w:val="149"/>
        </w:trPr>
        <w:tc>
          <w:tcPr>
            <w:tcW w:w="2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strike price</w:t>
            </w:r>
          </w:p>
        </w:tc>
        <w:tc>
          <w:tcPr>
            <w:tcW w:w="7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Distribution to non-controlling interests, net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2"/>
                <w:szCs w:val="12"/>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(149 )</w:t>
            </w:r>
          </w:p>
        </w:tc>
        <w:tc>
          <w:tcPr>
            <w:tcW w:w="180" w:type="dxa"/>
            <w:vAlign w:val="bottom"/>
          </w:tcPr>
          <w:p>
            <w:pPr>
              <w:spacing w:after="0"/>
              <w:rPr>
                <w:sz w:val="12"/>
                <w:szCs w:val="12"/>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(149 )</w:t>
            </w:r>
          </w:p>
        </w:tc>
        <w:tc>
          <w:tcPr>
            <w:tcW w:w="0" w:type="dxa"/>
            <w:vAlign w:val="bottom"/>
          </w:tcPr>
          <w:p>
            <w:pPr>
              <w:spacing w:after="0"/>
              <w:rPr>
                <w:sz w:val="1"/>
                <w:szCs w:val="1"/>
                <w:color w:val="auto"/>
              </w:rPr>
            </w:pPr>
          </w:p>
        </w:tc>
      </w:tr>
      <w:tr>
        <w:trPr>
          <w:trHeight w:val="153"/>
        </w:trPr>
        <w:tc>
          <w:tcPr>
            <w:tcW w:w="2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Dividends declared</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(1 )</w:t>
            </w:r>
          </w:p>
        </w:tc>
        <w:tc>
          <w:tcPr>
            <w:tcW w:w="14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(1 )</w:t>
            </w:r>
          </w:p>
        </w:tc>
        <w:tc>
          <w:tcPr>
            <w:tcW w:w="0" w:type="dxa"/>
            <w:vAlign w:val="bottom"/>
          </w:tcPr>
          <w:p>
            <w:pPr>
              <w:spacing w:after="0"/>
              <w:rPr>
                <w:sz w:val="1"/>
                <w:szCs w:val="1"/>
                <w:color w:val="auto"/>
              </w:rPr>
            </w:pPr>
          </w:p>
        </w:tc>
      </w:tr>
      <w:tr>
        <w:trPr>
          <w:trHeight w:val="144"/>
        </w:trPr>
        <w:tc>
          <w:tcPr>
            <w:tcW w:w="20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Dividends paid per share $0.03</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(3,774 )</w:t>
            </w:r>
          </w:p>
        </w:tc>
        <w:tc>
          <w:tcPr>
            <w:tcW w:w="14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(3,774 )</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June 30, 2023</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43,824</w:t>
            </w:r>
          </w:p>
        </w:tc>
        <w:tc>
          <w:tcPr>
            <w:tcW w:w="260" w:type="dxa"/>
            <w:vAlign w:val="bottom"/>
            <w:shd w:val="clear" w:color="auto" w:fill="CFF0FC"/>
          </w:tcPr>
          <w:p>
            <w:pPr>
              <w:spacing w:after="0"/>
              <w:rPr>
                <w:sz w:val="14"/>
                <w:szCs w:val="14"/>
                <w:color w:val="auto"/>
              </w:rPr>
            </w:pPr>
          </w:p>
        </w:tc>
        <w:tc>
          <w:tcPr>
            <w:tcW w:w="580" w:type="dxa"/>
            <w:vAlign w:val="bottom"/>
            <w:shd w:val="clear" w:color="auto" w:fill="CFF0FC"/>
          </w:tcPr>
          <w:p>
            <w:pPr>
              <w:jc w:val="right"/>
              <w:ind w:right="466"/>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90"/>
              </w:rPr>
              <w:t>44</w:t>
            </w:r>
          </w:p>
        </w:tc>
        <w:tc>
          <w:tcPr>
            <w:tcW w:w="2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72,381</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72</w:t>
            </w:r>
          </w:p>
        </w:tc>
        <w:tc>
          <w:tcPr>
            <w:tcW w:w="2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1,061</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(9,926 )</w:t>
            </w: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627,420</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(223,511 )</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40,977</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435,076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6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Net loss</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(8,416 )</w:t>
            </w:r>
          </w:p>
        </w:tc>
        <w:tc>
          <w:tcPr>
            <w:tcW w:w="80" w:type="dxa"/>
            <w:vAlign w:val="bottom"/>
          </w:tcPr>
          <w:p>
            <w:pPr>
              <w:spacing w:after="0"/>
              <w:rPr>
                <w:sz w:val="11"/>
                <w:szCs w:val="11"/>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(334 )</w:t>
            </w:r>
          </w:p>
        </w:tc>
        <w:tc>
          <w:tcPr>
            <w:tcW w:w="180" w:type="dxa"/>
            <w:vAlign w:val="bottom"/>
          </w:tcPr>
          <w:p>
            <w:pPr>
              <w:spacing w:after="0"/>
              <w:rPr>
                <w:sz w:val="11"/>
                <w:szCs w:val="11"/>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(8,750 )</w:t>
            </w:r>
          </w:p>
        </w:tc>
        <w:tc>
          <w:tcPr>
            <w:tcW w:w="0" w:type="dxa"/>
            <w:vAlign w:val="bottom"/>
          </w:tcPr>
          <w:p>
            <w:pPr>
              <w:spacing w:after="0"/>
              <w:rPr>
                <w:sz w:val="1"/>
                <w:szCs w:val="1"/>
                <w:color w:val="auto"/>
              </w:rPr>
            </w:pPr>
          </w:p>
        </w:tc>
      </w:tr>
      <w:tr>
        <w:trPr>
          <w:trHeight w:val="153"/>
        </w:trPr>
        <w:tc>
          <w:tcPr>
            <w:tcW w:w="2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Stock-based compensation</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5,328</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5,328</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Issuance of restricted stock awards</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w:t>
            </w: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2"/>
                <w:szCs w:val="12"/>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5"/>
        </w:trPr>
        <w:tc>
          <w:tcPr>
            <w:tcW w:w="2060" w:type="dxa"/>
            <w:vAlign w:val="bottom"/>
            <w:shd w:val="clear" w:color="auto" w:fill="CFF0FC"/>
          </w:tcPr>
          <w:p>
            <w:pPr>
              <w:ind w:left="60"/>
              <w:spacing w:after="0" w:line="125" w:lineRule="exact"/>
              <w:rPr>
                <w:sz w:val="20"/>
                <w:szCs w:val="20"/>
                <w:color w:val="auto"/>
              </w:rPr>
            </w:pPr>
            <w:r>
              <w:rPr>
                <w:rFonts w:ascii="Times New Roman" w:cs="Times New Roman" w:eastAsia="Times New Roman" w:hAnsi="Times New Roman"/>
                <w:sz w:val="11"/>
                <w:szCs w:val="11"/>
                <w:color w:val="auto"/>
                <w:w w:val="98"/>
              </w:rPr>
              <w:t>Exchange of Class B common stock for Class</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1,037</w:t>
            </w:r>
          </w:p>
        </w:tc>
        <w:tc>
          <w:tcPr>
            <w:tcW w:w="2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220" w:type="dxa"/>
            <w:vAlign w:val="bottom"/>
            <w:gridSpan w:val="3"/>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(1,037 )</w:t>
            </w:r>
          </w:p>
        </w:tc>
        <w:tc>
          <w:tcPr>
            <w:tcW w:w="120" w:type="dxa"/>
            <w:vAlign w:val="bottom"/>
            <w:shd w:val="clear" w:color="auto" w:fill="CFF0FC"/>
          </w:tcPr>
          <w:p>
            <w:pPr>
              <w:spacing w:after="0"/>
              <w:rPr>
                <w:sz w:val="10"/>
                <w:szCs w:val="10"/>
                <w:color w:val="auto"/>
              </w:rPr>
            </w:pPr>
          </w:p>
        </w:tc>
        <w:tc>
          <w:tcPr>
            <w:tcW w:w="84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(1 )</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7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7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7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0"/>
                <w:szCs w:val="10"/>
                <w:color w:val="auto"/>
              </w:rPr>
            </w:pPr>
          </w:p>
        </w:tc>
        <w:tc>
          <w:tcPr>
            <w:tcW w:w="7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73"/>
        </w:trPr>
        <w:tc>
          <w:tcPr>
            <w:tcW w:w="2060" w:type="dxa"/>
            <w:vAlign w:val="bottom"/>
            <w:vMerge w:val="restart"/>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A common stock</w:t>
            </w:r>
          </w:p>
        </w:tc>
        <w:tc>
          <w:tcPr>
            <w:tcW w:w="720" w:type="dxa"/>
            <w:vAlign w:val="bottom"/>
            <w:vMerge w:val="continue"/>
            <w:shd w:val="clear" w:color="auto" w:fill="CFF0FC"/>
          </w:tcPr>
          <w:p>
            <w:pPr>
              <w:spacing w:after="0"/>
              <w:rPr>
                <w:sz w:val="6"/>
                <w:szCs w:val="6"/>
                <w:color w:val="auto"/>
              </w:rPr>
            </w:pPr>
          </w:p>
        </w:tc>
        <w:tc>
          <w:tcPr>
            <w:tcW w:w="260" w:type="dxa"/>
            <w:vAlign w:val="bottom"/>
            <w:shd w:val="clear" w:color="auto" w:fill="CFF0FC"/>
          </w:tcPr>
          <w:p>
            <w:pPr>
              <w:spacing w:after="0"/>
              <w:rPr>
                <w:sz w:val="6"/>
                <w:szCs w:val="6"/>
                <w:color w:val="auto"/>
              </w:rPr>
            </w:pPr>
          </w:p>
        </w:tc>
        <w:tc>
          <w:tcPr>
            <w:tcW w:w="580" w:type="dxa"/>
            <w:vAlign w:val="bottom"/>
            <w:shd w:val="clear" w:color="auto" w:fill="CFF0FC"/>
          </w:tcPr>
          <w:p>
            <w:pPr>
              <w:spacing w:after="0"/>
              <w:rPr>
                <w:sz w:val="6"/>
                <w:szCs w:val="6"/>
                <w:color w:val="auto"/>
              </w:rPr>
            </w:pPr>
          </w:p>
        </w:tc>
        <w:tc>
          <w:tcPr>
            <w:tcW w:w="140" w:type="dxa"/>
            <w:vAlign w:val="bottom"/>
            <w:vMerge w:val="continue"/>
            <w:shd w:val="clear" w:color="auto" w:fill="CFF0FC"/>
          </w:tcPr>
          <w:p>
            <w:pPr>
              <w:spacing w:after="0"/>
              <w:rPr>
                <w:sz w:val="6"/>
                <w:szCs w:val="6"/>
                <w:color w:val="auto"/>
              </w:rPr>
            </w:pPr>
          </w:p>
        </w:tc>
        <w:tc>
          <w:tcPr>
            <w:tcW w:w="1220" w:type="dxa"/>
            <w:vAlign w:val="bottom"/>
            <w:gridSpan w:val="3"/>
            <w:vMerge w:val="continue"/>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840" w:type="dxa"/>
            <w:vAlign w:val="bottom"/>
            <w:gridSpan w:val="2"/>
            <w:vMerge w:val="continue"/>
            <w:shd w:val="clear" w:color="auto" w:fill="CFF0FC"/>
          </w:tcPr>
          <w:p>
            <w:pPr>
              <w:spacing w:after="0"/>
              <w:rPr>
                <w:sz w:val="6"/>
                <w:szCs w:val="6"/>
                <w:color w:val="auto"/>
              </w:rPr>
            </w:pPr>
          </w:p>
        </w:tc>
        <w:tc>
          <w:tcPr>
            <w:tcW w:w="740" w:type="dxa"/>
            <w:vAlign w:val="bottom"/>
            <w:vMerge w:val="continue"/>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740" w:type="dxa"/>
            <w:vAlign w:val="bottom"/>
            <w:gridSpan w:val="2"/>
            <w:vMerge w:val="continue"/>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760" w:type="dxa"/>
            <w:vAlign w:val="bottom"/>
            <w:gridSpan w:val="2"/>
            <w:vMerge w:val="continue"/>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720" w:type="dxa"/>
            <w:vAlign w:val="bottom"/>
            <w:gridSpan w:val="2"/>
            <w:vMerge w:val="continue"/>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740" w:type="dxa"/>
            <w:vAlign w:val="bottom"/>
            <w:gridSpan w:val="2"/>
            <w:vMerge w:val="continue"/>
            <w:shd w:val="clear" w:color="auto" w:fill="CFF0FC"/>
          </w:tcPr>
          <w:p>
            <w:pPr>
              <w:spacing w:after="0"/>
              <w:rPr>
                <w:sz w:val="6"/>
                <w:szCs w:val="6"/>
                <w:color w:val="auto"/>
              </w:rPr>
            </w:pPr>
          </w:p>
        </w:tc>
        <w:tc>
          <w:tcPr>
            <w:tcW w:w="180" w:type="dxa"/>
            <w:vAlign w:val="bottom"/>
            <w:shd w:val="clear" w:color="auto" w:fill="CFF0FC"/>
          </w:tcPr>
          <w:p>
            <w:pPr>
              <w:spacing w:after="0"/>
              <w:rPr>
                <w:sz w:val="6"/>
                <w:szCs w:val="6"/>
                <w:color w:val="auto"/>
              </w:rPr>
            </w:pPr>
          </w:p>
        </w:tc>
        <w:tc>
          <w:tcPr>
            <w:tcW w:w="760" w:type="dxa"/>
            <w:vAlign w:val="bottom"/>
            <w:gridSpan w:val="2"/>
            <w:vMerge w:val="continue"/>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76"/>
        </w:trPr>
        <w:tc>
          <w:tcPr>
            <w:tcW w:w="2060" w:type="dxa"/>
            <w:vAlign w:val="bottom"/>
            <w:vMerge w:val="continue"/>
            <w:shd w:val="clear" w:color="auto" w:fill="CFF0FC"/>
          </w:tcPr>
          <w:p>
            <w:pPr>
              <w:spacing w:after="0"/>
              <w:rPr>
                <w:sz w:val="6"/>
                <w:szCs w:val="6"/>
                <w:color w:val="auto"/>
              </w:rPr>
            </w:pPr>
          </w:p>
        </w:tc>
        <w:tc>
          <w:tcPr>
            <w:tcW w:w="720" w:type="dxa"/>
            <w:vAlign w:val="bottom"/>
            <w:shd w:val="clear" w:color="auto" w:fill="CFF0FC"/>
          </w:tcPr>
          <w:p>
            <w:pPr>
              <w:spacing w:after="0"/>
              <w:rPr>
                <w:sz w:val="6"/>
                <w:szCs w:val="6"/>
                <w:color w:val="auto"/>
              </w:rPr>
            </w:pPr>
          </w:p>
        </w:tc>
        <w:tc>
          <w:tcPr>
            <w:tcW w:w="260" w:type="dxa"/>
            <w:vAlign w:val="bottom"/>
            <w:shd w:val="clear" w:color="auto" w:fill="CFF0FC"/>
          </w:tcPr>
          <w:p>
            <w:pPr>
              <w:spacing w:after="0"/>
              <w:rPr>
                <w:sz w:val="6"/>
                <w:szCs w:val="6"/>
                <w:color w:val="auto"/>
              </w:rPr>
            </w:pPr>
          </w:p>
        </w:tc>
        <w:tc>
          <w:tcPr>
            <w:tcW w:w="58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74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60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74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60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64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58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64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180" w:type="dxa"/>
            <w:vAlign w:val="bottom"/>
            <w:shd w:val="clear" w:color="auto" w:fill="CFF0FC"/>
          </w:tcPr>
          <w:p>
            <w:pPr>
              <w:spacing w:after="0"/>
              <w:rPr>
                <w:sz w:val="6"/>
                <w:szCs w:val="6"/>
                <w:color w:val="auto"/>
              </w:rPr>
            </w:pPr>
          </w:p>
        </w:tc>
        <w:tc>
          <w:tcPr>
            <w:tcW w:w="66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060" w:type="dxa"/>
            <w:vAlign w:val="bottom"/>
          </w:tcPr>
          <w:p>
            <w:pPr>
              <w:ind w:left="60"/>
              <w:spacing w:after="0" w:line="122" w:lineRule="exact"/>
              <w:rPr>
                <w:sz w:val="20"/>
                <w:szCs w:val="20"/>
                <w:color w:val="auto"/>
              </w:rPr>
            </w:pPr>
            <w:r>
              <w:rPr>
                <w:rFonts w:ascii="Times New Roman" w:cs="Times New Roman" w:eastAsia="Times New Roman" w:hAnsi="Times New Roman"/>
                <w:sz w:val="11"/>
                <w:szCs w:val="11"/>
                <w:color w:val="auto"/>
              </w:rPr>
              <w:t>Exercise of stock options (net of tax and</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38</w:t>
            </w: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0"/>
                <w:szCs w:val="10"/>
                <w:color w:val="auto"/>
              </w:rPr>
            </w:pPr>
          </w:p>
        </w:tc>
        <w:tc>
          <w:tcPr>
            <w:tcW w:w="9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73"/>
        </w:trPr>
        <w:tc>
          <w:tcPr>
            <w:tcW w:w="206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auto"/>
              </w:rPr>
              <w:t>strike price)</w:t>
            </w:r>
          </w:p>
        </w:tc>
        <w:tc>
          <w:tcPr>
            <w:tcW w:w="7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206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6"/>
        </w:trPr>
        <w:tc>
          <w:tcPr>
            <w:tcW w:w="2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Repurchase of common stock for employee</w:t>
            </w:r>
          </w:p>
        </w:tc>
        <w:tc>
          <w:tcPr>
            <w:tcW w:w="7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60" w:type="dxa"/>
            <w:vAlign w:val="bottom"/>
            <w:shd w:val="clear" w:color="auto" w:fill="CFF0FC"/>
          </w:tcPr>
          <w:p>
            <w:pPr>
              <w:ind w:left="60"/>
              <w:spacing w:after="0" w:line="122" w:lineRule="exact"/>
              <w:rPr>
                <w:sz w:val="20"/>
                <w:szCs w:val="20"/>
                <w:color w:val="auto"/>
              </w:rPr>
            </w:pPr>
            <w:r>
              <w:rPr>
                <w:rFonts w:ascii="Times New Roman" w:cs="Times New Roman" w:eastAsia="Times New Roman" w:hAnsi="Times New Roman"/>
                <w:sz w:val="11"/>
                <w:szCs w:val="11"/>
                <w:color w:val="auto"/>
              </w:rPr>
              <w:t>tax witholding and exercised stock option</w:t>
            </w:r>
          </w:p>
        </w:tc>
        <w:tc>
          <w:tcPr>
            <w:tcW w:w="7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shd w:val="clear" w:color="auto" w:fill="CFF0FC"/>
          </w:tcPr>
          <w:p>
            <w:pPr>
              <w:spacing w:after="0"/>
              <w:rPr>
                <w:sz w:val="10"/>
                <w:szCs w:val="10"/>
                <w:color w:val="auto"/>
              </w:rPr>
            </w:pPr>
          </w:p>
        </w:tc>
        <w:tc>
          <w:tcPr>
            <w:tcW w:w="980" w:type="dxa"/>
            <w:vAlign w:val="bottom"/>
            <w:gridSpan w:val="2"/>
            <w:shd w:val="clear" w:color="auto" w:fill="CFF0FC"/>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84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76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(185 )</w:t>
            </w:r>
          </w:p>
        </w:tc>
        <w:tc>
          <w:tcPr>
            <w:tcW w:w="14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0"/>
                <w:szCs w:val="10"/>
                <w:color w:val="auto"/>
              </w:rPr>
            </w:pPr>
          </w:p>
        </w:tc>
        <w:tc>
          <w:tcPr>
            <w:tcW w:w="760" w:type="dxa"/>
            <w:vAlign w:val="bottom"/>
            <w:gridSpan w:val="2"/>
            <w:shd w:val="clear" w:color="auto" w:fill="CFF0FC"/>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(185 )</w:t>
            </w:r>
          </w:p>
        </w:tc>
        <w:tc>
          <w:tcPr>
            <w:tcW w:w="0" w:type="dxa"/>
            <w:vAlign w:val="bottom"/>
          </w:tcPr>
          <w:p>
            <w:pPr>
              <w:spacing w:after="0"/>
              <w:rPr>
                <w:sz w:val="1"/>
                <w:szCs w:val="1"/>
                <w:color w:val="auto"/>
              </w:rPr>
            </w:pPr>
          </w:p>
        </w:tc>
      </w:tr>
      <w:tr>
        <w:trPr>
          <w:trHeight w:val="149"/>
        </w:trPr>
        <w:tc>
          <w:tcPr>
            <w:tcW w:w="2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strike price</w:t>
            </w:r>
          </w:p>
        </w:tc>
        <w:tc>
          <w:tcPr>
            <w:tcW w:w="7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99"/>
              </w:rPr>
              <w:t>Distributions to non-controlling interests, net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2"/>
                <w:szCs w:val="12"/>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(134 )</w:t>
            </w:r>
          </w:p>
        </w:tc>
        <w:tc>
          <w:tcPr>
            <w:tcW w:w="180" w:type="dxa"/>
            <w:vAlign w:val="bottom"/>
          </w:tcPr>
          <w:p>
            <w:pPr>
              <w:spacing w:after="0"/>
              <w:rPr>
                <w:sz w:val="12"/>
                <w:szCs w:val="12"/>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(134 )</w:t>
            </w:r>
          </w:p>
        </w:tc>
        <w:tc>
          <w:tcPr>
            <w:tcW w:w="0" w:type="dxa"/>
            <w:vAlign w:val="bottom"/>
          </w:tcPr>
          <w:p>
            <w:pPr>
              <w:spacing w:after="0"/>
              <w:rPr>
                <w:sz w:val="1"/>
                <w:szCs w:val="1"/>
                <w:color w:val="auto"/>
              </w:rPr>
            </w:pPr>
          </w:p>
        </w:tc>
      </w:tr>
      <w:tr>
        <w:trPr>
          <w:trHeight w:val="149"/>
        </w:trPr>
        <w:tc>
          <w:tcPr>
            <w:tcW w:w="2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Dividends paid per share $0.03</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(3,780 )</w:t>
            </w:r>
          </w:p>
        </w:tc>
        <w:tc>
          <w:tcPr>
            <w:tcW w:w="14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(3,780 )</w:t>
            </w:r>
          </w:p>
        </w:tc>
        <w:tc>
          <w:tcPr>
            <w:tcW w:w="0" w:type="dxa"/>
            <w:vAlign w:val="bottom"/>
          </w:tcPr>
          <w:p>
            <w:pPr>
              <w:spacing w:after="0"/>
              <w:rPr>
                <w:sz w:val="1"/>
                <w:szCs w:val="1"/>
                <w:color w:val="auto"/>
              </w:rPr>
            </w:pPr>
          </w:p>
        </w:tc>
      </w:tr>
      <w:tr>
        <w:trPr>
          <w:trHeight w:val="20"/>
        </w:trPr>
        <w:tc>
          <w:tcPr>
            <w:tcW w:w="206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September 30, 2023</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44,932</w:t>
            </w:r>
          </w:p>
        </w:tc>
        <w:tc>
          <w:tcPr>
            <w:tcW w:w="260" w:type="dxa"/>
            <w:vAlign w:val="bottom"/>
          </w:tcPr>
          <w:p>
            <w:pPr>
              <w:spacing w:after="0"/>
              <w:rPr>
                <w:sz w:val="12"/>
                <w:szCs w:val="12"/>
                <w:color w:val="auto"/>
              </w:rPr>
            </w:pPr>
          </w:p>
        </w:tc>
        <w:tc>
          <w:tcPr>
            <w:tcW w:w="580" w:type="dxa"/>
            <w:vAlign w:val="bottom"/>
          </w:tcPr>
          <w:p>
            <w:pPr>
              <w:jc w:val="right"/>
              <w:ind w:right="466"/>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0"/>
              </w:rPr>
              <w:t>45</w:t>
            </w:r>
          </w:p>
        </w:tc>
        <w:tc>
          <w:tcPr>
            <w:tcW w:w="2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71,344</w:t>
            </w:r>
          </w:p>
        </w:tc>
        <w:tc>
          <w:tcPr>
            <w:tcW w:w="240" w:type="dxa"/>
            <w:vAlign w:val="bottom"/>
          </w:tcPr>
          <w:p>
            <w:pPr>
              <w:spacing w:after="0"/>
              <w:rPr>
                <w:sz w:val="12"/>
                <w:szCs w:val="12"/>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w:t>
            </w:r>
          </w:p>
        </w:tc>
        <w:tc>
          <w:tcPr>
            <w:tcW w:w="2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1,061</w:t>
            </w:r>
          </w:p>
        </w:tc>
        <w:tc>
          <w:tcPr>
            <w:tcW w:w="240" w:type="dxa"/>
            <w:vAlign w:val="bottom"/>
          </w:tcPr>
          <w:p>
            <w:pPr>
              <w:spacing w:after="0"/>
              <w:rPr>
                <w:sz w:val="12"/>
                <w:szCs w:val="12"/>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(9,926 )</w:t>
            </w:r>
          </w:p>
        </w:tc>
        <w:tc>
          <w:tcPr>
            <w:tcW w:w="8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628,783</w:t>
            </w:r>
          </w:p>
        </w:tc>
        <w:tc>
          <w:tcPr>
            <w:tcW w:w="120" w:type="dxa"/>
            <w:vAlign w:val="bottom"/>
          </w:tcPr>
          <w:p>
            <w:pPr>
              <w:spacing w:after="0"/>
              <w:rPr>
                <w:sz w:val="12"/>
                <w:szCs w:val="12"/>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(231,927 )</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40,509</w:t>
            </w:r>
          </w:p>
        </w:tc>
        <w:tc>
          <w:tcPr>
            <w:tcW w:w="100" w:type="dxa"/>
            <w:vAlign w:val="bottom"/>
          </w:tcPr>
          <w:p>
            <w:pPr>
              <w:spacing w:after="0"/>
              <w:rPr>
                <w:sz w:val="12"/>
                <w:szCs w:val="12"/>
                <w:color w:val="auto"/>
              </w:rPr>
            </w:pPr>
          </w:p>
        </w:tc>
        <w:tc>
          <w:tcPr>
            <w:tcW w:w="1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427,555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1771015</wp:posOffset>
            </wp:positionH>
            <wp:positionV relativeFrom="paragraph">
              <wp:posOffset>-4053840</wp:posOffset>
            </wp:positionV>
            <wp:extent cx="7683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-4036695</wp:posOffset>
            </wp:positionV>
            <wp:extent cx="768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-4053840</wp:posOffset>
            </wp:positionV>
            <wp:extent cx="7683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-4036695</wp:posOffset>
            </wp:positionV>
            <wp:extent cx="768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-4053840</wp:posOffset>
            </wp:positionV>
            <wp:extent cx="7683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-4036695</wp:posOffset>
            </wp:positionV>
            <wp:extent cx="768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-4053840</wp:posOffset>
            </wp:positionV>
            <wp:extent cx="7683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-4036695</wp:posOffset>
            </wp:positionV>
            <wp:extent cx="768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-4053840</wp:posOffset>
            </wp:positionV>
            <wp:extent cx="768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-4036695</wp:posOffset>
            </wp:positionV>
            <wp:extent cx="768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-4053840</wp:posOffset>
            </wp:positionV>
            <wp:extent cx="774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-4036695</wp:posOffset>
            </wp:positionV>
            <wp:extent cx="774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-4053840</wp:posOffset>
            </wp:positionV>
            <wp:extent cx="7747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-4036695</wp:posOffset>
            </wp:positionV>
            <wp:extent cx="774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-4053840</wp:posOffset>
            </wp:positionV>
            <wp:extent cx="7747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-4036695</wp:posOffset>
            </wp:positionV>
            <wp:extent cx="774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-4053840</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-4036695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-4053840</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-4036695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-2502535</wp:posOffset>
            </wp:positionV>
            <wp:extent cx="7683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-2485390</wp:posOffset>
            </wp:positionV>
            <wp:extent cx="768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-2502535</wp:posOffset>
            </wp:positionV>
            <wp:extent cx="7683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-2485390</wp:posOffset>
            </wp:positionV>
            <wp:extent cx="768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-2502535</wp:posOffset>
            </wp:positionV>
            <wp:extent cx="7683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-2485390</wp:posOffset>
            </wp:positionV>
            <wp:extent cx="768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-2502535</wp:posOffset>
            </wp:positionV>
            <wp:extent cx="7683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-2485390</wp:posOffset>
            </wp:positionV>
            <wp:extent cx="768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-2502535</wp:posOffset>
            </wp:positionV>
            <wp:extent cx="7683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-2485390</wp:posOffset>
            </wp:positionV>
            <wp:extent cx="768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-2502535</wp:posOffset>
            </wp:positionV>
            <wp:extent cx="7747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-2485390</wp:posOffset>
            </wp:positionV>
            <wp:extent cx="774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-2502535</wp:posOffset>
            </wp:positionV>
            <wp:extent cx="7747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-2485390</wp:posOffset>
            </wp:positionV>
            <wp:extent cx="774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-2502535</wp:posOffset>
            </wp:positionV>
            <wp:extent cx="7747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-2485390</wp:posOffset>
            </wp:positionV>
            <wp:extent cx="774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-2502535</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-2485390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-2502535</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-2485390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-1216660</wp:posOffset>
            </wp:positionV>
            <wp:extent cx="7683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-1199515</wp:posOffset>
            </wp:positionV>
            <wp:extent cx="7683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-1216660</wp:posOffset>
            </wp:positionV>
            <wp:extent cx="7683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-1199515</wp:posOffset>
            </wp:positionV>
            <wp:extent cx="7683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-1216660</wp:posOffset>
            </wp:positionV>
            <wp:extent cx="7683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-1199515</wp:posOffset>
            </wp:positionV>
            <wp:extent cx="7683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-1216660</wp:posOffset>
            </wp:positionV>
            <wp:extent cx="7683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-1199515</wp:posOffset>
            </wp:positionV>
            <wp:extent cx="7683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-1216660</wp:posOffset>
            </wp:positionV>
            <wp:extent cx="7683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-1199515</wp:posOffset>
            </wp:positionV>
            <wp:extent cx="7683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-1216660</wp:posOffset>
            </wp:positionV>
            <wp:extent cx="7747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-1199515</wp:posOffset>
            </wp:positionV>
            <wp:extent cx="7747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-1216660</wp:posOffset>
            </wp:positionV>
            <wp:extent cx="7747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-1199515</wp:posOffset>
            </wp:positionV>
            <wp:extent cx="7747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-1216660</wp:posOffset>
            </wp:positionV>
            <wp:extent cx="7747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-1199515</wp:posOffset>
            </wp:positionV>
            <wp:extent cx="7747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-1216660</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-1199515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-1199515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-128270</wp:posOffset>
            </wp:positionV>
            <wp:extent cx="768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-128270</wp:posOffset>
            </wp:positionV>
            <wp:extent cx="768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-128270</wp:posOffset>
            </wp:positionV>
            <wp:extent cx="768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-128270</wp:posOffset>
            </wp:positionV>
            <wp:extent cx="768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-128270</wp:posOffset>
            </wp:positionV>
            <wp:extent cx="768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-128270</wp:posOffset>
            </wp:positionV>
            <wp:extent cx="774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-128270</wp:posOffset>
            </wp:positionV>
            <wp:extent cx="7747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-128270</wp:posOffset>
            </wp:positionV>
            <wp:extent cx="7747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-128270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Notes to Consolidated Financial Statements are an integral part of these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26"/>
        </w:trPr>
        <w:tc>
          <w:tcPr>
            <w:tcW w:w="2060" w:type="dxa"/>
            <w:vAlign w:val="bottom"/>
          </w:tcPr>
          <w:p>
            <w:pPr>
              <w:spacing w:after="0"/>
              <w:rPr>
                <w:sz w:val="11"/>
                <w:szCs w:val="11"/>
                <w:color w:val="auto"/>
              </w:rPr>
            </w:pPr>
          </w:p>
        </w:tc>
        <w:tc>
          <w:tcPr>
            <w:tcW w:w="1940" w:type="dxa"/>
            <w:vAlign w:val="bottom"/>
            <w:gridSpan w:val="5"/>
            <w:vMerge w:val="restart"/>
          </w:tcPr>
          <w:p>
            <w:pPr>
              <w:jc w:val="right"/>
              <w:ind w:right="520"/>
              <w:spacing w:after="0"/>
              <w:rPr>
                <w:sz w:val="20"/>
                <w:szCs w:val="20"/>
                <w:color w:val="auto"/>
              </w:rPr>
            </w:pPr>
            <w:r>
              <w:rPr>
                <w:rFonts w:ascii="Times New Roman" w:cs="Times New Roman" w:eastAsia="Times New Roman" w:hAnsi="Times New Roman"/>
                <w:sz w:val="11"/>
                <w:szCs w:val="11"/>
                <w:b w:val="1"/>
                <w:bCs w:val="1"/>
                <w:color w:val="auto"/>
              </w:rPr>
              <w:t>Common Stock - Class A</w:t>
            </w:r>
          </w:p>
        </w:tc>
        <w:tc>
          <w:tcPr>
            <w:tcW w:w="1700" w:type="dxa"/>
            <w:vAlign w:val="bottom"/>
            <w:gridSpan w:val="4"/>
            <w:vMerge w:val="restart"/>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Common Stock - Class B</w:t>
            </w:r>
          </w:p>
        </w:tc>
        <w:tc>
          <w:tcPr>
            <w:tcW w:w="240" w:type="dxa"/>
            <w:vAlign w:val="bottom"/>
          </w:tcPr>
          <w:p>
            <w:pPr>
              <w:spacing w:after="0"/>
              <w:rPr>
                <w:sz w:val="11"/>
                <w:szCs w:val="11"/>
                <w:color w:val="auto"/>
              </w:rPr>
            </w:pPr>
          </w:p>
        </w:tc>
        <w:tc>
          <w:tcPr>
            <w:tcW w:w="1840" w:type="dxa"/>
            <w:vAlign w:val="bottom"/>
            <w:gridSpan w:val="5"/>
            <w:vMerge w:val="restart"/>
          </w:tcPr>
          <w:p>
            <w:pPr>
              <w:jc w:val="right"/>
              <w:ind w:right="640"/>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Non</w:t>
            </w: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60" w:type="dxa"/>
            <w:vAlign w:val="bottom"/>
          </w:tcPr>
          <w:p>
            <w:pPr>
              <w:spacing w:after="0"/>
              <w:rPr>
                <w:sz w:val="11"/>
                <w:szCs w:val="11"/>
                <w:color w:val="auto"/>
              </w:rPr>
            </w:pPr>
          </w:p>
        </w:tc>
        <w:tc>
          <w:tcPr>
            <w:tcW w:w="1940" w:type="dxa"/>
            <w:vAlign w:val="bottom"/>
            <w:gridSpan w:val="5"/>
            <w:vMerge w:val="continue"/>
          </w:tcPr>
          <w:p>
            <w:pPr>
              <w:spacing w:after="0"/>
              <w:rPr>
                <w:sz w:val="11"/>
                <w:szCs w:val="11"/>
                <w:color w:val="auto"/>
              </w:rPr>
            </w:pPr>
          </w:p>
        </w:tc>
        <w:tc>
          <w:tcPr>
            <w:tcW w:w="1700" w:type="dxa"/>
            <w:vAlign w:val="bottom"/>
            <w:gridSpan w:val="4"/>
            <w:vMerge w:val="continue"/>
          </w:tcPr>
          <w:p>
            <w:pPr>
              <w:spacing w:after="0"/>
              <w:rPr>
                <w:sz w:val="11"/>
                <w:szCs w:val="11"/>
                <w:color w:val="auto"/>
              </w:rPr>
            </w:pPr>
          </w:p>
        </w:tc>
        <w:tc>
          <w:tcPr>
            <w:tcW w:w="240" w:type="dxa"/>
            <w:vAlign w:val="bottom"/>
          </w:tcPr>
          <w:p>
            <w:pPr>
              <w:spacing w:after="0"/>
              <w:rPr>
                <w:sz w:val="11"/>
                <w:szCs w:val="11"/>
                <w:color w:val="auto"/>
              </w:rPr>
            </w:pPr>
          </w:p>
        </w:tc>
        <w:tc>
          <w:tcPr>
            <w:tcW w:w="1840" w:type="dxa"/>
            <w:vAlign w:val="bottom"/>
            <w:gridSpan w:val="5"/>
            <w:vMerge w:val="continue"/>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80" w:type="dxa"/>
            <w:vAlign w:val="bottom"/>
          </w:tcPr>
          <w:p>
            <w:pPr>
              <w:spacing w:after="0"/>
              <w:rPr>
                <w:sz w:val="11"/>
                <w:szCs w:val="11"/>
                <w:color w:val="auto"/>
              </w:rPr>
            </w:pPr>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5"/>
              </w:rPr>
              <w:t>Controlling</w:t>
            </w:r>
          </w:p>
        </w:tc>
        <w:tc>
          <w:tcPr>
            <w:tcW w:w="180" w:type="dxa"/>
            <w:vAlign w:val="bottom"/>
          </w:tcPr>
          <w:p>
            <w:pPr>
              <w:spacing w:after="0"/>
              <w:rPr>
                <w:sz w:val="11"/>
                <w:szCs w:val="11"/>
                <w:color w:val="auto"/>
              </w:rPr>
            </w:pPr>
          </w:p>
        </w:tc>
        <w:tc>
          <w:tcPr>
            <w:tcW w:w="760" w:type="dxa"/>
            <w:vAlign w:val="bottom"/>
            <w:gridSpan w:val="2"/>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39"/>
        </w:trPr>
        <w:tc>
          <w:tcPr>
            <w:tcW w:w="206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4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4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40" w:type="dxa"/>
            <w:vAlign w:val="bottom"/>
          </w:tcPr>
          <w:p>
            <w:pPr>
              <w:spacing w:after="0"/>
              <w:rPr>
                <w:sz w:val="12"/>
                <w:szCs w:val="12"/>
                <w:color w:val="auto"/>
              </w:rPr>
            </w:pPr>
          </w:p>
        </w:tc>
        <w:tc>
          <w:tcPr>
            <w:tcW w:w="7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w w:val="97"/>
              </w:rPr>
              <w:t>Paid-in-capital</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8"/>
              </w:rPr>
              <w:t>Interest</w:t>
            </w: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December 31, 2023</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57,623</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58</w:t>
            </w:r>
          </w:p>
        </w:tc>
        <w:tc>
          <w:tcPr>
            <w:tcW w:w="24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58,474</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58</w:t>
            </w:r>
          </w:p>
        </w:tc>
        <w:tc>
          <w:tcPr>
            <w:tcW w:w="24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1,841</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(17,588 )</w:t>
            </w: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636,073</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(233,012 )</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39,573</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425,162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60" w:type="dxa"/>
            <w:vAlign w:val="bottom"/>
            <w:tcBorders>
              <w:top w:val="single" w:sz="8" w:color="CFF0FC"/>
            </w:tcBorders>
          </w:tcPr>
          <w:p>
            <w:pPr>
              <w:ind w:left="60"/>
              <w:spacing w:after="0"/>
              <w:rPr>
                <w:sz w:val="20"/>
                <w:szCs w:val="20"/>
                <w:color w:val="auto"/>
              </w:rPr>
            </w:pPr>
            <w:r>
              <w:rPr>
                <w:rFonts w:ascii="Times New Roman" w:cs="Times New Roman" w:eastAsia="Times New Roman" w:hAnsi="Times New Roman"/>
                <w:sz w:val="11"/>
                <w:szCs w:val="11"/>
                <w:color w:val="auto"/>
              </w:rPr>
              <w:t>Net income</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top w:val="single" w:sz="8" w:color="CFF0FC"/>
            </w:tcBorders>
          </w:tcPr>
          <w:p>
            <w:pPr>
              <w:spacing w:after="0"/>
              <w:rPr>
                <w:sz w:val="11"/>
                <w:szCs w:val="11"/>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top w:val="single" w:sz="8" w:color="CFF0FC"/>
            </w:tcBorders>
          </w:tcPr>
          <w:p>
            <w:pPr>
              <w:spacing w:after="0"/>
              <w:rPr>
                <w:sz w:val="11"/>
                <w:szCs w:val="11"/>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5,021</w:t>
            </w:r>
          </w:p>
        </w:tc>
        <w:tc>
          <w:tcPr>
            <w:tcW w:w="14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222</w:t>
            </w:r>
          </w:p>
        </w:tc>
        <w:tc>
          <w:tcPr>
            <w:tcW w:w="100" w:type="dxa"/>
            <w:vAlign w:val="bottom"/>
            <w:tcBorders>
              <w:top w:val="single" w:sz="8" w:color="CFF0FC"/>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5,243</w:t>
            </w: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Stock-based compensation</w:t>
            </w:r>
          </w:p>
        </w:tc>
        <w:tc>
          <w:tcPr>
            <w:tcW w:w="9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6,175</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6,175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Issuance of restricted stock units</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619</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40" w:type="dxa"/>
            <w:vAlign w:val="bottom"/>
          </w:tcPr>
          <w:p>
            <w:pPr>
              <w:spacing w:after="0"/>
              <w:rPr>
                <w:sz w:val="12"/>
                <w:szCs w:val="12"/>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60" w:type="dxa"/>
            <w:vAlign w:val="bottom"/>
            <w:shd w:val="clear" w:color="auto" w:fill="CFF0FC"/>
          </w:tcPr>
          <w:p>
            <w:pPr>
              <w:ind w:left="60"/>
              <w:spacing w:after="0" w:line="125" w:lineRule="exact"/>
              <w:rPr>
                <w:sz w:val="20"/>
                <w:szCs w:val="20"/>
                <w:color w:val="auto"/>
              </w:rPr>
            </w:pPr>
            <w:r>
              <w:rPr>
                <w:rFonts w:ascii="Times New Roman" w:cs="Times New Roman" w:eastAsia="Times New Roman" w:hAnsi="Times New Roman"/>
                <w:sz w:val="11"/>
                <w:szCs w:val="11"/>
                <w:color w:val="auto"/>
                <w:w w:val="98"/>
              </w:rPr>
              <w:t>Exchange of Class B common stock for Class</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35</w:t>
            </w:r>
          </w:p>
        </w:tc>
        <w:tc>
          <w:tcPr>
            <w:tcW w:w="2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4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(35 )</w:t>
            </w:r>
          </w:p>
        </w:tc>
        <w:tc>
          <w:tcPr>
            <w:tcW w:w="120" w:type="dxa"/>
            <w:vAlign w:val="bottom"/>
            <w:shd w:val="clear" w:color="auto" w:fill="CFF0FC"/>
          </w:tcPr>
          <w:p>
            <w:pPr>
              <w:spacing w:after="0"/>
              <w:rPr>
                <w:sz w:val="10"/>
                <w:szCs w:val="10"/>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7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7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7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0"/>
                <w:szCs w:val="10"/>
                <w:color w:val="auto"/>
              </w:rPr>
            </w:pPr>
          </w:p>
        </w:tc>
        <w:tc>
          <w:tcPr>
            <w:tcW w:w="7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73"/>
        </w:trPr>
        <w:tc>
          <w:tcPr>
            <w:tcW w:w="2060" w:type="dxa"/>
            <w:vAlign w:val="bottom"/>
            <w:vMerge w:val="restart"/>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A common stock</w:t>
            </w:r>
          </w:p>
        </w:tc>
        <w:tc>
          <w:tcPr>
            <w:tcW w:w="720" w:type="dxa"/>
            <w:vAlign w:val="bottom"/>
            <w:vMerge w:val="continue"/>
            <w:shd w:val="clear" w:color="auto" w:fill="CFF0FC"/>
          </w:tcPr>
          <w:p>
            <w:pPr>
              <w:spacing w:after="0"/>
              <w:rPr>
                <w:sz w:val="6"/>
                <w:szCs w:val="6"/>
                <w:color w:val="auto"/>
              </w:rPr>
            </w:pPr>
          </w:p>
        </w:tc>
        <w:tc>
          <w:tcPr>
            <w:tcW w:w="26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840" w:type="dxa"/>
            <w:vAlign w:val="bottom"/>
            <w:gridSpan w:val="2"/>
            <w:vMerge w:val="continue"/>
            <w:shd w:val="clear" w:color="auto" w:fill="CFF0FC"/>
          </w:tcPr>
          <w:p>
            <w:pPr>
              <w:spacing w:after="0"/>
              <w:rPr>
                <w:sz w:val="6"/>
                <w:szCs w:val="6"/>
                <w:color w:val="auto"/>
              </w:rPr>
            </w:pPr>
          </w:p>
        </w:tc>
        <w:tc>
          <w:tcPr>
            <w:tcW w:w="980" w:type="dxa"/>
            <w:vAlign w:val="bottom"/>
            <w:gridSpan w:val="2"/>
            <w:vMerge w:val="continue"/>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600" w:type="dxa"/>
            <w:vAlign w:val="bottom"/>
            <w:vMerge w:val="continue"/>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740" w:type="dxa"/>
            <w:vAlign w:val="bottom"/>
            <w:vMerge w:val="continue"/>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740" w:type="dxa"/>
            <w:vAlign w:val="bottom"/>
            <w:gridSpan w:val="2"/>
            <w:vMerge w:val="continue"/>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760" w:type="dxa"/>
            <w:vAlign w:val="bottom"/>
            <w:gridSpan w:val="2"/>
            <w:vMerge w:val="continue"/>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720" w:type="dxa"/>
            <w:vAlign w:val="bottom"/>
            <w:gridSpan w:val="2"/>
            <w:vMerge w:val="continue"/>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740" w:type="dxa"/>
            <w:vAlign w:val="bottom"/>
            <w:gridSpan w:val="2"/>
            <w:vMerge w:val="continue"/>
            <w:shd w:val="clear" w:color="auto" w:fill="CFF0FC"/>
          </w:tcPr>
          <w:p>
            <w:pPr>
              <w:spacing w:after="0"/>
              <w:rPr>
                <w:sz w:val="6"/>
                <w:szCs w:val="6"/>
                <w:color w:val="auto"/>
              </w:rPr>
            </w:pPr>
          </w:p>
        </w:tc>
        <w:tc>
          <w:tcPr>
            <w:tcW w:w="180" w:type="dxa"/>
            <w:vAlign w:val="bottom"/>
            <w:shd w:val="clear" w:color="auto" w:fill="CFF0FC"/>
          </w:tcPr>
          <w:p>
            <w:pPr>
              <w:spacing w:after="0"/>
              <w:rPr>
                <w:sz w:val="6"/>
                <w:szCs w:val="6"/>
                <w:color w:val="auto"/>
              </w:rPr>
            </w:pPr>
          </w:p>
        </w:tc>
        <w:tc>
          <w:tcPr>
            <w:tcW w:w="760" w:type="dxa"/>
            <w:vAlign w:val="bottom"/>
            <w:gridSpan w:val="2"/>
            <w:vMerge w:val="continue"/>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76"/>
        </w:trPr>
        <w:tc>
          <w:tcPr>
            <w:tcW w:w="2060" w:type="dxa"/>
            <w:vAlign w:val="bottom"/>
            <w:vMerge w:val="continue"/>
            <w:shd w:val="clear" w:color="auto" w:fill="CFF0FC"/>
          </w:tcPr>
          <w:p>
            <w:pPr>
              <w:spacing w:after="0"/>
              <w:rPr>
                <w:sz w:val="6"/>
                <w:szCs w:val="6"/>
                <w:color w:val="auto"/>
              </w:rPr>
            </w:pPr>
          </w:p>
        </w:tc>
        <w:tc>
          <w:tcPr>
            <w:tcW w:w="720" w:type="dxa"/>
            <w:vAlign w:val="bottom"/>
            <w:shd w:val="clear" w:color="auto" w:fill="CFF0FC"/>
          </w:tcPr>
          <w:p>
            <w:pPr>
              <w:spacing w:after="0"/>
              <w:rPr>
                <w:sz w:val="6"/>
                <w:szCs w:val="6"/>
                <w:color w:val="auto"/>
              </w:rPr>
            </w:pPr>
          </w:p>
        </w:tc>
        <w:tc>
          <w:tcPr>
            <w:tcW w:w="26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60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74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60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74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60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64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58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64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180" w:type="dxa"/>
            <w:vAlign w:val="bottom"/>
            <w:shd w:val="clear" w:color="auto" w:fill="CFF0FC"/>
          </w:tcPr>
          <w:p>
            <w:pPr>
              <w:spacing w:after="0"/>
              <w:rPr>
                <w:sz w:val="6"/>
                <w:szCs w:val="6"/>
                <w:color w:val="auto"/>
              </w:rPr>
            </w:pPr>
          </w:p>
        </w:tc>
        <w:tc>
          <w:tcPr>
            <w:tcW w:w="66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20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Exercise of stock options</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289</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5"/>
        </w:trPr>
        <w:tc>
          <w:tcPr>
            <w:tcW w:w="2060" w:type="dxa"/>
            <w:vAlign w:val="bottom"/>
            <w:shd w:val="clear" w:color="auto" w:fill="CFF0FC"/>
          </w:tcPr>
          <w:p>
            <w:pPr>
              <w:ind w:left="60"/>
              <w:spacing w:after="0" w:line="125" w:lineRule="exact"/>
              <w:rPr>
                <w:sz w:val="20"/>
                <w:szCs w:val="20"/>
                <w:color w:val="auto"/>
              </w:rPr>
            </w:pPr>
            <w:r>
              <w:rPr>
                <w:rFonts w:ascii="Times New Roman" w:cs="Times New Roman" w:eastAsia="Times New Roman" w:hAnsi="Times New Roman"/>
                <w:sz w:val="11"/>
                <w:szCs w:val="11"/>
                <w:color w:val="auto"/>
              </w:rPr>
              <w:t>Repurchase of common stock for employee</w:t>
            </w:r>
          </w:p>
        </w:tc>
        <w:tc>
          <w:tcPr>
            <w:tcW w:w="98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(300 )</w:t>
            </w:r>
          </w:p>
        </w:tc>
        <w:tc>
          <w:tcPr>
            <w:tcW w:w="120" w:type="dxa"/>
            <w:vAlign w:val="bottom"/>
            <w:shd w:val="clear" w:color="auto" w:fill="CFF0FC"/>
          </w:tcPr>
          <w:p>
            <w:pPr>
              <w:spacing w:after="0"/>
              <w:rPr>
                <w:sz w:val="10"/>
                <w:szCs w:val="10"/>
                <w:color w:val="auto"/>
              </w:rPr>
            </w:pPr>
          </w:p>
        </w:tc>
        <w:tc>
          <w:tcPr>
            <w:tcW w:w="84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76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(2,207 )</w:t>
            </w:r>
          </w:p>
        </w:tc>
        <w:tc>
          <w:tcPr>
            <w:tcW w:w="140" w:type="dxa"/>
            <w:vAlign w:val="bottom"/>
            <w:shd w:val="clear" w:color="auto" w:fill="CFF0FC"/>
          </w:tcPr>
          <w:p>
            <w:pPr>
              <w:spacing w:after="0"/>
              <w:rPr>
                <w:sz w:val="10"/>
                <w:szCs w:val="10"/>
                <w:color w:val="auto"/>
              </w:rPr>
            </w:pPr>
          </w:p>
        </w:tc>
        <w:tc>
          <w:tcPr>
            <w:tcW w:w="7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7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0"/>
                <w:szCs w:val="10"/>
                <w:color w:val="auto"/>
              </w:rPr>
            </w:pPr>
          </w:p>
        </w:tc>
        <w:tc>
          <w:tcPr>
            <w:tcW w:w="76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(2,207 )</w:t>
            </w:r>
          </w:p>
        </w:tc>
        <w:tc>
          <w:tcPr>
            <w:tcW w:w="0" w:type="dxa"/>
            <w:vAlign w:val="bottom"/>
          </w:tcPr>
          <w:p>
            <w:pPr>
              <w:spacing w:after="0"/>
              <w:rPr>
                <w:sz w:val="1"/>
                <w:szCs w:val="1"/>
                <w:color w:val="auto"/>
              </w:rPr>
            </w:pPr>
          </w:p>
        </w:tc>
      </w:tr>
      <w:tr>
        <w:trPr>
          <w:trHeight w:val="73"/>
        </w:trPr>
        <w:tc>
          <w:tcPr>
            <w:tcW w:w="2060" w:type="dxa"/>
            <w:vAlign w:val="bottom"/>
            <w:vMerge w:val="restart"/>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tax witholding and strike price</w:t>
            </w:r>
          </w:p>
        </w:tc>
        <w:tc>
          <w:tcPr>
            <w:tcW w:w="980" w:type="dxa"/>
            <w:vAlign w:val="bottom"/>
            <w:gridSpan w:val="2"/>
            <w:vMerge w:val="continue"/>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840" w:type="dxa"/>
            <w:vAlign w:val="bottom"/>
            <w:gridSpan w:val="2"/>
            <w:vMerge w:val="continue"/>
            <w:shd w:val="clear" w:color="auto" w:fill="CFF0FC"/>
          </w:tcPr>
          <w:p>
            <w:pPr>
              <w:spacing w:after="0"/>
              <w:rPr>
                <w:sz w:val="6"/>
                <w:szCs w:val="6"/>
                <w:color w:val="auto"/>
              </w:rPr>
            </w:pPr>
          </w:p>
        </w:tc>
        <w:tc>
          <w:tcPr>
            <w:tcW w:w="980" w:type="dxa"/>
            <w:vAlign w:val="bottom"/>
            <w:gridSpan w:val="2"/>
            <w:vMerge w:val="continue"/>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600" w:type="dxa"/>
            <w:vAlign w:val="bottom"/>
            <w:vMerge w:val="continue"/>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740" w:type="dxa"/>
            <w:vAlign w:val="bottom"/>
            <w:vMerge w:val="continue"/>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740" w:type="dxa"/>
            <w:vAlign w:val="bottom"/>
            <w:gridSpan w:val="2"/>
            <w:vMerge w:val="continue"/>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760" w:type="dxa"/>
            <w:vAlign w:val="bottom"/>
            <w:gridSpan w:val="2"/>
            <w:vMerge w:val="continue"/>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720" w:type="dxa"/>
            <w:vAlign w:val="bottom"/>
            <w:gridSpan w:val="2"/>
            <w:vMerge w:val="continue"/>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740" w:type="dxa"/>
            <w:vAlign w:val="bottom"/>
            <w:gridSpan w:val="2"/>
            <w:vMerge w:val="continue"/>
            <w:shd w:val="clear" w:color="auto" w:fill="CFF0FC"/>
          </w:tcPr>
          <w:p>
            <w:pPr>
              <w:spacing w:after="0"/>
              <w:rPr>
                <w:sz w:val="6"/>
                <w:szCs w:val="6"/>
                <w:color w:val="auto"/>
              </w:rPr>
            </w:pPr>
          </w:p>
        </w:tc>
        <w:tc>
          <w:tcPr>
            <w:tcW w:w="180" w:type="dxa"/>
            <w:vAlign w:val="bottom"/>
            <w:shd w:val="clear" w:color="auto" w:fill="CFF0FC"/>
          </w:tcPr>
          <w:p>
            <w:pPr>
              <w:spacing w:after="0"/>
              <w:rPr>
                <w:sz w:val="6"/>
                <w:szCs w:val="6"/>
                <w:color w:val="auto"/>
              </w:rPr>
            </w:pPr>
          </w:p>
        </w:tc>
        <w:tc>
          <w:tcPr>
            <w:tcW w:w="760" w:type="dxa"/>
            <w:vAlign w:val="bottom"/>
            <w:gridSpan w:val="2"/>
            <w:vMerge w:val="continue"/>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76"/>
        </w:trPr>
        <w:tc>
          <w:tcPr>
            <w:tcW w:w="2060" w:type="dxa"/>
            <w:vAlign w:val="bottom"/>
            <w:vMerge w:val="continue"/>
            <w:shd w:val="clear" w:color="auto" w:fill="CFF0FC"/>
          </w:tcPr>
          <w:p>
            <w:pPr>
              <w:spacing w:after="0"/>
              <w:rPr>
                <w:sz w:val="6"/>
                <w:szCs w:val="6"/>
                <w:color w:val="auto"/>
              </w:rPr>
            </w:pPr>
          </w:p>
        </w:tc>
        <w:tc>
          <w:tcPr>
            <w:tcW w:w="720" w:type="dxa"/>
            <w:vAlign w:val="bottom"/>
            <w:shd w:val="clear" w:color="auto" w:fill="CFF0FC"/>
          </w:tcPr>
          <w:p>
            <w:pPr>
              <w:spacing w:after="0"/>
              <w:rPr>
                <w:sz w:val="6"/>
                <w:szCs w:val="6"/>
                <w:color w:val="auto"/>
              </w:rPr>
            </w:pPr>
          </w:p>
        </w:tc>
        <w:tc>
          <w:tcPr>
            <w:tcW w:w="26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60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74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60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74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60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64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58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64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180" w:type="dxa"/>
            <w:vAlign w:val="bottom"/>
            <w:shd w:val="clear" w:color="auto" w:fill="CFF0FC"/>
          </w:tcPr>
          <w:p>
            <w:pPr>
              <w:spacing w:after="0"/>
              <w:rPr>
                <w:sz w:val="6"/>
                <w:szCs w:val="6"/>
                <w:color w:val="auto"/>
              </w:rPr>
            </w:pPr>
          </w:p>
        </w:tc>
        <w:tc>
          <w:tcPr>
            <w:tcW w:w="66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20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Stock repurchase</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(3,683 )</w:t>
            </w:r>
          </w:p>
        </w:tc>
        <w:tc>
          <w:tcPr>
            <w:tcW w:w="12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(4 )</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3,683</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(30,034 )</w:t>
            </w:r>
          </w:p>
        </w:tc>
        <w:tc>
          <w:tcPr>
            <w:tcW w:w="8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(30,038 )</w:t>
            </w:r>
          </w:p>
        </w:tc>
        <w:tc>
          <w:tcPr>
            <w:tcW w:w="0" w:type="dxa"/>
            <w:vAlign w:val="bottom"/>
          </w:tcPr>
          <w:p>
            <w:pPr>
              <w:spacing w:after="0"/>
              <w:rPr>
                <w:sz w:val="1"/>
                <w:szCs w:val="1"/>
                <w:color w:val="auto"/>
              </w:rPr>
            </w:pPr>
          </w:p>
        </w:tc>
      </w:tr>
      <w:tr>
        <w:trPr>
          <w:trHeight w:val="125"/>
        </w:trPr>
        <w:tc>
          <w:tcPr>
            <w:tcW w:w="2060" w:type="dxa"/>
            <w:vAlign w:val="bottom"/>
            <w:shd w:val="clear" w:color="auto" w:fill="CFF0FC"/>
          </w:tcPr>
          <w:p>
            <w:pPr>
              <w:ind w:left="60"/>
              <w:spacing w:after="0" w:line="125" w:lineRule="exact"/>
              <w:rPr>
                <w:sz w:val="20"/>
                <w:szCs w:val="20"/>
                <w:color w:val="auto"/>
              </w:rPr>
            </w:pPr>
            <w:r>
              <w:rPr>
                <w:rFonts w:ascii="Times New Roman" w:cs="Times New Roman" w:eastAsia="Times New Roman" w:hAnsi="Times New Roman"/>
                <w:sz w:val="11"/>
                <w:szCs w:val="11"/>
                <w:color w:val="auto"/>
              </w:rPr>
              <w:t>Accrual for excise tax associated with stock</w:t>
            </w:r>
          </w:p>
        </w:tc>
        <w:tc>
          <w:tcPr>
            <w:tcW w:w="98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84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76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(300 )</w:t>
            </w:r>
          </w:p>
        </w:tc>
        <w:tc>
          <w:tcPr>
            <w:tcW w:w="140" w:type="dxa"/>
            <w:vAlign w:val="bottom"/>
            <w:shd w:val="clear" w:color="auto" w:fill="CFF0FC"/>
          </w:tcPr>
          <w:p>
            <w:pPr>
              <w:spacing w:after="0"/>
              <w:rPr>
                <w:sz w:val="10"/>
                <w:szCs w:val="10"/>
                <w:color w:val="auto"/>
              </w:rPr>
            </w:pPr>
          </w:p>
        </w:tc>
        <w:tc>
          <w:tcPr>
            <w:tcW w:w="7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7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0"/>
                <w:szCs w:val="10"/>
                <w:color w:val="auto"/>
              </w:rPr>
            </w:pPr>
          </w:p>
        </w:tc>
        <w:tc>
          <w:tcPr>
            <w:tcW w:w="76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(300 )</w:t>
            </w:r>
          </w:p>
        </w:tc>
        <w:tc>
          <w:tcPr>
            <w:tcW w:w="0" w:type="dxa"/>
            <w:vAlign w:val="bottom"/>
          </w:tcPr>
          <w:p>
            <w:pPr>
              <w:spacing w:after="0"/>
              <w:rPr>
                <w:sz w:val="1"/>
                <w:szCs w:val="1"/>
                <w:color w:val="auto"/>
              </w:rPr>
            </w:pPr>
          </w:p>
        </w:tc>
      </w:tr>
      <w:tr>
        <w:trPr>
          <w:trHeight w:val="73"/>
        </w:trPr>
        <w:tc>
          <w:tcPr>
            <w:tcW w:w="2060" w:type="dxa"/>
            <w:vAlign w:val="bottom"/>
            <w:vMerge w:val="restart"/>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repurchases</w:t>
            </w:r>
          </w:p>
        </w:tc>
        <w:tc>
          <w:tcPr>
            <w:tcW w:w="980" w:type="dxa"/>
            <w:vAlign w:val="bottom"/>
            <w:gridSpan w:val="2"/>
            <w:vMerge w:val="continue"/>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840" w:type="dxa"/>
            <w:vAlign w:val="bottom"/>
            <w:gridSpan w:val="2"/>
            <w:vMerge w:val="continue"/>
            <w:shd w:val="clear" w:color="auto" w:fill="CFF0FC"/>
          </w:tcPr>
          <w:p>
            <w:pPr>
              <w:spacing w:after="0"/>
              <w:rPr>
                <w:sz w:val="6"/>
                <w:szCs w:val="6"/>
                <w:color w:val="auto"/>
              </w:rPr>
            </w:pPr>
          </w:p>
        </w:tc>
        <w:tc>
          <w:tcPr>
            <w:tcW w:w="980" w:type="dxa"/>
            <w:vAlign w:val="bottom"/>
            <w:gridSpan w:val="2"/>
            <w:vMerge w:val="continue"/>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600" w:type="dxa"/>
            <w:vAlign w:val="bottom"/>
            <w:vMerge w:val="continue"/>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740" w:type="dxa"/>
            <w:vAlign w:val="bottom"/>
            <w:vMerge w:val="continue"/>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740" w:type="dxa"/>
            <w:vAlign w:val="bottom"/>
            <w:gridSpan w:val="2"/>
            <w:vMerge w:val="continue"/>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760" w:type="dxa"/>
            <w:vAlign w:val="bottom"/>
            <w:gridSpan w:val="2"/>
            <w:vMerge w:val="continue"/>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720" w:type="dxa"/>
            <w:vAlign w:val="bottom"/>
            <w:gridSpan w:val="2"/>
            <w:vMerge w:val="continue"/>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740" w:type="dxa"/>
            <w:vAlign w:val="bottom"/>
            <w:gridSpan w:val="2"/>
            <w:vMerge w:val="continue"/>
            <w:shd w:val="clear" w:color="auto" w:fill="CFF0FC"/>
          </w:tcPr>
          <w:p>
            <w:pPr>
              <w:spacing w:after="0"/>
              <w:rPr>
                <w:sz w:val="6"/>
                <w:szCs w:val="6"/>
                <w:color w:val="auto"/>
              </w:rPr>
            </w:pPr>
          </w:p>
        </w:tc>
        <w:tc>
          <w:tcPr>
            <w:tcW w:w="180" w:type="dxa"/>
            <w:vAlign w:val="bottom"/>
            <w:shd w:val="clear" w:color="auto" w:fill="CFF0FC"/>
          </w:tcPr>
          <w:p>
            <w:pPr>
              <w:spacing w:after="0"/>
              <w:rPr>
                <w:sz w:val="6"/>
                <w:szCs w:val="6"/>
                <w:color w:val="auto"/>
              </w:rPr>
            </w:pPr>
          </w:p>
        </w:tc>
        <w:tc>
          <w:tcPr>
            <w:tcW w:w="760" w:type="dxa"/>
            <w:vAlign w:val="bottom"/>
            <w:gridSpan w:val="2"/>
            <w:vMerge w:val="continue"/>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76"/>
        </w:trPr>
        <w:tc>
          <w:tcPr>
            <w:tcW w:w="2060" w:type="dxa"/>
            <w:vAlign w:val="bottom"/>
            <w:vMerge w:val="continue"/>
            <w:shd w:val="clear" w:color="auto" w:fill="CFF0FC"/>
          </w:tcPr>
          <w:p>
            <w:pPr>
              <w:spacing w:after="0"/>
              <w:rPr>
                <w:sz w:val="6"/>
                <w:szCs w:val="6"/>
                <w:color w:val="auto"/>
              </w:rPr>
            </w:pPr>
          </w:p>
        </w:tc>
        <w:tc>
          <w:tcPr>
            <w:tcW w:w="720" w:type="dxa"/>
            <w:vAlign w:val="bottom"/>
            <w:shd w:val="clear" w:color="auto" w:fill="CFF0FC"/>
          </w:tcPr>
          <w:p>
            <w:pPr>
              <w:spacing w:after="0"/>
              <w:rPr>
                <w:sz w:val="6"/>
                <w:szCs w:val="6"/>
                <w:color w:val="auto"/>
              </w:rPr>
            </w:pPr>
          </w:p>
        </w:tc>
        <w:tc>
          <w:tcPr>
            <w:tcW w:w="26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60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74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60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74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60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64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58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64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180" w:type="dxa"/>
            <w:vAlign w:val="bottom"/>
            <w:shd w:val="clear" w:color="auto" w:fill="CFF0FC"/>
          </w:tcPr>
          <w:p>
            <w:pPr>
              <w:spacing w:after="0"/>
              <w:rPr>
                <w:sz w:val="6"/>
                <w:szCs w:val="6"/>
                <w:color w:val="auto"/>
              </w:rPr>
            </w:pPr>
          </w:p>
        </w:tc>
        <w:tc>
          <w:tcPr>
            <w:tcW w:w="66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20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Distribution to non-controlling interests, net</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(153 )</w:t>
            </w:r>
          </w:p>
        </w:tc>
        <w:tc>
          <w:tcPr>
            <w:tcW w:w="180" w:type="dxa"/>
            <w:vAlign w:val="bottom"/>
          </w:tcPr>
          <w:p>
            <w:pPr>
              <w:spacing w:after="0"/>
              <w:rPr>
                <w:sz w:val="12"/>
                <w:szCs w:val="12"/>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(153 )</w:t>
            </w:r>
          </w:p>
        </w:tc>
        <w:tc>
          <w:tcPr>
            <w:tcW w:w="0" w:type="dxa"/>
            <w:vAlign w:val="bottom"/>
          </w:tcPr>
          <w:p>
            <w:pPr>
              <w:spacing w:after="0"/>
              <w:rPr>
                <w:sz w:val="1"/>
                <w:szCs w:val="1"/>
                <w:color w:val="auto"/>
              </w:rPr>
            </w:pPr>
          </w:p>
        </w:tc>
      </w:tr>
      <w:tr>
        <w:trPr>
          <w:trHeight w:val="153"/>
        </w:trPr>
        <w:tc>
          <w:tcPr>
            <w:tcW w:w="2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Dividends declared</w:t>
            </w:r>
          </w:p>
        </w:tc>
        <w:tc>
          <w:tcPr>
            <w:tcW w:w="9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(23 )</w:t>
            </w:r>
          </w:p>
        </w:tc>
        <w:tc>
          <w:tcPr>
            <w:tcW w:w="14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(23 )</w:t>
            </w:r>
          </w:p>
        </w:tc>
        <w:tc>
          <w:tcPr>
            <w:tcW w:w="0" w:type="dxa"/>
            <w:vAlign w:val="bottom"/>
          </w:tcPr>
          <w:p>
            <w:pPr>
              <w:spacing w:after="0"/>
              <w:rPr>
                <w:sz w:val="1"/>
                <w:szCs w:val="1"/>
                <w:color w:val="auto"/>
              </w:rPr>
            </w:pPr>
          </w:p>
        </w:tc>
      </w:tr>
      <w:tr>
        <w:trPr>
          <w:trHeight w:val="144"/>
        </w:trPr>
        <w:tc>
          <w:tcPr>
            <w:tcW w:w="20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Dividends paid per share $0.03</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(3,774 )</w:t>
            </w:r>
          </w:p>
        </w:tc>
        <w:tc>
          <w:tcPr>
            <w:tcW w:w="14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(3,774 )</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March 31, 2024</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54,583</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55</w:t>
            </w:r>
          </w:p>
        </w:tc>
        <w:tc>
          <w:tcPr>
            <w:tcW w:w="24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58,439</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58</w:t>
            </w:r>
          </w:p>
        </w:tc>
        <w:tc>
          <w:tcPr>
            <w:tcW w:w="24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5,524</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(47,622 )</w:t>
            </w: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635,944</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(227,991 )</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39,642</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400,086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60" w:type="dxa"/>
            <w:vAlign w:val="bottom"/>
            <w:tcBorders>
              <w:top w:val="single" w:sz="8" w:color="CFF0FC"/>
            </w:tcBorders>
          </w:tcPr>
          <w:p>
            <w:pPr>
              <w:ind w:left="60"/>
              <w:spacing w:after="0"/>
              <w:rPr>
                <w:sz w:val="20"/>
                <w:szCs w:val="20"/>
                <w:color w:val="auto"/>
              </w:rPr>
            </w:pPr>
            <w:r>
              <w:rPr>
                <w:rFonts w:ascii="Times New Roman" w:cs="Times New Roman" w:eastAsia="Times New Roman" w:hAnsi="Times New Roman"/>
                <w:sz w:val="11"/>
                <w:szCs w:val="11"/>
                <w:color w:val="auto"/>
              </w:rPr>
              <w:t>Net income</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top w:val="single" w:sz="8" w:color="CFF0FC"/>
            </w:tcBorders>
          </w:tcPr>
          <w:p>
            <w:pPr>
              <w:spacing w:after="0"/>
              <w:rPr>
                <w:sz w:val="11"/>
                <w:szCs w:val="11"/>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top w:val="single" w:sz="8" w:color="CFF0FC"/>
            </w:tcBorders>
          </w:tcPr>
          <w:p>
            <w:pPr>
              <w:spacing w:after="0"/>
              <w:rPr>
                <w:sz w:val="11"/>
                <w:szCs w:val="11"/>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6,993</w:t>
            </w:r>
          </w:p>
        </w:tc>
        <w:tc>
          <w:tcPr>
            <w:tcW w:w="14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397</w:t>
            </w:r>
          </w:p>
        </w:tc>
        <w:tc>
          <w:tcPr>
            <w:tcW w:w="100" w:type="dxa"/>
            <w:vAlign w:val="bottom"/>
            <w:tcBorders>
              <w:top w:val="single" w:sz="8" w:color="CFF0FC"/>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7,390</w:t>
            </w: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Stock-based compensation</w:t>
            </w:r>
          </w:p>
        </w:tc>
        <w:tc>
          <w:tcPr>
            <w:tcW w:w="9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6,654</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6,654</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Issuance of restricted stock awards</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2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Issuance of restricted stock units</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132</w:t>
            </w:r>
          </w:p>
        </w:tc>
        <w:tc>
          <w:tcPr>
            <w:tcW w:w="2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2060" w:type="dxa"/>
            <w:vAlign w:val="bottom"/>
          </w:tcPr>
          <w:p>
            <w:pPr>
              <w:ind w:left="60"/>
              <w:spacing w:after="0" w:line="122" w:lineRule="exact"/>
              <w:rPr>
                <w:sz w:val="20"/>
                <w:szCs w:val="20"/>
                <w:color w:val="auto"/>
              </w:rPr>
            </w:pPr>
            <w:r>
              <w:rPr>
                <w:rFonts w:ascii="Times New Roman" w:cs="Times New Roman" w:eastAsia="Times New Roman" w:hAnsi="Times New Roman"/>
                <w:sz w:val="11"/>
                <w:szCs w:val="11"/>
                <w:color w:val="auto"/>
                <w:w w:val="98"/>
              </w:rPr>
              <w:t>Exchange of Class B common stock for Class</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231</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1"/>
                <w:szCs w:val="11"/>
                <w:color w:val="auto"/>
              </w:rPr>
              <w:t>(231 )</w:t>
            </w:r>
          </w:p>
        </w:tc>
        <w:tc>
          <w:tcPr>
            <w:tcW w:w="12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73"/>
        </w:trPr>
        <w:tc>
          <w:tcPr>
            <w:tcW w:w="206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auto"/>
              </w:rPr>
              <w:t>A common stock</w:t>
            </w:r>
          </w:p>
        </w:tc>
        <w:tc>
          <w:tcPr>
            <w:tcW w:w="7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206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2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Exercise of stock options</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26</w:t>
            </w:r>
          </w:p>
        </w:tc>
        <w:tc>
          <w:tcPr>
            <w:tcW w:w="2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2060" w:type="dxa"/>
            <w:vAlign w:val="bottom"/>
          </w:tcPr>
          <w:p>
            <w:pPr>
              <w:ind w:left="60"/>
              <w:spacing w:after="0" w:line="122" w:lineRule="exact"/>
              <w:rPr>
                <w:sz w:val="20"/>
                <w:szCs w:val="20"/>
                <w:color w:val="auto"/>
              </w:rPr>
            </w:pPr>
            <w:r>
              <w:rPr>
                <w:rFonts w:ascii="Times New Roman" w:cs="Times New Roman" w:eastAsia="Times New Roman" w:hAnsi="Times New Roman"/>
                <w:sz w:val="11"/>
                <w:szCs w:val="11"/>
                <w:color w:val="auto"/>
              </w:rPr>
              <w:t>Repurchase of common stock for employee</w:t>
            </w:r>
          </w:p>
        </w:tc>
        <w:tc>
          <w:tcPr>
            <w:tcW w:w="9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1"/>
                <w:szCs w:val="11"/>
                <w:color w:val="auto"/>
              </w:rPr>
              <w:t>(60 )</w:t>
            </w:r>
          </w:p>
        </w:tc>
        <w:tc>
          <w:tcPr>
            <w:tcW w:w="120" w:type="dxa"/>
            <w:vAlign w:val="bottom"/>
          </w:tcPr>
          <w:p>
            <w:pPr>
              <w:spacing w:after="0"/>
              <w:rPr>
                <w:sz w:val="10"/>
                <w:szCs w:val="10"/>
                <w:color w:val="auto"/>
              </w:rPr>
            </w:pPr>
          </w:p>
        </w:tc>
        <w:tc>
          <w:tcPr>
            <w:tcW w:w="8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7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1"/>
                <w:szCs w:val="11"/>
                <w:color w:val="auto"/>
              </w:rPr>
              <w:t>(470 )</w:t>
            </w:r>
          </w:p>
        </w:tc>
        <w:tc>
          <w:tcPr>
            <w:tcW w:w="140" w:type="dxa"/>
            <w:vAlign w:val="bottom"/>
          </w:tcPr>
          <w:p>
            <w:pPr>
              <w:spacing w:after="0"/>
              <w:rPr>
                <w:sz w:val="10"/>
                <w:szCs w:val="10"/>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auto"/>
              </w:rPr>
              <w:t>(470 )</w:t>
            </w:r>
          </w:p>
        </w:tc>
        <w:tc>
          <w:tcPr>
            <w:tcW w:w="0" w:type="dxa"/>
            <w:vAlign w:val="bottom"/>
          </w:tcPr>
          <w:p>
            <w:pPr>
              <w:spacing w:after="0"/>
              <w:rPr>
                <w:sz w:val="1"/>
                <w:szCs w:val="1"/>
                <w:color w:val="auto"/>
              </w:rPr>
            </w:pPr>
          </w:p>
        </w:tc>
      </w:tr>
      <w:tr>
        <w:trPr>
          <w:trHeight w:val="73"/>
        </w:trPr>
        <w:tc>
          <w:tcPr>
            <w:tcW w:w="206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auto"/>
              </w:rPr>
              <w:t>tax witholding and strike price</w:t>
            </w:r>
          </w:p>
        </w:tc>
        <w:tc>
          <w:tcPr>
            <w:tcW w:w="9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206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2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Stock repurchase</w:t>
            </w:r>
          </w:p>
        </w:tc>
        <w:tc>
          <w:tcPr>
            <w:tcW w:w="9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(1,534 )</w:t>
            </w:r>
          </w:p>
        </w:tc>
        <w:tc>
          <w:tcPr>
            <w:tcW w:w="12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(2 )</w:t>
            </w:r>
          </w:p>
        </w:tc>
        <w:tc>
          <w:tcPr>
            <w:tcW w:w="9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1,534</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(12,463 )</w:t>
            </w:r>
          </w:p>
        </w:tc>
        <w:tc>
          <w:tcPr>
            <w:tcW w:w="8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(12,465 )</w:t>
            </w:r>
          </w:p>
        </w:tc>
        <w:tc>
          <w:tcPr>
            <w:tcW w:w="0" w:type="dxa"/>
            <w:vAlign w:val="bottom"/>
          </w:tcPr>
          <w:p>
            <w:pPr>
              <w:spacing w:after="0"/>
              <w:rPr>
                <w:sz w:val="1"/>
                <w:szCs w:val="1"/>
                <w:color w:val="auto"/>
              </w:rPr>
            </w:pPr>
          </w:p>
        </w:tc>
      </w:tr>
      <w:tr>
        <w:trPr>
          <w:trHeight w:val="121"/>
        </w:trPr>
        <w:tc>
          <w:tcPr>
            <w:tcW w:w="2060" w:type="dxa"/>
            <w:vAlign w:val="bottom"/>
          </w:tcPr>
          <w:p>
            <w:pPr>
              <w:ind w:left="60"/>
              <w:spacing w:after="0" w:line="122" w:lineRule="exact"/>
              <w:rPr>
                <w:sz w:val="20"/>
                <w:szCs w:val="20"/>
                <w:color w:val="auto"/>
              </w:rPr>
            </w:pPr>
            <w:r>
              <w:rPr>
                <w:rFonts w:ascii="Times New Roman" w:cs="Times New Roman" w:eastAsia="Times New Roman" w:hAnsi="Times New Roman"/>
                <w:sz w:val="11"/>
                <w:szCs w:val="11"/>
                <w:color w:val="auto"/>
              </w:rPr>
              <w:t>Accrual for excise tax associated with stock</w:t>
            </w:r>
          </w:p>
        </w:tc>
        <w:tc>
          <w:tcPr>
            <w:tcW w:w="9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7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1"/>
                <w:szCs w:val="11"/>
                <w:color w:val="auto"/>
              </w:rPr>
              <w:t>(61 )</w:t>
            </w:r>
          </w:p>
        </w:tc>
        <w:tc>
          <w:tcPr>
            <w:tcW w:w="140" w:type="dxa"/>
            <w:vAlign w:val="bottom"/>
          </w:tcPr>
          <w:p>
            <w:pPr>
              <w:spacing w:after="0"/>
              <w:rPr>
                <w:sz w:val="10"/>
                <w:szCs w:val="10"/>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auto"/>
              </w:rPr>
              <w:t>(61 )</w:t>
            </w:r>
          </w:p>
        </w:tc>
        <w:tc>
          <w:tcPr>
            <w:tcW w:w="0" w:type="dxa"/>
            <w:vAlign w:val="bottom"/>
          </w:tcPr>
          <w:p>
            <w:pPr>
              <w:spacing w:after="0"/>
              <w:rPr>
                <w:sz w:val="1"/>
                <w:szCs w:val="1"/>
                <w:color w:val="auto"/>
              </w:rPr>
            </w:pPr>
          </w:p>
        </w:tc>
      </w:tr>
      <w:tr>
        <w:trPr>
          <w:trHeight w:val="73"/>
        </w:trPr>
        <w:tc>
          <w:tcPr>
            <w:tcW w:w="206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auto"/>
              </w:rPr>
              <w:t>repurchases</w:t>
            </w:r>
          </w:p>
        </w:tc>
        <w:tc>
          <w:tcPr>
            <w:tcW w:w="9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206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2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Distribution to non-controlling interests, net</w:t>
            </w:r>
          </w:p>
        </w:tc>
        <w:tc>
          <w:tcPr>
            <w:tcW w:w="9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(171 )</w:t>
            </w:r>
          </w:p>
        </w:tc>
        <w:tc>
          <w:tcPr>
            <w:tcW w:w="18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(171 )</w:t>
            </w:r>
          </w:p>
        </w:tc>
        <w:tc>
          <w:tcPr>
            <w:tcW w:w="0" w:type="dxa"/>
            <w:vAlign w:val="bottom"/>
          </w:tcPr>
          <w:p>
            <w:pPr>
              <w:spacing w:after="0"/>
              <w:rPr>
                <w:sz w:val="1"/>
                <w:szCs w:val="1"/>
                <w:color w:val="auto"/>
              </w:rPr>
            </w:pPr>
          </w:p>
        </w:tc>
      </w:tr>
      <w:tr>
        <w:trPr>
          <w:trHeight w:val="144"/>
        </w:trPr>
        <w:tc>
          <w:tcPr>
            <w:tcW w:w="20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Dividends declared</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(162 )</w:t>
            </w:r>
          </w:p>
        </w:tc>
        <w:tc>
          <w:tcPr>
            <w:tcW w:w="14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(162 )</w:t>
            </w:r>
          </w:p>
        </w:tc>
        <w:tc>
          <w:tcPr>
            <w:tcW w:w="0" w:type="dxa"/>
            <w:vAlign w:val="bottom"/>
          </w:tcPr>
          <w:p>
            <w:pPr>
              <w:spacing w:after="0"/>
              <w:rPr>
                <w:sz w:val="1"/>
                <w:szCs w:val="1"/>
                <w:color w:val="auto"/>
              </w:rPr>
            </w:pPr>
          </w:p>
        </w:tc>
      </w:tr>
      <w:tr>
        <w:trPr>
          <w:trHeight w:val="149"/>
        </w:trPr>
        <w:tc>
          <w:tcPr>
            <w:tcW w:w="2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Dividends paid per share $0.04</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(3,934 )</w:t>
            </w:r>
          </w:p>
        </w:tc>
        <w:tc>
          <w:tcPr>
            <w:tcW w:w="14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(3,934 )</w:t>
            </w:r>
          </w:p>
        </w:tc>
        <w:tc>
          <w:tcPr>
            <w:tcW w:w="0" w:type="dxa"/>
            <w:vAlign w:val="bottom"/>
          </w:tcPr>
          <w:p>
            <w:pPr>
              <w:spacing w:after="0"/>
              <w:rPr>
                <w:sz w:val="1"/>
                <w:szCs w:val="1"/>
                <w:color w:val="auto"/>
              </w:rPr>
            </w:pPr>
          </w:p>
        </w:tc>
      </w:tr>
      <w:tr>
        <w:trPr>
          <w:trHeight w:val="20"/>
        </w:trPr>
        <w:tc>
          <w:tcPr>
            <w:tcW w:w="206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June 30, 2024</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53,471</w:t>
            </w:r>
          </w:p>
        </w:tc>
        <w:tc>
          <w:tcPr>
            <w:tcW w:w="260" w:type="dxa"/>
            <w:vAlign w:val="bottom"/>
          </w:tcPr>
          <w:p>
            <w:pPr>
              <w:spacing w:after="0"/>
              <w:rPr>
                <w:sz w:val="12"/>
                <w:szCs w:val="12"/>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w:t>
            </w:r>
          </w:p>
        </w:tc>
        <w:tc>
          <w:tcPr>
            <w:tcW w:w="2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58,208</w:t>
            </w:r>
          </w:p>
        </w:tc>
        <w:tc>
          <w:tcPr>
            <w:tcW w:w="240" w:type="dxa"/>
            <w:vAlign w:val="bottom"/>
          </w:tcPr>
          <w:p>
            <w:pPr>
              <w:spacing w:after="0"/>
              <w:rPr>
                <w:sz w:val="12"/>
                <w:szCs w:val="12"/>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w:t>
            </w:r>
          </w:p>
        </w:tc>
        <w:tc>
          <w:tcPr>
            <w:tcW w:w="2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7,058</w:t>
            </w:r>
          </w:p>
        </w:tc>
        <w:tc>
          <w:tcPr>
            <w:tcW w:w="240" w:type="dxa"/>
            <w:vAlign w:val="bottom"/>
          </w:tcPr>
          <w:p>
            <w:pPr>
              <w:spacing w:after="0"/>
              <w:rPr>
                <w:sz w:val="12"/>
                <w:szCs w:val="12"/>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(60,085 )</w:t>
            </w:r>
          </w:p>
        </w:tc>
        <w:tc>
          <w:tcPr>
            <w:tcW w:w="8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637,971</w:t>
            </w:r>
          </w:p>
        </w:tc>
        <w:tc>
          <w:tcPr>
            <w:tcW w:w="120" w:type="dxa"/>
            <w:vAlign w:val="bottom"/>
          </w:tcPr>
          <w:p>
            <w:pPr>
              <w:spacing w:after="0"/>
              <w:rPr>
                <w:sz w:val="12"/>
                <w:szCs w:val="12"/>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(220,998 )</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39,868</w:t>
            </w:r>
          </w:p>
        </w:tc>
        <w:tc>
          <w:tcPr>
            <w:tcW w:w="100" w:type="dxa"/>
            <w:vAlign w:val="bottom"/>
          </w:tcPr>
          <w:p>
            <w:pPr>
              <w:spacing w:after="0"/>
              <w:rPr>
                <w:sz w:val="12"/>
                <w:szCs w:val="12"/>
                <w:color w:val="auto"/>
              </w:rPr>
            </w:pPr>
          </w:p>
        </w:tc>
        <w:tc>
          <w:tcPr>
            <w:tcW w:w="1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396,867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939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-2914015</wp:posOffset>
            </wp:positionV>
            <wp:extent cx="7683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-2896870</wp:posOffset>
            </wp:positionV>
            <wp:extent cx="768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-2914015</wp:posOffset>
            </wp:positionV>
            <wp:extent cx="7683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-2896870</wp:posOffset>
            </wp:positionV>
            <wp:extent cx="768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-2914015</wp:posOffset>
            </wp:positionV>
            <wp:extent cx="7683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-2896870</wp:posOffset>
            </wp:positionV>
            <wp:extent cx="768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-2914015</wp:posOffset>
            </wp:positionV>
            <wp:extent cx="7683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-2896870</wp:posOffset>
            </wp:positionV>
            <wp:extent cx="768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-2914015</wp:posOffset>
            </wp:positionV>
            <wp:extent cx="7683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-2896870</wp:posOffset>
            </wp:positionV>
            <wp:extent cx="768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-2914015</wp:posOffset>
            </wp:positionV>
            <wp:extent cx="7747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-2896870</wp:posOffset>
            </wp:positionV>
            <wp:extent cx="7747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-2914015</wp:posOffset>
            </wp:positionV>
            <wp:extent cx="7747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-2896870</wp:posOffset>
            </wp:positionV>
            <wp:extent cx="774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-2914015</wp:posOffset>
            </wp:positionV>
            <wp:extent cx="7747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-2896870</wp:posOffset>
            </wp:positionV>
            <wp:extent cx="7747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-2914015</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-2896870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-2914015</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-2896870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-1516380</wp:posOffset>
            </wp:positionV>
            <wp:extent cx="768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-1499870</wp:posOffset>
            </wp:positionV>
            <wp:extent cx="768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-1516380</wp:posOffset>
            </wp:positionV>
            <wp:extent cx="768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-1499870</wp:posOffset>
            </wp:positionV>
            <wp:extent cx="768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-1516380</wp:posOffset>
            </wp:positionV>
            <wp:extent cx="768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-1499870</wp:posOffset>
            </wp:positionV>
            <wp:extent cx="768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-1516380</wp:posOffset>
            </wp:positionV>
            <wp:extent cx="768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-1499870</wp:posOffset>
            </wp:positionV>
            <wp:extent cx="768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-1516380</wp:posOffset>
            </wp:positionV>
            <wp:extent cx="768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-1499870</wp:posOffset>
            </wp:positionV>
            <wp:extent cx="768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-1516380</wp:posOffset>
            </wp:positionV>
            <wp:extent cx="7747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-1499870</wp:posOffset>
            </wp:positionV>
            <wp:extent cx="7747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-1516380</wp:posOffset>
            </wp:positionV>
            <wp:extent cx="7747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-1499870</wp:posOffset>
            </wp:positionV>
            <wp:extent cx="7747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-1516380</wp:posOffset>
            </wp:positionV>
            <wp:extent cx="7747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-1499870</wp:posOffset>
            </wp:positionV>
            <wp:extent cx="7747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-1516380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-1499870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-1516380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-1499870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-128270</wp:posOffset>
            </wp:positionV>
            <wp:extent cx="7683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-128270</wp:posOffset>
            </wp:positionV>
            <wp:extent cx="7683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-128270</wp:posOffset>
            </wp:positionV>
            <wp:extent cx="768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-128270</wp:posOffset>
            </wp:positionV>
            <wp:extent cx="768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-128270</wp:posOffset>
            </wp:positionV>
            <wp:extent cx="7683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-128270</wp:posOffset>
            </wp:positionV>
            <wp:extent cx="7747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-128270</wp:posOffset>
            </wp:positionV>
            <wp:extent cx="7747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-128270</wp:posOffset>
            </wp:positionV>
            <wp:extent cx="7747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-128270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04" w:right="339" w:bottom="1440" w:gutter="0" w:footer="0" w:header="0"/>
        </w:sectPr>
      </w:pPr>
    </w:p>
    <w:p>
      <w:pPr>
        <w:ind w:left="60"/>
        <w:spacing w:after="0"/>
        <w:rPr>
          <w:sz w:val="20"/>
          <w:szCs w:val="20"/>
          <w:color w:val="auto"/>
        </w:rPr>
      </w:pPr>
      <w:r>
        <w:rPr>
          <w:rFonts w:ascii="Times New Roman" w:cs="Times New Roman" w:eastAsia="Times New Roman" w:hAnsi="Times New Roman"/>
          <w:sz w:val="11"/>
          <w:szCs w:val="11"/>
          <w:color w:val="auto"/>
        </w:rPr>
        <w:t>Net income</w:t>
      </w:r>
    </w:p>
    <w:p>
      <w:pPr>
        <w:spacing w:after="0" w:line="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1"/>
          <w:szCs w:val="11"/>
          <w:color w:val="auto"/>
        </w:rPr>
        <w:t>Stock-based compensation</w:t>
      </w:r>
    </w:p>
    <w:p>
      <w:pPr>
        <w:spacing w:after="0" w:line="22" w:lineRule="exact"/>
        <w:rPr>
          <w:sz w:val="20"/>
          <w:szCs w:val="20"/>
          <w:color w:val="auto"/>
        </w:rPr>
      </w:pPr>
    </w:p>
    <w:p>
      <w:pPr>
        <w:ind w:left="60"/>
        <w:spacing w:after="0" w:line="256" w:lineRule="auto"/>
        <w:rPr>
          <w:sz w:val="20"/>
          <w:szCs w:val="20"/>
          <w:color w:val="auto"/>
        </w:rPr>
      </w:pPr>
      <w:r>
        <w:rPr>
          <w:rFonts w:ascii="Times New Roman" w:cs="Times New Roman" w:eastAsia="Times New Roman" w:hAnsi="Times New Roman"/>
          <w:sz w:val="11"/>
          <w:szCs w:val="11"/>
          <w:color w:val="auto"/>
        </w:rPr>
        <w:t>Exchange of Class B common stock for Class A common stock</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0"/>
        </w:trPr>
        <w:tc>
          <w:tcPr>
            <w:tcW w:w="58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ind w:right="406"/>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jc w:val="right"/>
              <w:ind w:right="406"/>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ind w:left="42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rPr>
              <w:t>1,406</w:t>
            </w:r>
          </w:p>
        </w:tc>
        <w:tc>
          <w:tcPr>
            <w:tcW w:w="88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rPr>
              <w:t>(73 )</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1,333</w:t>
            </w:r>
          </w:p>
        </w:tc>
      </w:tr>
      <w:tr>
        <w:trPr>
          <w:trHeight w:val="148"/>
        </w:trPr>
        <w:tc>
          <w:tcPr>
            <w:tcW w:w="58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ind w:right="406"/>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jc w:val="right"/>
              <w:ind w:right="406"/>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ind w:left="42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rPr>
              <w:t>6,952</w:t>
            </w:r>
          </w:p>
        </w:tc>
        <w:tc>
          <w:tcPr>
            <w:tcW w:w="90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6,952</w:t>
            </w:r>
          </w:p>
        </w:tc>
      </w:tr>
      <w:tr>
        <w:trPr>
          <w:trHeight w:val="203"/>
        </w:trPr>
        <w:tc>
          <w:tcPr>
            <w:tcW w:w="58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w w:val="84"/>
              </w:rPr>
              <w:t>800</w:t>
            </w:r>
          </w:p>
        </w:tc>
        <w:tc>
          <w:tcPr>
            <w:tcW w:w="94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rPr>
              <w:t>1</w:t>
            </w:r>
          </w:p>
        </w:tc>
        <w:tc>
          <w:tcPr>
            <w:tcW w:w="104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rPr>
              <w:t>(800 )</w:t>
            </w:r>
          </w:p>
        </w:tc>
        <w:tc>
          <w:tcPr>
            <w:tcW w:w="98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rPr>
              <w:t>(1 )</w:t>
            </w:r>
          </w:p>
        </w:tc>
        <w:tc>
          <w:tcPr>
            <w:tcW w:w="94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ind w:left="42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-1657985</wp:posOffset>
            </wp:positionH>
            <wp:positionV relativeFrom="paragraph">
              <wp:posOffset>-122555</wp:posOffset>
            </wp:positionV>
            <wp:extent cx="7132320" cy="1714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76" w:lineRule="exact"/>
        <w:rPr>
          <w:sz w:val="20"/>
          <w:szCs w:val="20"/>
          <w:color w:val="auto"/>
        </w:rPr>
      </w:pPr>
    </w:p>
    <w:p>
      <w:pPr>
        <w:sectPr>
          <w:pgSz w:w="11900" w:h="16838" w:orient="portrait"/>
          <w:cols w:equalWidth="0" w:num="2">
            <w:col w:w="2040" w:space="580"/>
            <w:col w:w="8620"/>
          </w:cols>
          <w:pgMar w:left="320" w:top="1104" w:right="339" w:bottom="1440" w:gutter="0" w:footer="0" w:header="0"/>
          <w:type w:val="continuous"/>
        </w:sectPr>
      </w:pPr>
    </w:p>
    <w:p>
      <w:pPr>
        <w:ind w:left="60"/>
        <w:spacing w:after="0"/>
        <w:rPr>
          <w:sz w:val="20"/>
          <w:szCs w:val="20"/>
          <w:color w:val="auto"/>
        </w:rPr>
      </w:pPr>
      <w:r>
        <w:rPr>
          <w:rFonts w:ascii="Times New Roman" w:cs="Times New Roman" w:eastAsia="Times New Roman" w:hAnsi="Times New Roman"/>
          <w:sz w:val="11"/>
          <w:szCs w:val="11"/>
          <w:color w:val="auto"/>
        </w:rPr>
        <w:t>Exercise of stock options</w:t>
      </w:r>
    </w:p>
    <w:p>
      <w:pPr>
        <w:spacing w:after="0" w:line="22" w:lineRule="exact"/>
        <w:rPr>
          <w:sz w:val="20"/>
          <w:szCs w:val="20"/>
          <w:color w:val="auto"/>
        </w:rPr>
      </w:pPr>
    </w:p>
    <w:p>
      <w:pPr>
        <w:ind w:left="60" w:right="20"/>
        <w:spacing w:after="0" w:line="256" w:lineRule="auto"/>
        <w:rPr>
          <w:sz w:val="20"/>
          <w:szCs w:val="20"/>
          <w:color w:val="auto"/>
        </w:rPr>
      </w:pPr>
      <w:r>
        <w:rPr>
          <w:rFonts w:ascii="Times New Roman" w:cs="Times New Roman" w:eastAsia="Times New Roman" w:hAnsi="Times New Roman"/>
          <w:sz w:val="11"/>
          <w:szCs w:val="11"/>
          <w:color w:val="auto"/>
        </w:rPr>
        <w:t>Repurchase of common stock for employee tax witholding and strike price</w:t>
      </w:r>
    </w:p>
    <w:p>
      <w:pPr>
        <w:ind w:left="60"/>
        <w:spacing w:after="0"/>
        <w:rPr>
          <w:sz w:val="20"/>
          <w:szCs w:val="20"/>
          <w:color w:val="auto"/>
        </w:rPr>
      </w:pPr>
      <w:r>
        <w:rPr>
          <w:rFonts w:ascii="Times New Roman" w:cs="Times New Roman" w:eastAsia="Times New Roman" w:hAnsi="Times New Roman"/>
          <w:sz w:val="11"/>
          <w:szCs w:val="11"/>
          <w:color w:val="auto"/>
        </w:rPr>
        <w:t>Stock repurchase</w:t>
      </w:r>
    </w:p>
    <w:p>
      <w:pPr>
        <w:spacing w:after="0" w:line="22" w:lineRule="exact"/>
        <w:rPr>
          <w:sz w:val="20"/>
          <w:szCs w:val="20"/>
          <w:color w:val="auto"/>
        </w:rPr>
      </w:pPr>
    </w:p>
    <w:p>
      <w:pPr>
        <w:ind w:left="60"/>
        <w:spacing w:after="0" w:line="256" w:lineRule="auto"/>
        <w:rPr>
          <w:sz w:val="20"/>
          <w:szCs w:val="20"/>
          <w:color w:val="auto"/>
        </w:rPr>
      </w:pPr>
      <w:r>
        <w:rPr>
          <w:rFonts w:ascii="Times New Roman" w:cs="Times New Roman" w:eastAsia="Times New Roman" w:hAnsi="Times New Roman"/>
          <w:sz w:val="11"/>
          <w:szCs w:val="11"/>
          <w:color w:val="auto"/>
        </w:rPr>
        <w:t>Accrual for excise tax associated with stock repurchases</w:t>
      </w:r>
    </w:p>
    <w:p>
      <w:pPr>
        <w:ind w:left="60" w:firstLine="108"/>
        <w:spacing w:after="0" w:line="256" w:lineRule="auto"/>
        <w:rPr>
          <w:sz w:val="20"/>
          <w:szCs w:val="20"/>
          <w:color w:val="auto"/>
        </w:rPr>
      </w:pPr>
      <w:r>
        <w:rPr>
          <w:rFonts w:ascii="Times New Roman" w:cs="Times New Roman" w:eastAsia="Times New Roman" w:hAnsi="Times New Roman"/>
          <w:sz w:val="11"/>
          <w:szCs w:val="11"/>
          <w:color w:val="auto"/>
        </w:rPr>
        <w:t>Distributions to non-controlling interests, net</w:t>
      </w:r>
    </w:p>
    <w:p>
      <w:pPr>
        <w:ind w:left="60"/>
        <w:spacing w:after="0"/>
        <w:rPr>
          <w:sz w:val="20"/>
          <w:szCs w:val="20"/>
          <w:color w:val="auto"/>
        </w:rPr>
      </w:pPr>
      <w:r>
        <w:rPr>
          <w:rFonts w:ascii="Times New Roman" w:cs="Times New Roman" w:eastAsia="Times New Roman" w:hAnsi="Times New Roman"/>
          <w:sz w:val="11"/>
          <w:szCs w:val="11"/>
          <w:color w:val="auto"/>
        </w:rPr>
        <w:t>Dividends declared</w:t>
      </w:r>
    </w:p>
    <w:p>
      <w:pPr>
        <w:spacing w:after="0" w:line="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1"/>
          <w:szCs w:val="11"/>
          <w:color w:val="auto"/>
        </w:rPr>
        <w:t>Dividends paid per share $0.04</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auto"/>
        </w:rPr>
        <w:t>Balance at September 30, 2024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0"/>
        </w:trPr>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293</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ind w:left="28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ind w:left="26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3"/>
          </w:tcPr>
          <w:p>
            <w:pPr>
              <w:jc w:val="right"/>
              <w:ind w:right="28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900" w:type="dxa"/>
            <w:vAlign w:val="bottom"/>
            <w:gridSpan w:val="3"/>
          </w:tcPr>
          <w:p>
            <w:pPr>
              <w:jc w:val="right"/>
              <w:ind w:right="32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2"/>
                <w:szCs w:val="12"/>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r>
      <w:tr>
        <w:trPr>
          <w:trHeight w:val="203"/>
        </w:trPr>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(141 )</w:t>
            </w:r>
          </w:p>
        </w:tc>
        <w:tc>
          <w:tcPr>
            <w:tcW w:w="320" w:type="dxa"/>
            <w:vAlign w:val="bottom"/>
          </w:tcPr>
          <w:p>
            <w:pPr>
              <w:spacing w:after="0"/>
              <w:rPr>
                <w:sz w:val="17"/>
                <w:szCs w:val="17"/>
                <w:color w:val="auto"/>
              </w:rPr>
            </w:pPr>
          </w:p>
        </w:tc>
        <w:tc>
          <w:tcPr>
            <w:tcW w:w="400" w:type="dxa"/>
            <w:vAlign w:val="bottom"/>
          </w:tcPr>
          <w:p>
            <w:pPr>
              <w:ind w:left="28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ind w:left="26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3"/>
          </w:tcPr>
          <w:p>
            <w:pPr>
              <w:jc w:val="right"/>
              <w:ind w:right="28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(897 )</w:t>
            </w:r>
          </w:p>
        </w:tc>
        <w:tc>
          <w:tcPr>
            <w:tcW w:w="200" w:type="dxa"/>
            <w:vAlign w:val="bottom"/>
          </w:tcPr>
          <w:p>
            <w:pPr>
              <w:spacing w:after="0"/>
              <w:rPr>
                <w:sz w:val="17"/>
                <w:szCs w:val="17"/>
                <w:color w:val="auto"/>
              </w:rPr>
            </w:pPr>
          </w:p>
        </w:tc>
        <w:tc>
          <w:tcPr>
            <w:tcW w:w="900" w:type="dxa"/>
            <w:vAlign w:val="bottom"/>
            <w:gridSpan w:val="3"/>
          </w:tcPr>
          <w:p>
            <w:pPr>
              <w:jc w:val="right"/>
              <w:ind w:right="32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(897 )</w:t>
            </w:r>
          </w:p>
        </w:tc>
      </w:tr>
      <w:tr>
        <w:trPr>
          <w:trHeight w:val="216"/>
        </w:trPr>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(609 )</w:t>
            </w:r>
          </w:p>
        </w:tc>
        <w:tc>
          <w:tcPr>
            <w:tcW w:w="320" w:type="dxa"/>
            <w:vAlign w:val="bottom"/>
          </w:tcPr>
          <w:p>
            <w:pPr>
              <w:spacing w:after="0"/>
              <w:rPr>
                <w:sz w:val="18"/>
                <w:szCs w:val="18"/>
                <w:color w:val="auto"/>
              </w:rPr>
            </w:pPr>
          </w:p>
        </w:tc>
        <w:tc>
          <w:tcPr>
            <w:tcW w:w="400" w:type="dxa"/>
            <w:vAlign w:val="bottom"/>
          </w:tcPr>
          <w:p>
            <w:pPr>
              <w:ind w:left="28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ind w:left="260"/>
              <w:spacing w:after="0"/>
              <w:rPr>
                <w:sz w:val="20"/>
                <w:szCs w:val="20"/>
                <w:color w:val="auto"/>
              </w:rPr>
            </w:pPr>
            <w:r>
              <w:rPr>
                <w:rFonts w:ascii="Times New Roman" w:cs="Times New Roman" w:eastAsia="Times New Roman" w:hAnsi="Times New Roman"/>
                <w:sz w:val="11"/>
                <w:szCs w:val="11"/>
                <w:color w:val="auto"/>
                <w:w w:val="90"/>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609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(6,188 )</w:t>
            </w:r>
          </w:p>
        </w:tc>
        <w:tc>
          <w:tcPr>
            <w:tcW w:w="2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8"/>
                <w:szCs w:val="18"/>
                <w:color w:val="auto"/>
              </w:rPr>
            </w:pPr>
          </w:p>
        </w:tc>
        <w:tc>
          <w:tcPr>
            <w:tcW w:w="900" w:type="dxa"/>
            <w:vAlign w:val="bottom"/>
            <w:gridSpan w:val="3"/>
          </w:tcPr>
          <w:p>
            <w:pPr>
              <w:jc w:val="right"/>
              <w:ind w:right="32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(6,188 )</w:t>
            </w:r>
          </w:p>
        </w:tc>
      </w:tr>
      <w:tr>
        <w:trPr>
          <w:trHeight w:val="203"/>
        </w:trPr>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7"/>
                <w:szCs w:val="17"/>
                <w:color w:val="auto"/>
              </w:rPr>
            </w:pPr>
          </w:p>
        </w:tc>
        <w:tc>
          <w:tcPr>
            <w:tcW w:w="400" w:type="dxa"/>
            <w:vAlign w:val="bottom"/>
          </w:tcPr>
          <w:p>
            <w:pPr>
              <w:ind w:left="28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ind w:left="26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3"/>
          </w:tcPr>
          <w:p>
            <w:pPr>
              <w:jc w:val="right"/>
              <w:ind w:right="28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(47 )</w:t>
            </w:r>
          </w:p>
        </w:tc>
        <w:tc>
          <w:tcPr>
            <w:tcW w:w="200" w:type="dxa"/>
            <w:vAlign w:val="bottom"/>
          </w:tcPr>
          <w:p>
            <w:pPr>
              <w:spacing w:after="0"/>
              <w:rPr>
                <w:sz w:val="17"/>
                <w:szCs w:val="17"/>
                <w:color w:val="auto"/>
              </w:rPr>
            </w:pPr>
          </w:p>
        </w:tc>
        <w:tc>
          <w:tcPr>
            <w:tcW w:w="900" w:type="dxa"/>
            <w:vAlign w:val="bottom"/>
            <w:gridSpan w:val="3"/>
          </w:tcPr>
          <w:p>
            <w:pPr>
              <w:jc w:val="right"/>
              <w:ind w:right="32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(47 )</w:t>
            </w:r>
          </w:p>
        </w:tc>
      </w:tr>
      <w:tr>
        <w:trPr>
          <w:trHeight w:val="270"/>
        </w:trPr>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23"/>
                <w:szCs w:val="23"/>
                <w:color w:val="auto"/>
              </w:rPr>
            </w:pPr>
          </w:p>
        </w:tc>
        <w:tc>
          <w:tcPr>
            <w:tcW w:w="400" w:type="dxa"/>
            <w:vAlign w:val="bottom"/>
          </w:tcPr>
          <w:p>
            <w:pPr>
              <w:ind w:left="28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80" w:type="dxa"/>
            <w:vAlign w:val="bottom"/>
          </w:tcPr>
          <w:p>
            <w:pPr>
              <w:ind w:left="26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gridSpan w:val="3"/>
          </w:tcPr>
          <w:p>
            <w:pPr>
              <w:jc w:val="right"/>
              <w:ind w:right="28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23"/>
                <w:szCs w:val="23"/>
                <w:color w:val="auto"/>
              </w:rPr>
            </w:pPr>
          </w:p>
        </w:tc>
        <w:tc>
          <w:tcPr>
            <w:tcW w:w="900" w:type="dxa"/>
            <w:vAlign w:val="bottom"/>
            <w:gridSpan w:val="3"/>
          </w:tcPr>
          <w:p>
            <w:pPr>
              <w:jc w:val="right"/>
              <w:ind w:right="32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(151 )</w:t>
            </w:r>
          </w:p>
        </w:tc>
        <w:tc>
          <w:tcPr>
            <w:tcW w:w="280" w:type="dxa"/>
            <w:vAlign w:val="bottom"/>
          </w:tcPr>
          <w:p>
            <w:pPr>
              <w:spacing w:after="0"/>
              <w:rPr>
                <w:sz w:val="23"/>
                <w:szCs w:val="23"/>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(151 )</w:t>
            </w:r>
          </w:p>
        </w:tc>
      </w:tr>
      <w:tr>
        <w:trPr>
          <w:trHeight w:val="216"/>
        </w:trPr>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8"/>
                <w:szCs w:val="18"/>
                <w:color w:val="auto"/>
              </w:rPr>
            </w:pPr>
          </w:p>
        </w:tc>
        <w:tc>
          <w:tcPr>
            <w:tcW w:w="400" w:type="dxa"/>
            <w:vAlign w:val="bottom"/>
          </w:tcPr>
          <w:p>
            <w:pPr>
              <w:ind w:left="28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ind w:left="26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3"/>
          </w:tcPr>
          <w:p>
            <w:pPr>
              <w:jc w:val="right"/>
              <w:ind w:right="28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3"/>
          </w:tcPr>
          <w:p>
            <w:pPr>
              <w:jc w:val="right"/>
              <w:ind w:right="32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114</w:t>
            </w:r>
          </w:p>
        </w:tc>
        <w:tc>
          <w:tcPr>
            <w:tcW w:w="40" w:type="dxa"/>
            <w:vAlign w:val="bottom"/>
          </w:tcPr>
          <w:p>
            <w:pPr>
              <w:spacing w:after="0"/>
              <w:rPr>
                <w:sz w:val="18"/>
                <w:szCs w:val="18"/>
                <w:color w:val="auto"/>
              </w:rPr>
            </w:pPr>
          </w:p>
        </w:tc>
      </w:tr>
      <w:tr>
        <w:trPr>
          <w:trHeight w:val="150"/>
        </w:trPr>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400" w:type="dxa"/>
            <w:vAlign w:val="bottom"/>
          </w:tcPr>
          <w:p>
            <w:pPr>
              <w:ind w:left="28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ind w:left="26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gridSpan w:val="3"/>
          </w:tcPr>
          <w:p>
            <w:pPr>
              <w:jc w:val="right"/>
              <w:ind w:right="28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(3,889 )</w:t>
            </w:r>
          </w:p>
        </w:tc>
        <w:tc>
          <w:tcPr>
            <w:tcW w:w="200" w:type="dxa"/>
            <w:vAlign w:val="bottom"/>
          </w:tcPr>
          <w:p>
            <w:pPr>
              <w:spacing w:after="0"/>
              <w:rPr>
                <w:sz w:val="13"/>
                <w:szCs w:val="13"/>
                <w:color w:val="auto"/>
              </w:rPr>
            </w:pPr>
          </w:p>
        </w:tc>
        <w:tc>
          <w:tcPr>
            <w:tcW w:w="900" w:type="dxa"/>
            <w:vAlign w:val="bottom"/>
            <w:gridSpan w:val="3"/>
          </w:tcPr>
          <w:p>
            <w:pPr>
              <w:jc w:val="right"/>
              <w:ind w:right="32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(3,889 )</w:t>
            </w:r>
          </w:p>
        </w:tc>
      </w:tr>
      <w:tr>
        <w:trPr>
          <w:trHeight w:val="144"/>
        </w:trPr>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53,814</w:t>
            </w:r>
          </w:p>
        </w:tc>
        <w:tc>
          <w:tcPr>
            <w:tcW w:w="260" w:type="dxa"/>
            <w:vAlign w:val="bottom"/>
          </w:tcPr>
          <w:p>
            <w:pPr>
              <w:spacing w:after="0"/>
              <w:rPr>
                <w:sz w:val="12"/>
                <w:szCs w:val="12"/>
                <w:color w:val="auto"/>
              </w:rPr>
            </w:pPr>
          </w:p>
        </w:tc>
        <w:tc>
          <w:tcPr>
            <w:tcW w:w="320" w:type="dxa"/>
            <w:vAlign w:val="bottom"/>
            <w:tcBorders>
              <w:top w:val="single" w:sz="8" w:color="auto"/>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1"/>
                <w:szCs w:val="11"/>
                <w:color w:val="auto"/>
                <w:w w:val="90"/>
              </w:rPr>
              <w:t>54</w:t>
            </w:r>
          </w:p>
        </w:tc>
        <w:tc>
          <w:tcPr>
            <w:tcW w:w="24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57,408</w:t>
            </w:r>
          </w:p>
        </w:tc>
        <w:tc>
          <w:tcPr>
            <w:tcW w:w="24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1"/>
                <w:szCs w:val="11"/>
                <w:color w:val="auto"/>
                <w:w w:val="90"/>
              </w:rPr>
              <w:t>57</w:t>
            </w:r>
          </w:p>
        </w:tc>
        <w:tc>
          <w:tcPr>
            <w:tcW w:w="24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7,667</w:t>
            </w:r>
          </w:p>
        </w:tc>
        <w:tc>
          <w:tcPr>
            <w:tcW w:w="24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(66,273</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top w:val="single" w:sz="8" w:color="auto"/>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640,204</w:t>
            </w:r>
          </w:p>
        </w:tc>
        <w:tc>
          <w:tcPr>
            <w:tcW w:w="12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(219,592</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top w:val="single" w:sz="8" w:color="auto"/>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39,644</w:t>
            </w:r>
          </w:p>
        </w:tc>
        <w:tc>
          <w:tcPr>
            <w:tcW w:w="100" w:type="dxa"/>
            <w:vAlign w:val="bottom"/>
          </w:tcPr>
          <w:p>
            <w:pPr>
              <w:spacing w:after="0"/>
              <w:rPr>
                <w:sz w:val="12"/>
                <w:szCs w:val="12"/>
                <w:color w:val="auto"/>
              </w:rPr>
            </w:pPr>
          </w:p>
        </w:tc>
        <w:tc>
          <w:tcPr>
            <w:tcW w:w="280" w:type="dxa"/>
            <w:vAlign w:val="bottom"/>
            <w:tcBorders>
              <w:top w:val="single" w:sz="8" w:color="auto"/>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394,094</w:t>
            </w:r>
          </w:p>
        </w:tc>
        <w:tc>
          <w:tcPr>
            <w:tcW w:w="40" w:type="dxa"/>
            <w:vAlign w:val="bottom"/>
          </w:tcPr>
          <w:p>
            <w:pPr>
              <w:spacing w:after="0"/>
              <w:rPr>
                <w:sz w:val="12"/>
                <w:szCs w:val="12"/>
                <w:color w:val="auto"/>
              </w:rPr>
            </w:pPr>
          </w:p>
        </w:tc>
      </w:tr>
      <w:tr>
        <w:trPr>
          <w:trHeight w:val="20"/>
        </w:trPr>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-1302385</wp:posOffset>
            </wp:positionH>
            <wp:positionV relativeFrom="paragraph">
              <wp:posOffset>-925195</wp:posOffset>
            </wp:positionV>
            <wp:extent cx="7132320" cy="1714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-1302385</wp:posOffset>
            </wp:positionH>
            <wp:positionV relativeFrom="paragraph">
              <wp:posOffset>-659765</wp:posOffset>
            </wp:positionV>
            <wp:extent cx="7132320" cy="1714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-1302385</wp:posOffset>
            </wp:positionH>
            <wp:positionV relativeFrom="paragraph">
              <wp:posOffset>-316865</wp:posOffset>
            </wp:positionV>
            <wp:extent cx="7132320" cy="946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-1302385</wp:posOffset>
            </wp:positionH>
            <wp:positionV relativeFrom="paragraph">
              <wp:posOffset>-119380</wp:posOffset>
            </wp:positionV>
            <wp:extent cx="7132320" cy="1200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1960" w:space="100"/>
            <w:col w:w="9180"/>
          </w:cols>
          <w:pgMar w:left="320" w:top="1104"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The Notes to Consolidated Financial Statements are an integral part of these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4" w:right="339" w:bottom="1440" w:gutter="0" w:footer="0" w:header="0"/>
          <w:type w:val="continuous"/>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80" w:right="1060" w:hanging="158"/>
        <w:spacing w:after="0" w:line="263" w:lineRule="auto"/>
        <w:rPr>
          <w:sz w:val="20"/>
          <w:szCs w:val="20"/>
          <w:color w:val="auto"/>
        </w:rPr>
      </w:pPr>
      <w:r>
        <w:rPr>
          <w:rFonts w:ascii="Times New Roman" w:cs="Times New Roman" w:eastAsia="Times New Roman" w:hAnsi="Times New Roman"/>
          <w:sz w:val="13"/>
          <w:szCs w:val="13"/>
          <w:b w:val="1"/>
          <w:bCs w:val="1"/>
          <w:color w:val="auto"/>
        </w:rPr>
        <w:t xml:space="preserve">CASH FLOWS FROM OPERATING ACTIVITIES </w:t>
      </w:r>
      <w:r>
        <w:rPr>
          <w:rFonts w:ascii="Times New Roman" w:cs="Times New Roman" w:eastAsia="Times New Roman" w:hAnsi="Times New Roman"/>
          <w:sz w:val="13"/>
          <w:szCs w:val="13"/>
          <w:color w:val="auto"/>
        </w:rPr>
        <w:t>Net income/(loss)</w:t>
      </w:r>
    </w:p>
    <w:p>
      <w:pPr>
        <w:spacing w:after="0" w:line="1" w:lineRule="exact"/>
        <w:rPr>
          <w:sz w:val="20"/>
          <w:szCs w:val="20"/>
          <w:color w:val="auto"/>
        </w:rPr>
      </w:pPr>
    </w:p>
    <w:p>
      <w:pPr>
        <w:ind w:left="440" w:hanging="93"/>
        <w:spacing w:after="0" w:line="238" w:lineRule="auto"/>
        <w:rPr>
          <w:sz w:val="20"/>
          <w:szCs w:val="20"/>
          <w:color w:val="auto"/>
        </w:rPr>
      </w:pPr>
      <w:r>
        <w:rPr>
          <w:rFonts w:ascii="Times New Roman" w:cs="Times New Roman" w:eastAsia="Times New Roman" w:hAnsi="Times New Roman"/>
          <w:sz w:val="13"/>
          <w:szCs w:val="13"/>
          <w:color w:val="auto"/>
        </w:rPr>
        <w:t>Adjustments to reconcile net income to net cash provided by operating activities:</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3"/>
          <w:szCs w:val="13"/>
          <w:color w:val="auto"/>
        </w:rPr>
        <w:t>Stock-based compensation</w:t>
      </w:r>
    </w:p>
    <w:p>
      <w:pPr>
        <w:spacing w:after="0" w:line="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3"/>
          <w:szCs w:val="13"/>
          <w:color w:val="auto"/>
        </w:rPr>
        <w:t>Depreciation expense</w:t>
      </w:r>
    </w:p>
    <w:p>
      <w:pPr>
        <w:spacing w:after="0" w:line="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3"/>
          <w:szCs w:val="13"/>
          <w:color w:val="auto"/>
        </w:rPr>
        <w:t>Amortization of intangibles</w:t>
      </w:r>
    </w:p>
    <w:p>
      <w:pPr>
        <w:spacing w:after="0" w:line="13" w:lineRule="exact"/>
        <w:rPr>
          <w:sz w:val="20"/>
          <w:szCs w:val="20"/>
          <w:color w:val="auto"/>
        </w:rPr>
      </w:pPr>
    </w:p>
    <w:p>
      <w:pPr>
        <w:ind w:left="340" w:right="840"/>
        <w:spacing w:after="0" w:line="260" w:lineRule="auto"/>
        <w:rPr>
          <w:sz w:val="20"/>
          <w:szCs w:val="20"/>
          <w:color w:val="auto"/>
        </w:rPr>
      </w:pPr>
      <w:r>
        <w:rPr>
          <w:rFonts w:ascii="Times New Roman" w:cs="Times New Roman" w:eastAsia="Times New Roman" w:hAnsi="Times New Roman"/>
          <w:sz w:val="13"/>
          <w:szCs w:val="13"/>
          <w:color w:val="auto"/>
        </w:rPr>
        <w:t>Amortization of debt issuance costs and debt discount (Income)/loss from unconsolidated subsidiaries Deferred tax expense</w:t>
      </w:r>
    </w:p>
    <w:p>
      <w:pPr>
        <w:ind w:left="340"/>
        <w:spacing w:after="0"/>
        <w:rPr>
          <w:sz w:val="20"/>
          <w:szCs w:val="20"/>
          <w:color w:val="auto"/>
        </w:rPr>
      </w:pPr>
      <w:r>
        <w:rPr>
          <w:rFonts w:ascii="Times New Roman" w:cs="Times New Roman" w:eastAsia="Times New Roman" w:hAnsi="Times New Roman"/>
          <w:sz w:val="13"/>
          <w:szCs w:val="13"/>
          <w:color w:val="auto"/>
        </w:rPr>
        <w:t>Loss on extinguishment of debt</w:t>
      </w:r>
    </w:p>
    <w:p>
      <w:pPr>
        <w:spacing w:after="0" w:line="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3"/>
          <w:szCs w:val="13"/>
          <w:color w:val="auto"/>
        </w:rPr>
        <w:t>Amortization of contingent payment to customers</w:t>
      </w:r>
    </w:p>
    <w:p>
      <w:pPr>
        <w:spacing w:after="0" w:line="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3"/>
          <w:szCs w:val="13"/>
          <w:color w:val="auto"/>
        </w:rPr>
        <w:t>Remeasurement of contingent consideration</w:t>
      </w:r>
    </w:p>
    <w:p>
      <w:pPr>
        <w:spacing w:after="0" w:line="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3"/>
          <w:szCs w:val="13"/>
          <w:color w:val="auto"/>
        </w:rPr>
        <w:t>Change in operating assets and liabilities:</w:t>
      </w:r>
    </w:p>
    <w:p>
      <w:pPr>
        <w:spacing w:after="0" w:line="1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3"/>
          <w:szCs w:val="13"/>
          <w:color w:val="auto"/>
        </w:rPr>
        <w:t>Accounts receivable</w:t>
      </w:r>
    </w:p>
    <w:p>
      <w:pPr>
        <w:spacing w:after="0" w:line="1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3"/>
          <w:szCs w:val="13"/>
          <w:color w:val="auto"/>
        </w:rPr>
        <w:t>Due from related parties</w:t>
      </w:r>
    </w:p>
    <w:p>
      <w:pPr>
        <w:spacing w:after="0" w:line="1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3"/>
          <w:szCs w:val="13"/>
          <w:color w:val="auto"/>
        </w:rPr>
        <w:t>Prepaid expenses and other assets</w:t>
      </w:r>
    </w:p>
    <w:p>
      <w:pPr>
        <w:spacing w:after="0" w:line="1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3"/>
          <w:szCs w:val="13"/>
          <w:color w:val="auto"/>
        </w:rPr>
        <w:t>Right-of-use assets</w:t>
      </w:r>
    </w:p>
    <w:p>
      <w:pPr>
        <w:spacing w:after="0" w:line="1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3"/>
          <w:szCs w:val="13"/>
          <w:color w:val="auto"/>
        </w:rPr>
        <w:t>Accounts payable and accrued expenses</w:t>
      </w:r>
    </w:p>
    <w:p>
      <w:pPr>
        <w:spacing w:after="0" w:line="1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3"/>
          <w:szCs w:val="13"/>
          <w:color w:val="auto"/>
        </w:rPr>
        <w:t>Accrued compensation and benefits</w:t>
      </w:r>
    </w:p>
    <w:p>
      <w:pPr>
        <w:spacing w:after="0" w:line="1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3"/>
          <w:szCs w:val="13"/>
          <w:color w:val="auto"/>
        </w:rPr>
        <w:t>Due to related parties</w:t>
      </w:r>
    </w:p>
    <w:p>
      <w:pPr>
        <w:spacing w:after="0" w:line="1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3"/>
          <w:szCs w:val="13"/>
          <w:color w:val="auto"/>
        </w:rPr>
        <w:t>Other liabilities</w:t>
      </w:r>
    </w:p>
    <w:p>
      <w:pPr>
        <w:spacing w:after="0" w:line="1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3"/>
          <w:szCs w:val="13"/>
          <w:color w:val="auto"/>
        </w:rPr>
        <w:t>Contingent consideration</w:t>
      </w:r>
    </w:p>
    <w:p>
      <w:pPr>
        <w:spacing w:after="0" w:line="1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3"/>
          <w:szCs w:val="13"/>
          <w:color w:val="auto"/>
        </w:rPr>
        <w:t>Deferred revenues</w:t>
      </w:r>
    </w:p>
    <w:p>
      <w:pPr>
        <w:spacing w:after="0" w:line="1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3"/>
          <w:szCs w:val="13"/>
          <w:color w:val="auto"/>
        </w:rPr>
        <w:t>Lease liabilities</w:t>
      </w:r>
    </w:p>
    <w:p>
      <w:pPr>
        <w:spacing w:after="0" w:line="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3"/>
          <w:szCs w:val="13"/>
          <w:color w:val="auto"/>
        </w:rPr>
        <w:t>Net cash provided by operating activities</w:t>
      </w:r>
    </w:p>
    <w:p>
      <w:pPr>
        <w:spacing w:after="0" w:line="15" w:lineRule="exact"/>
        <w:rPr>
          <w:sz w:val="20"/>
          <w:szCs w:val="20"/>
          <w:color w:val="auto"/>
        </w:rPr>
      </w:pPr>
    </w:p>
    <w:p>
      <w:pPr>
        <w:ind w:left="180" w:right="1000" w:hanging="158"/>
        <w:spacing w:after="0" w:line="260" w:lineRule="auto"/>
        <w:rPr>
          <w:sz w:val="20"/>
          <w:szCs w:val="20"/>
          <w:color w:val="auto"/>
        </w:rPr>
      </w:pPr>
      <w:r>
        <w:rPr>
          <w:rFonts w:ascii="Times New Roman" w:cs="Times New Roman" w:eastAsia="Times New Roman" w:hAnsi="Times New Roman"/>
          <w:sz w:val="13"/>
          <w:szCs w:val="13"/>
          <w:b w:val="1"/>
          <w:bCs w:val="1"/>
          <w:color w:val="auto"/>
        </w:rPr>
        <w:t xml:space="preserve">CASH FLOWS USED IN INVESTING ACTIVITIES </w:t>
      </w:r>
      <w:r>
        <w:rPr>
          <w:rFonts w:ascii="Times New Roman" w:cs="Times New Roman" w:eastAsia="Times New Roman" w:hAnsi="Times New Roman"/>
          <w:sz w:val="13"/>
          <w:szCs w:val="13"/>
          <w:color w:val="auto"/>
        </w:rPr>
        <w:t>Purchase of intangible assets</w:t>
      </w:r>
    </w:p>
    <w:p>
      <w:pPr>
        <w:ind w:left="180"/>
        <w:spacing w:after="0"/>
        <w:rPr>
          <w:sz w:val="20"/>
          <w:szCs w:val="20"/>
          <w:color w:val="auto"/>
        </w:rPr>
      </w:pPr>
      <w:r>
        <w:rPr>
          <w:rFonts w:ascii="Times New Roman" w:cs="Times New Roman" w:eastAsia="Times New Roman" w:hAnsi="Times New Roman"/>
          <w:sz w:val="13"/>
          <w:szCs w:val="13"/>
          <w:color w:val="auto"/>
        </w:rPr>
        <w:t>Funding of notes receivable</w:t>
      </w:r>
    </w:p>
    <w:p>
      <w:pPr>
        <w:spacing w:after="0" w:line="1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color w:val="auto"/>
        </w:rPr>
        <w:t>Proceeds from notes receivable</w:t>
      </w:r>
    </w:p>
    <w:p>
      <w:pPr>
        <w:spacing w:after="0" w:line="1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color w:val="auto"/>
        </w:rPr>
        <w:t>Investments in unconsolidated subsidiaries</w:t>
      </w:r>
    </w:p>
    <w:p>
      <w:pPr>
        <w:spacing w:after="0" w:line="13" w:lineRule="exact"/>
        <w:rPr>
          <w:sz w:val="20"/>
          <w:szCs w:val="20"/>
          <w:color w:val="auto"/>
        </w:rPr>
      </w:pPr>
    </w:p>
    <w:p>
      <w:pPr>
        <w:ind w:left="180" w:right="600"/>
        <w:spacing w:after="0" w:line="260" w:lineRule="auto"/>
        <w:rPr>
          <w:sz w:val="20"/>
          <w:szCs w:val="20"/>
          <w:color w:val="auto"/>
        </w:rPr>
      </w:pPr>
      <w:r>
        <w:rPr>
          <w:rFonts w:ascii="Times New Roman" w:cs="Times New Roman" w:eastAsia="Times New Roman" w:hAnsi="Times New Roman"/>
          <w:sz w:val="13"/>
          <w:szCs w:val="13"/>
          <w:color w:val="auto"/>
        </w:rPr>
        <w:t>Distributions from investments in unconsolidated subsidiaries Software capitalization</w:t>
      </w:r>
    </w:p>
    <w:p>
      <w:pPr>
        <w:ind w:left="180"/>
        <w:spacing w:after="0"/>
        <w:rPr>
          <w:sz w:val="20"/>
          <w:szCs w:val="20"/>
          <w:color w:val="auto"/>
        </w:rPr>
      </w:pPr>
      <w:r>
        <w:rPr>
          <w:rFonts w:ascii="Times New Roman" w:cs="Times New Roman" w:eastAsia="Times New Roman" w:hAnsi="Times New Roman"/>
          <w:sz w:val="13"/>
          <w:szCs w:val="13"/>
          <w:color w:val="auto"/>
        </w:rPr>
        <w:t>Purchases of property and equipment</w:t>
      </w:r>
    </w:p>
    <w:p>
      <w:pPr>
        <w:spacing w:after="0" w:line="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3"/>
          <w:szCs w:val="13"/>
          <w:color w:val="auto"/>
        </w:rPr>
        <w:t>Net cash used in investing activities</w:t>
      </w:r>
    </w:p>
    <w:p>
      <w:pPr>
        <w:spacing w:after="0" w:line="15" w:lineRule="exact"/>
        <w:rPr>
          <w:sz w:val="20"/>
          <w:szCs w:val="20"/>
          <w:color w:val="auto"/>
        </w:rPr>
      </w:pPr>
    </w:p>
    <w:p>
      <w:pPr>
        <w:ind w:left="180" w:right="980" w:hanging="158"/>
        <w:spacing w:after="0" w:line="260" w:lineRule="auto"/>
        <w:rPr>
          <w:sz w:val="20"/>
          <w:szCs w:val="20"/>
          <w:color w:val="auto"/>
        </w:rPr>
      </w:pPr>
      <w:r>
        <w:rPr>
          <w:rFonts w:ascii="Times New Roman" w:cs="Times New Roman" w:eastAsia="Times New Roman" w:hAnsi="Times New Roman"/>
          <w:sz w:val="13"/>
          <w:szCs w:val="13"/>
          <w:b w:val="1"/>
          <w:bCs w:val="1"/>
          <w:color w:val="auto"/>
        </w:rPr>
        <w:t xml:space="preserve">CASH FLOWS USED IN FINANCING ACTIVITIES </w:t>
      </w:r>
      <w:r>
        <w:rPr>
          <w:rFonts w:ascii="Times New Roman" w:cs="Times New Roman" w:eastAsia="Times New Roman" w:hAnsi="Times New Roman"/>
          <w:sz w:val="13"/>
          <w:szCs w:val="13"/>
          <w:color w:val="auto"/>
        </w:rPr>
        <w:t>Borrowings on debt obligations</w:t>
      </w:r>
    </w:p>
    <w:p>
      <w:pPr>
        <w:ind w:left="180"/>
        <w:spacing w:after="0"/>
        <w:rPr>
          <w:sz w:val="20"/>
          <w:szCs w:val="20"/>
          <w:color w:val="auto"/>
        </w:rPr>
      </w:pPr>
      <w:r>
        <w:rPr>
          <w:rFonts w:ascii="Times New Roman" w:cs="Times New Roman" w:eastAsia="Times New Roman" w:hAnsi="Times New Roman"/>
          <w:sz w:val="13"/>
          <w:szCs w:val="13"/>
          <w:color w:val="auto"/>
        </w:rPr>
        <w:t>Repayments on debt obligations</w:t>
      </w:r>
    </w:p>
    <w:p>
      <w:pPr>
        <w:spacing w:after="0" w:line="1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color w:val="auto"/>
        </w:rPr>
        <w:t>Repurchase of Class A common stock</w:t>
      </w:r>
    </w:p>
    <w:p>
      <w:pPr>
        <w:spacing w:after="0" w:line="1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color w:val="auto"/>
        </w:rPr>
        <w:t>Repurchase of Class A common stock for employee tax withholding</w:t>
      </w:r>
    </w:p>
    <w:p>
      <w:pPr>
        <w:spacing w:after="0" w:line="1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color w:val="auto"/>
        </w:rPr>
        <w:t>Repurchase of Class B common stock</w:t>
      </w:r>
    </w:p>
    <w:p>
      <w:pPr>
        <w:spacing w:after="0" w:line="1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color w:val="auto"/>
        </w:rPr>
        <w:t>Payment of contingent consideration</w:t>
      </w:r>
    </w:p>
    <w:p>
      <w:pPr>
        <w:spacing w:after="0" w:line="1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color w:val="auto"/>
        </w:rPr>
        <w:t>Dividends paid</w:t>
      </w:r>
    </w:p>
    <w:p>
      <w:pPr>
        <w:spacing w:after="0" w:line="1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color w:val="auto"/>
        </w:rPr>
        <w:t>Distributions to non-controlling interests</w:t>
      </w:r>
    </w:p>
    <w:p>
      <w:pPr>
        <w:spacing w:after="0" w:line="1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color w:val="auto"/>
        </w:rPr>
        <w:t>Debt issuance costs</w:t>
      </w:r>
    </w:p>
    <w:p>
      <w:pPr>
        <w:spacing w:after="0" w:line="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3"/>
          <w:szCs w:val="13"/>
          <w:color w:val="auto"/>
        </w:rPr>
        <w:t>Net cash used in financing activities</w:t>
      </w:r>
    </w:p>
    <w:p>
      <w:pPr>
        <w:spacing w:after="0" w:line="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3"/>
          <w:szCs w:val="13"/>
          <w:color w:val="auto"/>
        </w:rPr>
        <w:t>Net change in cash, cash equivalents and restricted cash</w:t>
      </w:r>
    </w:p>
    <w:p>
      <w:pPr>
        <w:spacing w:after="0" w:line="15" w:lineRule="exact"/>
        <w:rPr>
          <w:sz w:val="20"/>
          <w:szCs w:val="20"/>
          <w:color w:val="auto"/>
        </w:rPr>
      </w:pPr>
    </w:p>
    <w:p>
      <w:pPr>
        <w:ind w:left="120" w:right="60" w:hanging="94"/>
        <w:spacing w:after="0" w:line="238" w:lineRule="auto"/>
        <w:rPr>
          <w:sz w:val="20"/>
          <w:szCs w:val="20"/>
          <w:color w:val="auto"/>
        </w:rPr>
      </w:pPr>
      <w:r>
        <w:rPr>
          <w:rFonts w:ascii="Times New Roman" w:cs="Times New Roman" w:eastAsia="Times New Roman" w:hAnsi="Times New Roman"/>
          <w:sz w:val="13"/>
          <w:szCs w:val="13"/>
          <w:b w:val="1"/>
          <w:bCs w:val="1"/>
          <w:color w:val="auto"/>
        </w:rPr>
        <w:t>CASH, CASH EQUIVALENTS AND RESTRICTED CASH, beginning of period</w:t>
      </w:r>
    </w:p>
    <w:p>
      <w:pPr>
        <w:spacing w:after="0" w:line="1" w:lineRule="exact"/>
        <w:rPr>
          <w:sz w:val="20"/>
          <w:szCs w:val="20"/>
          <w:color w:val="auto"/>
        </w:rPr>
      </w:pPr>
    </w:p>
    <w:p>
      <w:pPr>
        <w:ind w:left="120" w:right="260" w:hanging="94"/>
        <w:spacing w:after="0" w:line="238" w:lineRule="auto"/>
        <w:rPr>
          <w:sz w:val="20"/>
          <w:szCs w:val="20"/>
          <w:color w:val="auto"/>
        </w:rPr>
      </w:pPr>
      <w:r>
        <w:rPr>
          <w:rFonts w:ascii="Times New Roman" w:cs="Times New Roman" w:eastAsia="Times New Roman" w:hAnsi="Times New Roman"/>
          <w:sz w:val="13"/>
          <w:szCs w:val="13"/>
          <w:b w:val="1"/>
          <w:bCs w:val="1"/>
          <w:color w:val="auto"/>
        </w:rPr>
        <w:t>CASH, CASH EQUIVALENTS AND RESTRICTED CASH, end of period</w:t>
      </w:r>
    </w:p>
    <w:p>
      <w:pPr>
        <w:spacing w:after="0" w:line="20" w:lineRule="exact"/>
        <w:rPr>
          <w:sz w:val="20"/>
          <w:szCs w:val="20"/>
          <w:color w:val="auto"/>
        </w:rPr>
      </w:pPr>
      <w:r>
        <w:rPr>
          <w:sz w:val="20"/>
          <w:szCs w:val="20"/>
          <w:color w:val="auto"/>
        </w:rPr>
        <w:br w:type="column"/>
      </w:r>
    </w:p>
    <w:p>
      <w:pPr>
        <w:jc w:val="center"/>
        <w:ind w:right="4120"/>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ind w:right="4120"/>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9" w:lineRule="exact"/>
        <w:rPr>
          <w:sz w:val="20"/>
          <w:szCs w:val="20"/>
          <w:color w:val="auto"/>
        </w:rPr>
      </w:pPr>
    </w:p>
    <w:p>
      <w:pPr>
        <w:jc w:val="center"/>
        <w:ind w:right="4120"/>
        <w:spacing w:after="0"/>
        <w:rPr>
          <w:sz w:val="20"/>
          <w:szCs w:val="20"/>
          <w:color w:val="auto"/>
        </w:rPr>
      </w:pPr>
      <w:r>
        <w:rPr>
          <w:rFonts w:ascii="Times New Roman" w:cs="Times New Roman" w:eastAsia="Times New Roman" w:hAnsi="Times New Roman"/>
          <w:sz w:val="18"/>
          <w:szCs w:val="18"/>
          <w:i w:val="1"/>
          <w:iCs w:val="1"/>
          <w:color w:val="auto"/>
        </w:rPr>
        <w:t>(Unaudited, in thousands)</w:t>
      </w:r>
    </w:p>
    <w:p>
      <w:pPr>
        <w:spacing w:after="0" w:line="12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3"/>
          <w:szCs w:val="13"/>
          <w:b w:val="1"/>
          <w:bCs w:val="1"/>
          <w:color w:val="auto"/>
        </w:rPr>
        <w:t>For the Nine Months</w:t>
      </w:r>
    </w:p>
    <w:p>
      <w:pPr>
        <w:spacing w:after="0" w:line="2"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3"/>
          <w:szCs w:val="13"/>
          <w:b w:val="1"/>
          <w:bCs w:val="1"/>
          <w:color w:val="auto"/>
        </w:rPr>
        <w:t>Ended September 30,</w:t>
      </w:r>
    </w:p>
    <w:p>
      <w:pPr>
        <w:spacing w:after="0" w:line="145" w:lineRule="exact"/>
        <w:rPr>
          <w:sz w:val="20"/>
          <w:szCs w:val="20"/>
          <w:color w:val="auto"/>
        </w:rPr>
      </w:pPr>
    </w:p>
    <w:tbl>
      <w:tblPr>
        <w:tblLayout w:type="fixed"/>
        <w:tblInd w:w="4540" w:type="dxa"/>
        <w:tblCellMar>
          <w:top w:w="0" w:type="dxa"/>
          <w:left w:w="0" w:type="dxa"/>
          <w:bottom w:w="0" w:type="dxa"/>
          <w:right w:w="0" w:type="dxa"/>
        </w:tblCellMar>
      </w:tblPr>
      <w:tr>
        <w:trPr>
          <w:trHeight w:val="176"/>
        </w:trPr>
        <w:tc>
          <w:tcPr>
            <w:tcW w:w="28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77"/>
              <w:spacing w:after="0"/>
              <w:rPr>
                <w:sz w:val="20"/>
                <w:szCs w:val="20"/>
                <w:color w:val="auto"/>
              </w:rPr>
            </w:pPr>
            <w:r>
              <w:rPr>
                <w:rFonts w:ascii="Times New Roman" w:cs="Times New Roman" w:eastAsia="Times New Roman" w:hAnsi="Times New Roman"/>
                <w:sz w:val="13"/>
                <w:szCs w:val="13"/>
                <w:b w:val="1"/>
                <w:bCs w:val="1"/>
                <w:color w:val="auto"/>
              </w:rPr>
              <w:t>2024</w:t>
            </w:r>
          </w:p>
        </w:tc>
        <w:tc>
          <w:tcPr>
            <w:tcW w:w="24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2023</w:t>
            </w:r>
          </w:p>
        </w:tc>
        <w:tc>
          <w:tcPr>
            <w:tcW w:w="40" w:type="dxa"/>
            <w:vAlign w:val="bottom"/>
          </w:tcPr>
          <w:p>
            <w:pPr>
              <w:spacing w:after="0"/>
              <w:rPr>
                <w:sz w:val="15"/>
                <w:szCs w:val="15"/>
                <w:color w:val="auto"/>
              </w:rPr>
            </w:pPr>
          </w:p>
        </w:tc>
      </w:tr>
      <w:tr>
        <w:trPr>
          <w:trHeight w:val="315"/>
        </w:trPr>
        <w:tc>
          <w:tcPr>
            <w:tcW w:w="2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13,966</w:t>
            </w:r>
          </w:p>
        </w:tc>
        <w:tc>
          <w:tcPr>
            <w:tcW w:w="240" w:type="dxa"/>
            <w:vAlign w:val="bottom"/>
          </w:tcPr>
          <w:p>
            <w:pPr>
              <w:spacing w:after="0"/>
              <w:rPr>
                <w:sz w:val="24"/>
                <w:szCs w:val="2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(5,879 )</w:t>
            </w:r>
          </w:p>
        </w:tc>
      </w:tr>
      <w:tr>
        <w:trPr>
          <w:trHeight w:val="457"/>
        </w:trPr>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23,039</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18,607</w:t>
            </w:r>
          </w:p>
        </w:tc>
        <w:tc>
          <w:tcPr>
            <w:tcW w:w="40" w:type="dxa"/>
            <w:vAlign w:val="bottom"/>
          </w:tcPr>
          <w:p>
            <w:pPr>
              <w:spacing w:after="0"/>
              <w:rPr>
                <w:sz w:val="24"/>
                <w:szCs w:val="24"/>
                <w:color w:val="auto"/>
              </w:rPr>
            </w:pPr>
          </w:p>
        </w:tc>
      </w:tr>
      <w:tr>
        <w:trPr>
          <w:trHeight w:val="162"/>
        </w:trPr>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646</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535</w:t>
            </w:r>
          </w:p>
        </w:tc>
        <w:tc>
          <w:tcPr>
            <w:tcW w:w="40" w:type="dxa"/>
            <w:vAlign w:val="bottom"/>
          </w:tcPr>
          <w:p>
            <w:pPr>
              <w:spacing w:after="0"/>
              <w:rPr>
                <w:sz w:val="14"/>
                <w:szCs w:val="14"/>
                <w:color w:val="auto"/>
              </w:rPr>
            </w:pPr>
          </w:p>
        </w:tc>
      </w:tr>
      <w:tr>
        <w:trPr>
          <w:trHeight w:val="162"/>
        </w:trPr>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19,312</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21,893</w:t>
            </w:r>
          </w:p>
        </w:tc>
        <w:tc>
          <w:tcPr>
            <w:tcW w:w="40" w:type="dxa"/>
            <w:vAlign w:val="bottom"/>
          </w:tcPr>
          <w:p>
            <w:pPr>
              <w:spacing w:after="0"/>
              <w:rPr>
                <w:sz w:val="14"/>
                <w:szCs w:val="14"/>
                <w:color w:val="auto"/>
              </w:rPr>
            </w:pPr>
          </w:p>
        </w:tc>
      </w:tr>
      <w:tr>
        <w:trPr>
          <w:trHeight w:val="162"/>
        </w:trPr>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1,063</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1,080</w:t>
            </w:r>
          </w:p>
        </w:tc>
        <w:tc>
          <w:tcPr>
            <w:tcW w:w="40" w:type="dxa"/>
            <w:vAlign w:val="bottom"/>
          </w:tcPr>
          <w:p>
            <w:pPr>
              <w:spacing w:after="0"/>
              <w:rPr>
                <w:sz w:val="14"/>
                <w:szCs w:val="14"/>
                <w:color w:val="auto"/>
              </w:rPr>
            </w:pPr>
          </w:p>
        </w:tc>
      </w:tr>
      <w:tr>
        <w:trPr>
          <w:trHeight w:val="162"/>
        </w:trPr>
        <w:tc>
          <w:tcPr>
            <w:tcW w:w="280" w:type="dxa"/>
            <w:vAlign w:val="bottom"/>
          </w:tcPr>
          <w:p>
            <w:pPr>
              <w:spacing w:after="0"/>
              <w:rPr>
                <w:sz w:val="14"/>
                <w:szCs w:val="14"/>
                <w:color w:val="auto"/>
              </w:rPr>
            </w:pPr>
          </w:p>
        </w:tc>
        <w:tc>
          <w:tcPr>
            <w:tcW w:w="1120" w:type="dxa"/>
            <w:vAlign w:val="bottom"/>
            <w:gridSpan w:val="2"/>
          </w:tcPr>
          <w:p>
            <w:pPr>
              <w:jc w:val="right"/>
              <w:ind w:right="117"/>
              <w:spacing w:after="0"/>
              <w:rPr>
                <w:sz w:val="20"/>
                <w:szCs w:val="20"/>
                <w:color w:val="auto"/>
              </w:rPr>
            </w:pPr>
            <w:r>
              <w:rPr>
                <w:rFonts w:ascii="Times New Roman" w:cs="Times New Roman" w:eastAsia="Times New Roman" w:hAnsi="Times New Roman"/>
                <w:sz w:val="13"/>
                <w:szCs w:val="13"/>
                <w:color w:val="auto"/>
              </w:rPr>
              <w:t>(668 )</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w:t>
            </w:r>
          </w:p>
        </w:tc>
        <w:tc>
          <w:tcPr>
            <w:tcW w:w="40" w:type="dxa"/>
            <w:vAlign w:val="bottom"/>
          </w:tcPr>
          <w:p>
            <w:pPr>
              <w:spacing w:after="0"/>
              <w:rPr>
                <w:sz w:val="14"/>
                <w:szCs w:val="14"/>
                <w:color w:val="auto"/>
              </w:rPr>
            </w:pPr>
          </w:p>
        </w:tc>
      </w:tr>
      <w:tr>
        <w:trPr>
          <w:trHeight w:val="162"/>
        </w:trPr>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4,809</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1,926</w:t>
            </w:r>
          </w:p>
        </w:tc>
        <w:tc>
          <w:tcPr>
            <w:tcW w:w="40" w:type="dxa"/>
            <w:vAlign w:val="bottom"/>
          </w:tcPr>
          <w:p>
            <w:pPr>
              <w:spacing w:after="0"/>
              <w:rPr>
                <w:sz w:val="14"/>
                <w:szCs w:val="14"/>
                <w:color w:val="auto"/>
              </w:rPr>
            </w:pPr>
          </w:p>
        </w:tc>
      </w:tr>
      <w:tr>
        <w:trPr>
          <w:trHeight w:val="162"/>
        </w:trPr>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tcPr>
          <w:p>
            <w:pPr>
              <w:jc w:val="right"/>
              <w:ind w:right="18"/>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1,235</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1,098</w:t>
            </w:r>
          </w:p>
        </w:tc>
        <w:tc>
          <w:tcPr>
            <w:tcW w:w="40" w:type="dxa"/>
            <w:vAlign w:val="bottom"/>
          </w:tcPr>
          <w:p>
            <w:pPr>
              <w:spacing w:after="0"/>
              <w:rPr>
                <w:sz w:val="14"/>
                <w:szCs w:val="14"/>
                <w:color w:val="auto"/>
              </w:rPr>
            </w:pPr>
          </w:p>
        </w:tc>
      </w:tr>
      <w:tr>
        <w:trPr>
          <w:trHeight w:val="164"/>
        </w:trPr>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550</w:t>
            </w:r>
          </w:p>
        </w:tc>
        <w:tc>
          <w:tcPr>
            <w:tcW w:w="40" w:type="dxa"/>
            <w:vAlign w:val="bottom"/>
          </w:tcPr>
          <w:p>
            <w:pPr>
              <w:spacing w:after="0"/>
              <w:rPr>
                <w:sz w:val="14"/>
                <w:szCs w:val="14"/>
                <w:color w:val="auto"/>
              </w:rPr>
            </w:pPr>
          </w:p>
        </w:tc>
      </w:tr>
      <w:tr>
        <w:trPr>
          <w:trHeight w:val="322"/>
        </w:trPr>
        <w:tc>
          <w:tcPr>
            <w:tcW w:w="280" w:type="dxa"/>
            <w:vAlign w:val="bottom"/>
          </w:tcPr>
          <w:p>
            <w:pPr>
              <w:spacing w:after="0"/>
              <w:rPr>
                <w:sz w:val="24"/>
                <w:szCs w:val="24"/>
                <w:color w:val="auto"/>
              </w:rPr>
            </w:pPr>
          </w:p>
        </w:tc>
        <w:tc>
          <w:tcPr>
            <w:tcW w:w="1120" w:type="dxa"/>
            <w:vAlign w:val="bottom"/>
            <w:gridSpan w:val="2"/>
          </w:tcPr>
          <w:p>
            <w:pPr>
              <w:jc w:val="right"/>
              <w:ind w:right="117"/>
              <w:spacing w:after="0"/>
              <w:rPr>
                <w:sz w:val="20"/>
                <w:szCs w:val="20"/>
                <w:color w:val="auto"/>
              </w:rPr>
            </w:pPr>
            <w:r>
              <w:rPr>
                <w:rFonts w:ascii="Times New Roman" w:cs="Times New Roman" w:eastAsia="Times New Roman" w:hAnsi="Times New Roman"/>
                <w:sz w:val="13"/>
                <w:szCs w:val="13"/>
                <w:color w:val="auto"/>
              </w:rPr>
              <w:t>(6,508 )</w:t>
            </w:r>
          </w:p>
        </w:tc>
        <w:tc>
          <w:tcPr>
            <w:tcW w:w="22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(3,149 )</w:t>
            </w:r>
          </w:p>
        </w:tc>
      </w:tr>
      <w:tr>
        <w:trPr>
          <w:trHeight w:val="162"/>
        </w:trPr>
        <w:tc>
          <w:tcPr>
            <w:tcW w:w="280" w:type="dxa"/>
            <w:vAlign w:val="bottom"/>
          </w:tcPr>
          <w:p>
            <w:pPr>
              <w:spacing w:after="0"/>
              <w:rPr>
                <w:sz w:val="14"/>
                <w:szCs w:val="14"/>
                <w:color w:val="auto"/>
              </w:rPr>
            </w:pPr>
          </w:p>
        </w:tc>
        <w:tc>
          <w:tcPr>
            <w:tcW w:w="1120" w:type="dxa"/>
            <w:vAlign w:val="bottom"/>
            <w:gridSpan w:val="2"/>
          </w:tcPr>
          <w:p>
            <w:pPr>
              <w:jc w:val="right"/>
              <w:ind w:right="117"/>
              <w:spacing w:after="0"/>
              <w:rPr>
                <w:sz w:val="20"/>
                <w:szCs w:val="20"/>
                <w:color w:val="auto"/>
              </w:rPr>
            </w:pPr>
            <w:r>
              <w:rPr>
                <w:rFonts w:ascii="Times New Roman" w:cs="Times New Roman" w:eastAsia="Times New Roman" w:hAnsi="Times New Roman"/>
                <w:sz w:val="13"/>
                <w:szCs w:val="13"/>
                <w:color w:val="auto"/>
              </w:rPr>
              <w:t>(16,366 )</w:t>
            </w:r>
          </w:p>
        </w:tc>
        <w:tc>
          <w:tcPr>
            <w:tcW w:w="22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(16,326 )</w:t>
            </w:r>
          </w:p>
        </w:tc>
      </w:tr>
      <w:tr>
        <w:trPr>
          <w:trHeight w:val="162"/>
        </w:trPr>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10,289</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310</w:t>
            </w:r>
          </w:p>
        </w:tc>
        <w:tc>
          <w:tcPr>
            <w:tcW w:w="40" w:type="dxa"/>
            <w:vAlign w:val="bottom"/>
          </w:tcPr>
          <w:p>
            <w:pPr>
              <w:spacing w:after="0"/>
              <w:rPr>
                <w:sz w:val="14"/>
                <w:szCs w:val="14"/>
                <w:color w:val="auto"/>
              </w:rPr>
            </w:pPr>
          </w:p>
        </w:tc>
      </w:tr>
      <w:tr>
        <w:trPr>
          <w:trHeight w:val="162"/>
        </w:trPr>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2,828</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2,086</w:t>
            </w:r>
          </w:p>
        </w:tc>
        <w:tc>
          <w:tcPr>
            <w:tcW w:w="40" w:type="dxa"/>
            <w:vAlign w:val="bottom"/>
          </w:tcPr>
          <w:p>
            <w:pPr>
              <w:spacing w:after="0"/>
              <w:rPr>
                <w:sz w:val="14"/>
                <w:szCs w:val="14"/>
                <w:color w:val="auto"/>
              </w:rPr>
            </w:pPr>
          </w:p>
        </w:tc>
      </w:tr>
      <w:tr>
        <w:trPr>
          <w:trHeight w:val="162"/>
        </w:trPr>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9,179</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4,662</w:t>
            </w:r>
          </w:p>
        </w:tc>
        <w:tc>
          <w:tcPr>
            <w:tcW w:w="40" w:type="dxa"/>
            <w:vAlign w:val="bottom"/>
          </w:tcPr>
          <w:p>
            <w:pPr>
              <w:spacing w:after="0"/>
              <w:rPr>
                <w:sz w:val="14"/>
                <w:szCs w:val="14"/>
                <w:color w:val="auto"/>
              </w:rPr>
            </w:pPr>
          </w:p>
        </w:tc>
      </w:tr>
      <w:tr>
        <w:trPr>
          <w:trHeight w:val="162"/>
        </w:trPr>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14,681</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31,664</w:t>
            </w:r>
          </w:p>
        </w:tc>
        <w:tc>
          <w:tcPr>
            <w:tcW w:w="40" w:type="dxa"/>
            <w:vAlign w:val="bottom"/>
          </w:tcPr>
          <w:p>
            <w:pPr>
              <w:spacing w:after="0"/>
              <w:rPr>
                <w:sz w:val="14"/>
                <w:szCs w:val="14"/>
                <w:color w:val="auto"/>
              </w:rPr>
            </w:pPr>
          </w:p>
        </w:tc>
      </w:tr>
      <w:tr>
        <w:trPr>
          <w:trHeight w:val="162"/>
        </w:trPr>
        <w:tc>
          <w:tcPr>
            <w:tcW w:w="280" w:type="dxa"/>
            <w:vAlign w:val="bottom"/>
          </w:tcPr>
          <w:p>
            <w:pPr>
              <w:spacing w:after="0"/>
              <w:rPr>
                <w:sz w:val="14"/>
                <w:szCs w:val="14"/>
                <w:color w:val="auto"/>
              </w:rPr>
            </w:pPr>
          </w:p>
        </w:tc>
        <w:tc>
          <w:tcPr>
            <w:tcW w:w="1120" w:type="dxa"/>
            <w:vAlign w:val="bottom"/>
            <w:gridSpan w:val="2"/>
          </w:tcPr>
          <w:p>
            <w:pPr>
              <w:jc w:val="right"/>
              <w:ind w:right="117"/>
              <w:spacing w:after="0"/>
              <w:rPr>
                <w:sz w:val="20"/>
                <w:szCs w:val="20"/>
                <w:color w:val="auto"/>
              </w:rPr>
            </w:pPr>
            <w:r>
              <w:rPr>
                <w:rFonts w:ascii="Times New Roman" w:cs="Times New Roman" w:eastAsia="Times New Roman" w:hAnsi="Times New Roman"/>
                <w:sz w:val="13"/>
                <w:szCs w:val="13"/>
                <w:color w:val="auto"/>
              </w:rPr>
              <w:t>(412 )</w:t>
            </w:r>
          </w:p>
        </w:tc>
        <w:tc>
          <w:tcPr>
            <w:tcW w:w="22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(1,351 )</w:t>
            </w:r>
          </w:p>
        </w:tc>
      </w:tr>
      <w:tr>
        <w:trPr>
          <w:trHeight w:val="162"/>
        </w:trPr>
        <w:tc>
          <w:tcPr>
            <w:tcW w:w="280" w:type="dxa"/>
            <w:vAlign w:val="bottom"/>
          </w:tcPr>
          <w:p>
            <w:pPr>
              <w:spacing w:after="0"/>
              <w:rPr>
                <w:sz w:val="14"/>
                <w:szCs w:val="14"/>
                <w:color w:val="auto"/>
              </w:rPr>
            </w:pPr>
          </w:p>
        </w:tc>
        <w:tc>
          <w:tcPr>
            <w:tcW w:w="1120" w:type="dxa"/>
            <w:vAlign w:val="bottom"/>
            <w:gridSpan w:val="2"/>
          </w:tcPr>
          <w:p>
            <w:pPr>
              <w:jc w:val="right"/>
              <w:ind w:right="117"/>
              <w:spacing w:after="0"/>
              <w:rPr>
                <w:sz w:val="20"/>
                <w:szCs w:val="20"/>
                <w:color w:val="auto"/>
              </w:rPr>
            </w:pPr>
            <w:r>
              <w:rPr>
                <w:rFonts w:ascii="Times New Roman" w:cs="Times New Roman" w:eastAsia="Times New Roman" w:hAnsi="Times New Roman"/>
                <w:sz w:val="13"/>
                <w:szCs w:val="13"/>
                <w:color w:val="auto"/>
              </w:rPr>
              <w:t>(274 )</w:t>
            </w:r>
          </w:p>
        </w:tc>
        <w:tc>
          <w:tcPr>
            <w:tcW w:w="22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(7,276 )</w:t>
            </w:r>
          </w:p>
        </w:tc>
      </w:tr>
      <w:tr>
        <w:trPr>
          <w:trHeight w:val="162"/>
        </w:trPr>
        <w:tc>
          <w:tcPr>
            <w:tcW w:w="280" w:type="dxa"/>
            <w:vAlign w:val="bottom"/>
          </w:tcPr>
          <w:p>
            <w:pPr>
              <w:spacing w:after="0"/>
              <w:rPr>
                <w:sz w:val="14"/>
                <w:szCs w:val="14"/>
                <w:color w:val="auto"/>
              </w:rPr>
            </w:pPr>
          </w:p>
        </w:tc>
        <w:tc>
          <w:tcPr>
            <w:tcW w:w="112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(3,210 )</w:t>
            </w:r>
          </w:p>
        </w:tc>
      </w:tr>
      <w:tr>
        <w:trPr>
          <w:trHeight w:val="162"/>
        </w:trPr>
        <w:tc>
          <w:tcPr>
            <w:tcW w:w="280" w:type="dxa"/>
            <w:vAlign w:val="bottom"/>
          </w:tcPr>
          <w:p>
            <w:pPr>
              <w:spacing w:after="0"/>
              <w:rPr>
                <w:sz w:val="14"/>
                <w:szCs w:val="14"/>
                <w:color w:val="auto"/>
              </w:rPr>
            </w:pPr>
          </w:p>
        </w:tc>
        <w:tc>
          <w:tcPr>
            <w:tcW w:w="1120" w:type="dxa"/>
            <w:vAlign w:val="bottom"/>
            <w:gridSpan w:val="2"/>
          </w:tcPr>
          <w:p>
            <w:pPr>
              <w:jc w:val="right"/>
              <w:ind w:right="117"/>
              <w:spacing w:after="0"/>
              <w:rPr>
                <w:sz w:val="20"/>
                <w:szCs w:val="20"/>
                <w:color w:val="auto"/>
              </w:rPr>
            </w:pPr>
            <w:r>
              <w:rPr>
                <w:rFonts w:ascii="Times New Roman" w:cs="Times New Roman" w:eastAsia="Times New Roman" w:hAnsi="Times New Roman"/>
                <w:sz w:val="13"/>
                <w:szCs w:val="13"/>
                <w:color w:val="auto"/>
              </w:rPr>
              <w:t>(689 )</w:t>
            </w:r>
          </w:p>
        </w:tc>
        <w:tc>
          <w:tcPr>
            <w:tcW w:w="22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(232 )</w:t>
            </w:r>
          </w:p>
        </w:tc>
      </w:tr>
      <w:tr>
        <w:trPr>
          <w:trHeight w:val="165"/>
        </w:trPr>
        <w:tc>
          <w:tcPr>
            <w:tcW w:w="280" w:type="dxa"/>
            <w:vAlign w:val="bottom"/>
          </w:tcPr>
          <w:p>
            <w:pPr>
              <w:spacing w:after="0"/>
              <w:rPr>
                <w:sz w:val="14"/>
                <w:szCs w:val="14"/>
                <w:color w:val="auto"/>
              </w:rPr>
            </w:pPr>
          </w:p>
        </w:tc>
        <w:tc>
          <w:tcPr>
            <w:tcW w:w="1120" w:type="dxa"/>
            <w:vAlign w:val="bottom"/>
            <w:gridSpan w:val="2"/>
          </w:tcPr>
          <w:p>
            <w:pPr>
              <w:jc w:val="right"/>
              <w:ind w:right="117"/>
              <w:spacing w:after="0"/>
              <w:rPr>
                <w:sz w:val="20"/>
                <w:szCs w:val="20"/>
                <w:color w:val="auto"/>
              </w:rPr>
            </w:pPr>
            <w:r>
              <w:rPr>
                <w:rFonts w:ascii="Times New Roman" w:cs="Times New Roman" w:eastAsia="Times New Roman" w:hAnsi="Times New Roman"/>
                <w:sz w:val="13"/>
                <w:szCs w:val="13"/>
                <w:color w:val="auto"/>
              </w:rPr>
              <w:t>(3,164 )</w:t>
            </w:r>
          </w:p>
        </w:tc>
        <w:tc>
          <w:tcPr>
            <w:tcW w:w="22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(1,401 )</w:t>
            </w:r>
          </w:p>
        </w:tc>
      </w:tr>
      <w:tr>
        <w:trPr>
          <w:trHeight w:val="159"/>
        </w:trPr>
        <w:tc>
          <w:tcPr>
            <w:tcW w:w="2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73,258</w:t>
            </w:r>
          </w:p>
        </w:tc>
        <w:tc>
          <w:tcPr>
            <w:tcW w:w="2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45,807</w:t>
            </w:r>
          </w:p>
        </w:tc>
        <w:tc>
          <w:tcPr>
            <w:tcW w:w="40" w:type="dxa"/>
            <w:vAlign w:val="bottom"/>
          </w:tcPr>
          <w:p>
            <w:pPr>
              <w:spacing w:after="0"/>
              <w:rPr>
                <w:sz w:val="13"/>
                <w:szCs w:val="13"/>
                <w:color w:val="auto"/>
              </w:rPr>
            </w:pPr>
          </w:p>
        </w:tc>
      </w:tr>
      <w:tr>
        <w:trPr>
          <w:trHeight w:val="317"/>
        </w:trPr>
        <w:tc>
          <w:tcPr>
            <w:tcW w:w="280" w:type="dxa"/>
            <w:vAlign w:val="bottom"/>
          </w:tcPr>
          <w:p>
            <w:pPr>
              <w:spacing w:after="0"/>
              <w:rPr>
                <w:sz w:val="24"/>
                <w:szCs w:val="24"/>
                <w:color w:val="auto"/>
              </w:rPr>
            </w:pPr>
          </w:p>
        </w:tc>
        <w:tc>
          <w:tcPr>
            <w:tcW w:w="112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(20 )</w:t>
            </w:r>
          </w:p>
        </w:tc>
      </w:tr>
      <w:tr>
        <w:trPr>
          <w:trHeight w:val="162"/>
        </w:trPr>
        <w:tc>
          <w:tcPr>
            <w:tcW w:w="280" w:type="dxa"/>
            <w:vAlign w:val="bottom"/>
          </w:tcPr>
          <w:p>
            <w:pPr>
              <w:spacing w:after="0"/>
              <w:rPr>
                <w:sz w:val="14"/>
                <w:szCs w:val="14"/>
                <w:color w:val="auto"/>
              </w:rPr>
            </w:pPr>
          </w:p>
        </w:tc>
        <w:tc>
          <w:tcPr>
            <w:tcW w:w="1120" w:type="dxa"/>
            <w:vAlign w:val="bottom"/>
            <w:gridSpan w:val="2"/>
          </w:tcPr>
          <w:p>
            <w:pPr>
              <w:jc w:val="right"/>
              <w:ind w:right="117"/>
              <w:spacing w:after="0"/>
              <w:rPr>
                <w:sz w:val="20"/>
                <w:szCs w:val="20"/>
                <w:color w:val="auto"/>
              </w:rPr>
            </w:pPr>
            <w:r>
              <w:rPr>
                <w:rFonts w:ascii="Times New Roman" w:cs="Times New Roman" w:eastAsia="Times New Roman" w:hAnsi="Times New Roman"/>
                <w:sz w:val="13"/>
                <w:szCs w:val="13"/>
                <w:color w:val="auto"/>
              </w:rPr>
              <w:t>(382 )</w:t>
            </w:r>
          </w:p>
        </w:tc>
        <w:tc>
          <w:tcPr>
            <w:tcW w:w="22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(212 )</w:t>
            </w:r>
          </w:p>
        </w:tc>
      </w:tr>
      <w:tr>
        <w:trPr>
          <w:trHeight w:val="162"/>
        </w:trPr>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40" w:type="dxa"/>
            <w:vAlign w:val="bottom"/>
          </w:tcPr>
          <w:p>
            <w:pPr>
              <w:spacing w:after="0"/>
              <w:rPr>
                <w:sz w:val="14"/>
                <w:szCs w:val="14"/>
                <w:color w:val="auto"/>
              </w:rPr>
            </w:pPr>
          </w:p>
        </w:tc>
      </w:tr>
      <w:tr>
        <w:trPr>
          <w:trHeight w:val="162"/>
        </w:trPr>
        <w:tc>
          <w:tcPr>
            <w:tcW w:w="280" w:type="dxa"/>
            <w:vAlign w:val="bottom"/>
          </w:tcPr>
          <w:p>
            <w:pPr>
              <w:spacing w:after="0"/>
              <w:rPr>
                <w:sz w:val="14"/>
                <w:szCs w:val="14"/>
                <w:color w:val="auto"/>
              </w:rPr>
            </w:pPr>
          </w:p>
        </w:tc>
        <w:tc>
          <w:tcPr>
            <w:tcW w:w="1120" w:type="dxa"/>
            <w:vAlign w:val="bottom"/>
            <w:gridSpan w:val="2"/>
          </w:tcPr>
          <w:p>
            <w:pPr>
              <w:jc w:val="right"/>
              <w:ind w:right="117"/>
              <w:spacing w:after="0"/>
              <w:rPr>
                <w:sz w:val="20"/>
                <w:szCs w:val="20"/>
                <w:color w:val="auto"/>
              </w:rPr>
            </w:pPr>
            <w:r>
              <w:rPr>
                <w:rFonts w:ascii="Times New Roman" w:cs="Times New Roman" w:eastAsia="Times New Roman" w:hAnsi="Times New Roman"/>
                <w:sz w:val="13"/>
                <w:szCs w:val="13"/>
                <w:color w:val="auto"/>
              </w:rPr>
              <w:t>(4 )</w:t>
            </w:r>
          </w:p>
        </w:tc>
        <w:tc>
          <w:tcPr>
            <w:tcW w:w="220" w:type="dxa"/>
            <w:vAlign w:val="bottom"/>
          </w:tcPr>
          <w:p>
            <w:pPr>
              <w:spacing w:after="0"/>
              <w:rPr>
                <w:sz w:val="14"/>
                <w:szCs w:val="14"/>
                <w:color w:val="auto"/>
              </w:rPr>
            </w:pPr>
          </w:p>
        </w:tc>
        <w:tc>
          <w:tcPr>
            <w:tcW w:w="840" w:type="dxa"/>
            <w:vAlign w:val="bottom"/>
            <w:gridSpan w:val="2"/>
          </w:tcPr>
          <w:p>
            <w:pPr>
              <w:jc w:val="right"/>
              <w:ind w:right="18"/>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683</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516</w:t>
            </w:r>
          </w:p>
        </w:tc>
        <w:tc>
          <w:tcPr>
            <w:tcW w:w="40" w:type="dxa"/>
            <w:vAlign w:val="bottom"/>
          </w:tcPr>
          <w:p>
            <w:pPr>
              <w:spacing w:after="0"/>
              <w:rPr>
                <w:sz w:val="14"/>
                <w:szCs w:val="14"/>
                <w:color w:val="auto"/>
              </w:rPr>
            </w:pPr>
          </w:p>
        </w:tc>
      </w:tr>
      <w:tr>
        <w:trPr>
          <w:trHeight w:val="162"/>
        </w:trPr>
        <w:tc>
          <w:tcPr>
            <w:tcW w:w="280" w:type="dxa"/>
            <w:vAlign w:val="bottom"/>
          </w:tcPr>
          <w:p>
            <w:pPr>
              <w:spacing w:after="0"/>
              <w:rPr>
                <w:sz w:val="14"/>
                <w:szCs w:val="14"/>
                <w:color w:val="auto"/>
              </w:rPr>
            </w:pPr>
          </w:p>
        </w:tc>
        <w:tc>
          <w:tcPr>
            <w:tcW w:w="1120" w:type="dxa"/>
            <w:vAlign w:val="bottom"/>
            <w:gridSpan w:val="2"/>
          </w:tcPr>
          <w:p>
            <w:pPr>
              <w:jc w:val="right"/>
              <w:ind w:right="117"/>
              <w:spacing w:after="0"/>
              <w:rPr>
                <w:sz w:val="20"/>
                <w:szCs w:val="20"/>
                <w:color w:val="auto"/>
              </w:rPr>
            </w:pPr>
            <w:r>
              <w:rPr>
                <w:rFonts w:ascii="Times New Roman" w:cs="Times New Roman" w:eastAsia="Times New Roman" w:hAnsi="Times New Roman"/>
                <w:sz w:val="13"/>
                <w:szCs w:val="13"/>
                <w:color w:val="auto"/>
              </w:rPr>
              <w:t>(261 )</w:t>
            </w:r>
          </w:p>
        </w:tc>
        <w:tc>
          <w:tcPr>
            <w:tcW w:w="220" w:type="dxa"/>
            <w:vAlign w:val="bottom"/>
          </w:tcPr>
          <w:p>
            <w:pPr>
              <w:spacing w:after="0"/>
              <w:rPr>
                <w:sz w:val="14"/>
                <w:szCs w:val="14"/>
                <w:color w:val="auto"/>
              </w:rPr>
            </w:pPr>
          </w:p>
        </w:tc>
        <w:tc>
          <w:tcPr>
            <w:tcW w:w="840" w:type="dxa"/>
            <w:vAlign w:val="bottom"/>
            <w:gridSpan w:val="2"/>
          </w:tcPr>
          <w:p>
            <w:pPr>
              <w:jc w:val="right"/>
              <w:ind w:right="18"/>
              <w:spacing w:after="0"/>
              <w:rPr>
                <w:sz w:val="20"/>
                <w:szCs w:val="20"/>
                <w:color w:val="auto"/>
              </w:rPr>
            </w:pPr>
            <w:r>
              <w:rPr>
                <w:rFonts w:ascii="Times New Roman" w:cs="Times New Roman" w:eastAsia="Times New Roman" w:hAnsi="Times New Roman"/>
                <w:sz w:val="13"/>
                <w:szCs w:val="13"/>
                <w:color w:val="auto"/>
              </w:rPr>
              <w:t>—</w:t>
            </w:r>
          </w:p>
        </w:tc>
      </w:tr>
      <w:tr>
        <w:trPr>
          <w:trHeight w:val="165"/>
        </w:trPr>
        <w:tc>
          <w:tcPr>
            <w:tcW w:w="280" w:type="dxa"/>
            <w:vAlign w:val="bottom"/>
          </w:tcPr>
          <w:p>
            <w:pPr>
              <w:spacing w:after="0"/>
              <w:rPr>
                <w:sz w:val="14"/>
                <w:szCs w:val="14"/>
                <w:color w:val="auto"/>
              </w:rPr>
            </w:pPr>
          </w:p>
        </w:tc>
        <w:tc>
          <w:tcPr>
            <w:tcW w:w="1120" w:type="dxa"/>
            <w:vAlign w:val="bottom"/>
            <w:gridSpan w:val="2"/>
          </w:tcPr>
          <w:p>
            <w:pPr>
              <w:jc w:val="right"/>
              <w:ind w:right="117"/>
              <w:spacing w:after="0"/>
              <w:rPr>
                <w:sz w:val="20"/>
                <w:szCs w:val="20"/>
                <w:color w:val="auto"/>
              </w:rPr>
            </w:pPr>
            <w:r>
              <w:rPr>
                <w:rFonts w:ascii="Times New Roman" w:cs="Times New Roman" w:eastAsia="Times New Roman" w:hAnsi="Times New Roman"/>
                <w:sz w:val="13"/>
                <w:szCs w:val="13"/>
                <w:color w:val="auto"/>
              </w:rPr>
              <w:t>(3,440 )</w:t>
            </w:r>
          </w:p>
        </w:tc>
        <w:tc>
          <w:tcPr>
            <w:tcW w:w="22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(1,025 )</w:t>
            </w:r>
          </w:p>
        </w:tc>
      </w:tr>
      <w:tr>
        <w:trPr>
          <w:trHeight w:val="159"/>
        </w:trPr>
        <w:tc>
          <w:tcPr>
            <w:tcW w:w="2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(3,358</w:t>
            </w:r>
          </w:p>
        </w:tc>
        <w:tc>
          <w:tcPr>
            <w:tcW w:w="24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(727</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317"/>
        </w:trPr>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386,805</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28,000</w:t>
            </w:r>
          </w:p>
        </w:tc>
        <w:tc>
          <w:tcPr>
            <w:tcW w:w="40" w:type="dxa"/>
            <w:vAlign w:val="bottom"/>
          </w:tcPr>
          <w:p>
            <w:pPr>
              <w:spacing w:after="0"/>
              <w:rPr>
                <w:sz w:val="24"/>
                <w:szCs w:val="24"/>
                <w:color w:val="auto"/>
              </w:rPr>
            </w:pPr>
          </w:p>
        </w:tc>
      </w:tr>
      <w:tr>
        <w:trPr>
          <w:trHeight w:val="162"/>
        </w:trPr>
        <w:tc>
          <w:tcPr>
            <w:tcW w:w="280" w:type="dxa"/>
            <w:vAlign w:val="bottom"/>
          </w:tcPr>
          <w:p>
            <w:pPr>
              <w:spacing w:after="0"/>
              <w:rPr>
                <w:sz w:val="14"/>
                <w:szCs w:val="14"/>
                <w:color w:val="auto"/>
              </w:rPr>
            </w:pPr>
          </w:p>
        </w:tc>
        <w:tc>
          <w:tcPr>
            <w:tcW w:w="1120" w:type="dxa"/>
            <w:vAlign w:val="bottom"/>
            <w:gridSpan w:val="2"/>
          </w:tcPr>
          <w:p>
            <w:pPr>
              <w:jc w:val="right"/>
              <w:ind w:right="117"/>
              <w:spacing w:after="0"/>
              <w:rPr>
                <w:sz w:val="20"/>
                <w:szCs w:val="20"/>
                <w:color w:val="auto"/>
              </w:rPr>
            </w:pPr>
            <w:r>
              <w:rPr>
                <w:rFonts w:ascii="Times New Roman" w:cs="Times New Roman" w:eastAsia="Times New Roman" w:hAnsi="Times New Roman"/>
                <w:sz w:val="13"/>
                <w:szCs w:val="13"/>
                <w:color w:val="auto"/>
              </w:rPr>
              <w:t>(356,575 )</w:t>
            </w:r>
          </w:p>
        </w:tc>
        <w:tc>
          <w:tcPr>
            <w:tcW w:w="22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(56,369 )</w:t>
            </w:r>
          </w:p>
        </w:tc>
      </w:tr>
      <w:tr>
        <w:trPr>
          <w:trHeight w:val="162"/>
        </w:trPr>
        <w:tc>
          <w:tcPr>
            <w:tcW w:w="280" w:type="dxa"/>
            <w:vAlign w:val="bottom"/>
          </w:tcPr>
          <w:p>
            <w:pPr>
              <w:spacing w:after="0"/>
              <w:rPr>
                <w:sz w:val="14"/>
                <w:szCs w:val="14"/>
                <w:color w:val="auto"/>
              </w:rPr>
            </w:pPr>
          </w:p>
        </w:tc>
        <w:tc>
          <w:tcPr>
            <w:tcW w:w="1120" w:type="dxa"/>
            <w:vAlign w:val="bottom"/>
            <w:gridSpan w:val="2"/>
          </w:tcPr>
          <w:p>
            <w:pPr>
              <w:jc w:val="right"/>
              <w:ind w:right="117"/>
              <w:spacing w:after="0"/>
              <w:rPr>
                <w:sz w:val="20"/>
                <w:szCs w:val="20"/>
                <w:color w:val="auto"/>
              </w:rPr>
            </w:pPr>
            <w:r>
              <w:rPr>
                <w:rFonts w:ascii="Times New Roman" w:cs="Times New Roman" w:eastAsia="Times New Roman" w:hAnsi="Times New Roman"/>
                <w:sz w:val="13"/>
                <w:szCs w:val="13"/>
                <w:color w:val="auto"/>
              </w:rPr>
              <w:t>(48,691 )</w:t>
            </w:r>
          </w:p>
        </w:tc>
        <w:tc>
          <w:tcPr>
            <w:tcW w:w="220" w:type="dxa"/>
            <w:vAlign w:val="bottom"/>
          </w:tcPr>
          <w:p>
            <w:pPr>
              <w:spacing w:after="0"/>
              <w:rPr>
                <w:sz w:val="14"/>
                <w:szCs w:val="14"/>
                <w:color w:val="auto"/>
              </w:rPr>
            </w:pPr>
          </w:p>
        </w:tc>
        <w:tc>
          <w:tcPr>
            <w:tcW w:w="840" w:type="dxa"/>
            <w:vAlign w:val="bottom"/>
            <w:gridSpan w:val="2"/>
          </w:tcPr>
          <w:p>
            <w:pPr>
              <w:jc w:val="right"/>
              <w:ind w:right="18"/>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280" w:type="dxa"/>
            <w:vAlign w:val="bottom"/>
          </w:tcPr>
          <w:p>
            <w:pPr>
              <w:spacing w:after="0"/>
              <w:rPr>
                <w:sz w:val="14"/>
                <w:szCs w:val="14"/>
                <w:color w:val="auto"/>
              </w:rPr>
            </w:pPr>
          </w:p>
        </w:tc>
        <w:tc>
          <w:tcPr>
            <w:tcW w:w="1120" w:type="dxa"/>
            <w:vAlign w:val="bottom"/>
            <w:gridSpan w:val="2"/>
          </w:tcPr>
          <w:p>
            <w:pPr>
              <w:jc w:val="right"/>
              <w:ind w:right="117"/>
              <w:spacing w:after="0"/>
              <w:rPr>
                <w:sz w:val="20"/>
                <w:szCs w:val="20"/>
                <w:color w:val="auto"/>
              </w:rPr>
            </w:pPr>
            <w:r>
              <w:rPr>
                <w:rFonts w:ascii="Times New Roman" w:cs="Times New Roman" w:eastAsia="Times New Roman" w:hAnsi="Times New Roman"/>
                <w:sz w:val="13"/>
                <w:szCs w:val="13"/>
                <w:color w:val="auto"/>
              </w:rPr>
              <w:t>(3,574 )</w:t>
            </w:r>
          </w:p>
        </w:tc>
        <w:tc>
          <w:tcPr>
            <w:tcW w:w="22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(5,181 )</w:t>
            </w:r>
          </w:p>
        </w:tc>
      </w:tr>
      <w:tr>
        <w:trPr>
          <w:trHeight w:val="162"/>
        </w:trPr>
        <w:tc>
          <w:tcPr>
            <w:tcW w:w="280" w:type="dxa"/>
            <w:vAlign w:val="bottom"/>
          </w:tcPr>
          <w:p>
            <w:pPr>
              <w:spacing w:after="0"/>
              <w:rPr>
                <w:sz w:val="14"/>
                <w:szCs w:val="14"/>
                <w:color w:val="auto"/>
              </w:rPr>
            </w:pPr>
          </w:p>
        </w:tc>
        <w:tc>
          <w:tcPr>
            <w:tcW w:w="112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(851 )</w:t>
            </w:r>
          </w:p>
        </w:tc>
      </w:tr>
      <w:tr>
        <w:trPr>
          <w:trHeight w:val="162"/>
        </w:trPr>
        <w:tc>
          <w:tcPr>
            <w:tcW w:w="280" w:type="dxa"/>
            <w:vAlign w:val="bottom"/>
          </w:tcPr>
          <w:p>
            <w:pPr>
              <w:spacing w:after="0"/>
              <w:rPr>
                <w:sz w:val="14"/>
                <w:szCs w:val="14"/>
                <w:color w:val="auto"/>
              </w:rPr>
            </w:pPr>
          </w:p>
        </w:tc>
        <w:tc>
          <w:tcPr>
            <w:tcW w:w="1120" w:type="dxa"/>
            <w:vAlign w:val="bottom"/>
            <w:gridSpan w:val="2"/>
          </w:tcPr>
          <w:p>
            <w:pPr>
              <w:jc w:val="right"/>
              <w:ind w:right="117"/>
              <w:spacing w:after="0"/>
              <w:rPr>
                <w:sz w:val="20"/>
                <w:szCs w:val="20"/>
                <w:color w:val="auto"/>
              </w:rPr>
            </w:pPr>
            <w:r>
              <w:rPr>
                <w:rFonts w:ascii="Times New Roman" w:cs="Times New Roman" w:eastAsia="Times New Roman" w:hAnsi="Times New Roman"/>
                <w:sz w:val="13"/>
                <w:szCs w:val="13"/>
                <w:color w:val="auto"/>
              </w:rPr>
              <w:t>(2,565 )</w:t>
            </w:r>
          </w:p>
        </w:tc>
        <w:tc>
          <w:tcPr>
            <w:tcW w:w="22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(6,476 )</w:t>
            </w:r>
          </w:p>
        </w:tc>
      </w:tr>
      <w:tr>
        <w:trPr>
          <w:trHeight w:val="162"/>
        </w:trPr>
        <w:tc>
          <w:tcPr>
            <w:tcW w:w="280" w:type="dxa"/>
            <w:vAlign w:val="bottom"/>
          </w:tcPr>
          <w:p>
            <w:pPr>
              <w:spacing w:after="0"/>
              <w:rPr>
                <w:sz w:val="14"/>
                <w:szCs w:val="14"/>
                <w:color w:val="auto"/>
              </w:rPr>
            </w:pPr>
          </w:p>
        </w:tc>
        <w:tc>
          <w:tcPr>
            <w:tcW w:w="1120" w:type="dxa"/>
            <w:vAlign w:val="bottom"/>
            <w:gridSpan w:val="2"/>
          </w:tcPr>
          <w:p>
            <w:pPr>
              <w:jc w:val="right"/>
              <w:ind w:right="117"/>
              <w:spacing w:after="0"/>
              <w:rPr>
                <w:sz w:val="20"/>
                <w:szCs w:val="20"/>
                <w:color w:val="auto"/>
              </w:rPr>
            </w:pPr>
            <w:r>
              <w:rPr>
                <w:rFonts w:ascii="Times New Roman" w:cs="Times New Roman" w:eastAsia="Times New Roman" w:hAnsi="Times New Roman"/>
                <w:sz w:val="13"/>
                <w:szCs w:val="13"/>
                <w:color w:val="auto"/>
              </w:rPr>
              <w:t>(11,597 )</w:t>
            </w:r>
          </w:p>
        </w:tc>
        <w:tc>
          <w:tcPr>
            <w:tcW w:w="22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(11,031 )</w:t>
            </w:r>
          </w:p>
        </w:tc>
      </w:tr>
      <w:tr>
        <w:trPr>
          <w:trHeight w:val="162"/>
        </w:trPr>
        <w:tc>
          <w:tcPr>
            <w:tcW w:w="280" w:type="dxa"/>
            <w:vAlign w:val="bottom"/>
          </w:tcPr>
          <w:p>
            <w:pPr>
              <w:spacing w:after="0"/>
              <w:rPr>
                <w:sz w:val="14"/>
                <w:szCs w:val="14"/>
                <w:color w:val="auto"/>
              </w:rPr>
            </w:pPr>
          </w:p>
        </w:tc>
        <w:tc>
          <w:tcPr>
            <w:tcW w:w="1120" w:type="dxa"/>
            <w:vAlign w:val="bottom"/>
            <w:gridSpan w:val="2"/>
          </w:tcPr>
          <w:p>
            <w:pPr>
              <w:jc w:val="right"/>
              <w:ind w:right="117"/>
              <w:spacing w:after="0"/>
              <w:rPr>
                <w:sz w:val="20"/>
                <w:szCs w:val="20"/>
                <w:color w:val="auto"/>
              </w:rPr>
            </w:pPr>
            <w:r>
              <w:rPr>
                <w:rFonts w:ascii="Times New Roman" w:cs="Times New Roman" w:eastAsia="Times New Roman" w:hAnsi="Times New Roman"/>
                <w:sz w:val="13"/>
                <w:szCs w:val="13"/>
                <w:color w:val="auto"/>
              </w:rPr>
              <w:t>(634 )</w:t>
            </w:r>
          </w:p>
        </w:tc>
        <w:tc>
          <w:tcPr>
            <w:tcW w:w="22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(446 )</w:t>
            </w:r>
          </w:p>
        </w:tc>
      </w:tr>
      <w:tr>
        <w:trPr>
          <w:trHeight w:val="165"/>
        </w:trPr>
        <w:tc>
          <w:tcPr>
            <w:tcW w:w="280" w:type="dxa"/>
            <w:vAlign w:val="bottom"/>
          </w:tcPr>
          <w:p>
            <w:pPr>
              <w:spacing w:after="0"/>
              <w:rPr>
                <w:sz w:val="14"/>
                <w:szCs w:val="14"/>
                <w:color w:val="auto"/>
              </w:rPr>
            </w:pPr>
          </w:p>
        </w:tc>
        <w:tc>
          <w:tcPr>
            <w:tcW w:w="1120" w:type="dxa"/>
            <w:vAlign w:val="bottom"/>
            <w:gridSpan w:val="2"/>
          </w:tcPr>
          <w:p>
            <w:pPr>
              <w:jc w:val="right"/>
              <w:ind w:right="117"/>
              <w:spacing w:after="0"/>
              <w:rPr>
                <w:sz w:val="20"/>
                <w:szCs w:val="20"/>
                <w:color w:val="auto"/>
              </w:rPr>
            </w:pPr>
            <w:r>
              <w:rPr>
                <w:rFonts w:ascii="Times New Roman" w:cs="Times New Roman" w:eastAsia="Times New Roman" w:hAnsi="Times New Roman"/>
                <w:sz w:val="13"/>
                <w:szCs w:val="13"/>
                <w:color w:val="auto"/>
              </w:rPr>
              <w:t>(1,858 )</w:t>
            </w:r>
          </w:p>
        </w:tc>
        <w:tc>
          <w:tcPr>
            <w:tcW w:w="220" w:type="dxa"/>
            <w:vAlign w:val="bottom"/>
          </w:tcPr>
          <w:p>
            <w:pPr>
              <w:spacing w:after="0"/>
              <w:rPr>
                <w:sz w:val="14"/>
                <w:szCs w:val="14"/>
                <w:color w:val="auto"/>
              </w:rPr>
            </w:pPr>
          </w:p>
        </w:tc>
        <w:tc>
          <w:tcPr>
            <w:tcW w:w="840" w:type="dxa"/>
            <w:vAlign w:val="bottom"/>
            <w:gridSpan w:val="2"/>
          </w:tcPr>
          <w:p>
            <w:pPr>
              <w:jc w:val="right"/>
              <w:ind w:right="18"/>
              <w:spacing w:after="0"/>
              <w:rPr>
                <w:sz w:val="20"/>
                <w:szCs w:val="20"/>
                <w:color w:val="auto"/>
              </w:rPr>
            </w:pPr>
            <w:r>
              <w:rPr>
                <w:rFonts w:ascii="Times New Roman" w:cs="Times New Roman" w:eastAsia="Times New Roman" w:hAnsi="Times New Roman"/>
                <w:sz w:val="13"/>
                <w:szCs w:val="13"/>
                <w:color w:val="auto"/>
              </w:rPr>
              <w:t>—</w:t>
            </w:r>
          </w:p>
        </w:tc>
      </w:tr>
      <w:tr>
        <w:trPr>
          <w:trHeight w:val="157"/>
        </w:trPr>
        <w:tc>
          <w:tcPr>
            <w:tcW w:w="28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(38,689</w:t>
            </w:r>
          </w:p>
        </w:tc>
        <w:tc>
          <w:tcPr>
            <w:tcW w:w="24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(52,354</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158"/>
        </w:trPr>
        <w:tc>
          <w:tcPr>
            <w:tcW w:w="2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31,211</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(7,274</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80"/>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32,057</w:t>
            </w:r>
          </w:p>
        </w:tc>
        <w:tc>
          <w:tcPr>
            <w:tcW w:w="2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29,492</w:t>
            </w:r>
          </w:p>
        </w:tc>
        <w:tc>
          <w:tcPr>
            <w:tcW w:w="40" w:type="dxa"/>
            <w:vAlign w:val="bottom"/>
          </w:tcPr>
          <w:p>
            <w:pPr>
              <w:spacing w:after="0"/>
              <w:rPr>
                <w:sz w:val="24"/>
                <w:szCs w:val="24"/>
                <w:color w:val="auto"/>
              </w:rPr>
            </w:pPr>
          </w:p>
        </w:tc>
      </w:tr>
      <w:tr>
        <w:trPr>
          <w:trHeight w:val="250"/>
        </w:trPr>
        <w:tc>
          <w:tcPr>
            <w:tcW w:w="28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63,268</w:t>
            </w:r>
          </w:p>
        </w:tc>
        <w:tc>
          <w:tcPr>
            <w:tcW w:w="240" w:type="dxa"/>
            <w:vAlign w:val="bottom"/>
          </w:tcPr>
          <w:p>
            <w:pPr>
              <w:spacing w:after="0"/>
              <w:rPr>
                <w:sz w:val="21"/>
                <w:szCs w:val="21"/>
                <w:color w:val="auto"/>
              </w:rPr>
            </w:pPr>
          </w:p>
        </w:tc>
        <w:tc>
          <w:tcPr>
            <w:tcW w:w="22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22,218</w:t>
            </w:r>
          </w:p>
        </w:tc>
        <w:tc>
          <w:tcPr>
            <w:tcW w:w="40" w:type="dxa"/>
            <w:vAlign w:val="bottom"/>
          </w:tcPr>
          <w:p>
            <w:pPr>
              <w:spacing w:after="0"/>
              <w:rPr>
                <w:sz w:val="21"/>
                <w:szCs w:val="21"/>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-2648585</wp:posOffset>
            </wp:positionH>
            <wp:positionV relativeFrom="paragraph">
              <wp:posOffset>-5228590</wp:posOffset>
            </wp:positionV>
            <wp:extent cx="7132320" cy="10287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-5022850</wp:posOffset>
            </wp:positionV>
            <wp:extent cx="7132320" cy="18859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-4731385</wp:posOffset>
            </wp:positionV>
            <wp:extent cx="7132320" cy="10287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-4525645</wp:posOffset>
            </wp:positionV>
            <wp:extent cx="7132320" cy="10287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-4319905</wp:posOffset>
            </wp:positionV>
            <wp:extent cx="7132320" cy="10287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-4114165</wp:posOffset>
            </wp:positionV>
            <wp:extent cx="7132320" cy="10287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-3908425</wp:posOffset>
            </wp:positionV>
            <wp:extent cx="7132320" cy="10287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-3702685</wp:posOffset>
            </wp:positionV>
            <wp:extent cx="7132320" cy="10287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-3496945</wp:posOffset>
            </wp:positionV>
            <wp:extent cx="7132320" cy="10287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-3291205</wp:posOffset>
            </wp:positionV>
            <wp:extent cx="7132320" cy="10287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-3085465</wp:posOffset>
            </wp:positionV>
            <wp:extent cx="7132320" cy="10287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-2879725</wp:posOffset>
            </wp:positionV>
            <wp:extent cx="7132320" cy="10287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-2665095</wp:posOffset>
            </wp:positionV>
            <wp:extent cx="7132320" cy="10287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-2459355</wp:posOffset>
            </wp:positionV>
            <wp:extent cx="7132320" cy="10287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-2253615</wp:posOffset>
            </wp:positionV>
            <wp:extent cx="7132320" cy="10287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-2047875</wp:posOffset>
            </wp:positionV>
            <wp:extent cx="7132320" cy="10287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-1628140</wp:posOffset>
            </wp:positionV>
            <wp:extent cx="7132320" cy="10287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-1422400</wp:posOffset>
            </wp:positionV>
            <wp:extent cx="7132320" cy="10287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-1216660</wp:posOffset>
            </wp:positionV>
            <wp:extent cx="7132320" cy="10287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-1010920</wp:posOffset>
            </wp:positionV>
            <wp:extent cx="7132320" cy="10287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-805180</wp:posOffset>
            </wp:positionV>
            <wp:extent cx="7132320" cy="10287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-1842770</wp:posOffset>
            </wp:positionV>
            <wp:extent cx="7132320" cy="1117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-591185</wp:posOffset>
            </wp:positionV>
            <wp:extent cx="7132320" cy="1117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-376555</wp:posOffset>
            </wp:positionV>
            <wp:extent cx="7132320" cy="18859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3900" w:space="280"/>
            <w:col w:w="7000"/>
          </w:cols>
          <w:pgMar w:left="320" w:top="1089" w:right="39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The Notes to Consolidated Financial Statements are an integral part of these statements.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9" w:right="399"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in thousands)</w:t>
      </w:r>
    </w:p>
    <w:p>
      <w:pPr>
        <w:spacing w:after="0" w:line="218" w:lineRule="exact"/>
        <w:rPr>
          <w:sz w:val="20"/>
          <w:szCs w:val="20"/>
          <w:color w:val="auto"/>
        </w:rPr>
      </w:pPr>
    </w:p>
    <w:p>
      <w:pPr>
        <w:ind w:left="9360"/>
        <w:spacing w:after="0"/>
        <w:rPr>
          <w:sz w:val="20"/>
          <w:szCs w:val="20"/>
          <w:color w:val="auto"/>
        </w:rPr>
      </w:pPr>
      <w:r>
        <w:rPr>
          <w:rFonts w:ascii="Times New Roman" w:cs="Times New Roman" w:eastAsia="Times New Roman" w:hAnsi="Times New Roman"/>
          <w:sz w:val="13"/>
          <w:szCs w:val="13"/>
          <w:b w:val="1"/>
          <w:bCs w:val="1"/>
          <w:color w:val="auto"/>
        </w:rPr>
        <w:t>For the Nine Months</w:t>
      </w:r>
    </w:p>
    <w:p>
      <w:pPr>
        <w:spacing w:after="0" w:line="2" w:lineRule="exact"/>
        <w:rPr>
          <w:sz w:val="20"/>
          <w:szCs w:val="20"/>
          <w:color w:val="auto"/>
        </w:rPr>
      </w:pPr>
    </w:p>
    <w:p>
      <w:pPr>
        <w:ind w:left="9360"/>
        <w:spacing w:after="0"/>
        <w:rPr>
          <w:sz w:val="20"/>
          <w:szCs w:val="20"/>
          <w:color w:val="auto"/>
        </w:rPr>
      </w:pPr>
      <w:r>
        <w:rPr>
          <w:rFonts w:ascii="Times New Roman" w:cs="Times New Roman" w:eastAsia="Times New Roman" w:hAnsi="Times New Roman"/>
          <w:sz w:val="13"/>
          <w:szCs w:val="13"/>
          <w:b w:val="1"/>
          <w:bCs w:val="1"/>
          <w:color w:val="auto"/>
        </w:rPr>
        <w:t>Ended September 30,</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720" w:type="dxa"/>
            <w:vAlign w:val="bottom"/>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40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5"/>
                <w:szCs w:val="15"/>
                <w:color w:val="auto"/>
              </w:rPr>
            </w:pPr>
          </w:p>
        </w:tc>
      </w:tr>
      <w:tr>
        <w:trPr>
          <w:trHeight w:val="156"/>
        </w:trPr>
        <w:tc>
          <w:tcPr>
            <w:tcW w:w="8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 OF CASH FLOW INFORMATION</w:t>
            </w:r>
          </w:p>
        </w:tc>
        <w:tc>
          <w:tcPr>
            <w:tcW w:w="76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87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Cash paid for interest</w:t>
            </w:r>
          </w:p>
        </w:tc>
        <w:tc>
          <w:tcPr>
            <w:tcW w:w="760" w:type="dxa"/>
            <w:vAlign w:val="bottom"/>
          </w:tcPr>
          <w:p>
            <w:pPr>
              <w:jc w:val="right"/>
              <w:ind w:right="617"/>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15,231</w:t>
            </w:r>
          </w:p>
        </w:tc>
        <w:tc>
          <w:tcPr>
            <w:tcW w:w="460" w:type="dxa"/>
            <w:vAlign w:val="bottom"/>
            <w:gridSpan w:val="3"/>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15,051</w:t>
            </w:r>
          </w:p>
        </w:tc>
        <w:tc>
          <w:tcPr>
            <w:tcW w:w="100" w:type="dxa"/>
            <w:vAlign w:val="bottom"/>
          </w:tcPr>
          <w:p>
            <w:pPr>
              <w:spacing w:after="0"/>
              <w:rPr>
                <w:sz w:val="14"/>
                <w:szCs w:val="14"/>
                <w:color w:val="auto"/>
              </w:rPr>
            </w:pPr>
          </w:p>
        </w:tc>
      </w:tr>
      <w:tr>
        <w:trPr>
          <w:trHeight w:val="20"/>
        </w:trPr>
        <w:tc>
          <w:tcPr>
            <w:tcW w:w="87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8720" w:type="dxa"/>
            <w:vAlign w:val="bottom"/>
            <w:shd w:val="clear" w:color="auto" w:fill="CFF0FC"/>
          </w:tcPr>
          <w:p>
            <w:pPr>
              <w:ind w:left="180"/>
              <w:spacing w:after="0" w:line="143" w:lineRule="exact"/>
              <w:rPr>
                <w:sz w:val="20"/>
                <w:szCs w:val="20"/>
                <w:color w:val="auto"/>
              </w:rPr>
            </w:pPr>
            <w:r>
              <w:rPr>
                <w:rFonts w:ascii="Times New Roman" w:cs="Times New Roman" w:eastAsia="Times New Roman" w:hAnsi="Times New Roman"/>
                <w:sz w:val="13"/>
                <w:szCs w:val="13"/>
                <w:color w:val="auto"/>
              </w:rPr>
              <w:t>Net cash paid for income taxes</w:t>
            </w:r>
          </w:p>
        </w:tc>
        <w:tc>
          <w:tcPr>
            <w:tcW w:w="760" w:type="dxa"/>
            <w:vAlign w:val="bottom"/>
            <w:shd w:val="clear" w:color="auto" w:fill="CFF0FC"/>
          </w:tcPr>
          <w:p>
            <w:pPr>
              <w:jc w:val="right"/>
              <w:ind w:right="617"/>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1,437</w:t>
            </w:r>
          </w:p>
        </w:tc>
        <w:tc>
          <w:tcPr>
            <w:tcW w:w="460" w:type="dxa"/>
            <w:vAlign w:val="bottom"/>
            <w:gridSpan w:val="3"/>
            <w:shd w:val="clear" w:color="auto" w:fill="CFF0FC"/>
          </w:tcPr>
          <w:p>
            <w:pPr>
              <w:jc w:val="right"/>
              <w:ind w:right="77"/>
              <w:spacing w:after="0" w:line="143"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1,332</w:t>
            </w:r>
          </w:p>
        </w:tc>
        <w:tc>
          <w:tcPr>
            <w:tcW w:w="100" w:type="dxa"/>
            <w:vAlign w:val="bottom"/>
            <w:shd w:val="clear" w:color="auto" w:fill="CFF0FC"/>
          </w:tcPr>
          <w:p>
            <w:pPr>
              <w:spacing w:after="0"/>
              <w:rPr>
                <w:sz w:val="15"/>
                <w:szCs w:val="15"/>
                <w:color w:val="auto"/>
              </w:rPr>
            </w:pPr>
          </w:p>
        </w:tc>
      </w:tr>
      <w:tr>
        <w:trPr>
          <w:trHeight w:val="143"/>
        </w:trPr>
        <w:tc>
          <w:tcPr>
            <w:tcW w:w="8720" w:type="dxa"/>
            <w:vAlign w:val="bottom"/>
            <w:tcBorders>
              <w:top w:val="single" w:sz="8" w:color="CFF0FC"/>
            </w:tcBorders>
          </w:tcPr>
          <w:p>
            <w:pPr>
              <w:ind w:left="20"/>
              <w:spacing w:after="0" w:line="143" w:lineRule="exact"/>
              <w:rPr>
                <w:sz w:val="20"/>
                <w:szCs w:val="20"/>
                <w:color w:val="auto"/>
              </w:rPr>
            </w:pPr>
            <w:r>
              <w:rPr>
                <w:rFonts w:ascii="Times New Roman" w:cs="Times New Roman" w:eastAsia="Times New Roman" w:hAnsi="Times New Roman"/>
                <w:sz w:val="13"/>
                <w:szCs w:val="13"/>
                <w:b w:val="1"/>
                <w:bCs w:val="1"/>
                <w:color w:val="auto"/>
              </w:rPr>
              <w:t>NON-CASH INVESTING AND FINANCING ACTIVITIES</w:t>
            </w:r>
          </w:p>
        </w:tc>
        <w:tc>
          <w:tcPr>
            <w:tcW w:w="7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r>
      <w:tr>
        <w:trPr>
          <w:trHeight w:val="162"/>
        </w:trPr>
        <w:tc>
          <w:tcPr>
            <w:tcW w:w="87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Additions to right-of-use assets</w:t>
            </w:r>
          </w:p>
        </w:tc>
        <w:tc>
          <w:tcPr>
            <w:tcW w:w="760" w:type="dxa"/>
            <w:vAlign w:val="bottom"/>
            <w:shd w:val="clear" w:color="auto" w:fill="CFF0FC"/>
          </w:tcPr>
          <w:p>
            <w:pPr>
              <w:jc w:val="right"/>
              <w:ind w:right="617"/>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3,968</w:t>
            </w:r>
          </w:p>
        </w:tc>
        <w:tc>
          <w:tcPr>
            <w:tcW w:w="460" w:type="dxa"/>
            <w:vAlign w:val="bottom"/>
            <w:gridSpan w:val="3"/>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3,538</w:t>
            </w:r>
          </w:p>
        </w:tc>
        <w:tc>
          <w:tcPr>
            <w:tcW w:w="100" w:type="dxa"/>
            <w:vAlign w:val="bottom"/>
            <w:shd w:val="clear" w:color="auto" w:fill="CFF0FC"/>
          </w:tcPr>
          <w:p>
            <w:pPr>
              <w:spacing w:after="0"/>
              <w:rPr>
                <w:sz w:val="14"/>
                <w:szCs w:val="14"/>
                <w:color w:val="auto"/>
              </w:rPr>
            </w:pPr>
          </w:p>
        </w:tc>
      </w:tr>
      <w:tr>
        <w:trPr>
          <w:trHeight w:val="162"/>
        </w:trPr>
        <w:tc>
          <w:tcPr>
            <w:tcW w:w="87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Additions to lease liabilities</w:t>
            </w:r>
          </w:p>
        </w:tc>
        <w:tc>
          <w:tcPr>
            <w:tcW w:w="7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3,968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3,538</w:t>
            </w:r>
          </w:p>
        </w:tc>
        <w:tc>
          <w:tcPr>
            <w:tcW w:w="100" w:type="dxa"/>
            <w:vAlign w:val="bottom"/>
          </w:tcPr>
          <w:p>
            <w:pPr>
              <w:spacing w:after="0"/>
              <w:rPr>
                <w:sz w:val="14"/>
                <w:szCs w:val="14"/>
                <w:color w:val="auto"/>
              </w:rPr>
            </w:pPr>
          </w:p>
        </w:tc>
      </w:tr>
      <w:tr>
        <w:trPr>
          <w:trHeight w:val="202"/>
        </w:trPr>
        <w:tc>
          <w:tcPr>
            <w:tcW w:w="87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Dividends declared</w:t>
            </w:r>
          </w:p>
        </w:tc>
        <w:tc>
          <w:tcPr>
            <w:tcW w:w="760" w:type="dxa"/>
            <w:vAlign w:val="bottom"/>
            <w:shd w:val="clear" w:color="auto" w:fill="CFF0FC"/>
          </w:tcPr>
          <w:p>
            <w:pPr>
              <w:spacing w:after="0"/>
              <w:rPr>
                <w:sz w:val="17"/>
                <w:szCs w:val="17"/>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271"/>
        </w:trPr>
        <w:tc>
          <w:tcPr>
            <w:tcW w:w="8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RECONCILIATION OF CASH, CASH EQUIVALENTS AND</w:t>
            </w:r>
          </w:p>
        </w:tc>
        <w:tc>
          <w:tcPr>
            <w:tcW w:w="760" w:type="dxa"/>
            <w:vAlign w:val="bottom"/>
            <w:tcBorders>
              <w:top w:val="single" w:sz="8" w:color="auto"/>
            </w:tcBorders>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140" w:type="dxa"/>
            <w:vAlign w:val="bottom"/>
            <w:tcBorders>
              <w:top w:val="single" w:sz="8" w:color="CFF0FC"/>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100" w:type="dxa"/>
            <w:vAlign w:val="bottom"/>
            <w:tcBorders>
              <w:top w:val="single" w:sz="8" w:color="CFF0FC"/>
            </w:tcBorders>
          </w:tcPr>
          <w:p>
            <w:pPr>
              <w:spacing w:after="0"/>
              <w:rPr>
                <w:sz w:val="23"/>
                <w:szCs w:val="23"/>
                <w:color w:val="auto"/>
              </w:rPr>
            </w:pPr>
          </w:p>
        </w:tc>
      </w:tr>
      <w:tr>
        <w:trPr>
          <w:trHeight w:val="167"/>
        </w:trPr>
        <w:tc>
          <w:tcPr>
            <w:tcW w:w="872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RESTRICTED CASH</w:t>
            </w: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3"/>
        </w:trPr>
        <w:tc>
          <w:tcPr>
            <w:tcW w:w="87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760" w:type="dxa"/>
            <w:vAlign w:val="bottom"/>
            <w:shd w:val="clear" w:color="auto" w:fill="CFF0FC"/>
          </w:tcPr>
          <w:p>
            <w:pPr>
              <w:jc w:val="right"/>
              <w:ind w:right="617"/>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61,451</w:t>
            </w:r>
          </w:p>
        </w:tc>
        <w:tc>
          <w:tcPr>
            <w:tcW w:w="460" w:type="dxa"/>
            <w:vAlign w:val="bottom"/>
            <w:gridSpan w:val="3"/>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20,041</w:t>
            </w:r>
          </w:p>
        </w:tc>
        <w:tc>
          <w:tcPr>
            <w:tcW w:w="100" w:type="dxa"/>
            <w:vAlign w:val="bottom"/>
            <w:shd w:val="clear" w:color="auto" w:fill="CFF0FC"/>
          </w:tcPr>
          <w:p>
            <w:pPr>
              <w:spacing w:after="0"/>
              <w:rPr>
                <w:sz w:val="14"/>
                <w:szCs w:val="14"/>
                <w:color w:val="auto"/>
              </w:rPr>
            </w:pPr>
          </w:p>
        </w:tc>
      </w:tr>
      <w:tr>
        <w:trPr>
          <w:trHeight w:val="162"/>
        </w:trPr>
        <w:tc>
          <w:tcPr>
            <w:tcW w:w="87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Restricted cash</w:t>
            </w:r>
          </w:p>
        </w:tc>
        <w:tc>
          <w:tcPr>
            <w:tcW w:w="7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1,817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2,177</w:t>
            </w:r>
          </w:p>
        </w:tc>
        <w:tc>
          <w:tcPr>
            <w:tcW w:w="100" w:type="dxa"/>
            <w:vAlign w:val="bottom"/>
          </w:tcPr>
          <w:p>
            <w:pPr>
              <w:spacing w:after="0"/>
              <w:rPr>
                <w:sz w:val="14"/>
                <w:szCs w:val="14"/>
                <w:color w:val="auto"/>
              </w:rPr>
            </w:pPr>
          </w:p>
        </w:tc>
      </w:tr>
      <w:tr>
        <w:trPr>
          <w:trHeight w:val="196"/>
        </w:trPr>
        <w:tc>
          <w:tcPr>
            <w:tcW w:w="872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Total cash, cash equivalents and restricted cash</w:t>
            </w:r>
          </w:p>
        </w:tc>
        <w:tc>
          <w:tcPr>
            <w:tcW w:w="760" w:type="dxa"/>
            <w:vAlign w:val="bottom"/>
            <w:tcBorders>
              <w:bottom w:val="single" w:sz="8" w:color="auto"/>
            </w:tcBorders>
            <w:shd w:val="clear" w:color="auto" w:fill="CFF0FC"/>
          </w:tcPr>
          <w:p>
            <w:pPr>
              <w:jc w:val="right"/>
              <w:ind w:right="617"/>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63,268</w:t>
            </w:r>
          </w:p>
        </w:tc>
        <w:tc>
          <w:tcPr>
            <w:tcW w:w="240" w:type="dxa"/>
            <w:vAlign w:val="bottom"/>
            <w:tcBorders>
              <w:bottom w:val="single" w:sz="8" w:color="CFF0FC"/>
            </w:tcBorders>
            <w:gridSpan w:val="2"/>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22,218</w:t>
            </w:r>
          </w:p>
        </w:tc>
        <w:tc>
          <w:tcPr>
            <w:tcW w:w="10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6280150</wp:posOffset>
            </wp:positionH>
            <wp:positionV relativeFrom="paragraph">
              <wp:posOffset>-1096645</wp:posOffset>
            </wp:positionV>
            <wp:extent cx="7747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-1079500</wp:posOffset>
            </wp:positionV>
            <wp:extent cx="7747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-1096645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-659130</wp:posOffset>
            </wp:positionV>
            <wp:extent cx="7747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-642620</wp:posOffset>
            </wp:positionV>
            <wp:extent cx="7747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-659130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-642620</wp:posOffset>
            </wp:positionV>
            <wp:extent cx="685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-24765</wp:posOffset>
            </wp:positionV>
            <wp:extent cx="7747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-7620</wp:posOffset>
            </wp:positionV>
            <wp:extent cx="7747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Notes to Consolidated Financial Statements are an integral part of these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121"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On October 20, 2021, P10 Holdings, Inc. ("P10 Holdings"), in connection with its Initial Public Offering ("IPO"), completed a reorganization and restructure. In connection with the reorganization, P10, Inc. ("P10") became the parent company and all of the existing equity of P10 Holdings, and its consolidated subsidiaries. The offering and reorganization included a reverse stock split of P10 Holdings common stock on a 0.7-for-1 basis pursuant to which every outstanding share of common stock decreased to 0.7 shares.</w:t>
      </w:r>
    </w:p>
    <w:p>
      <w:pPr>
        <w:spacing w:after="0" w:line="180"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Following the reorganization and IPO, P10 has two classes of common stock, Class A common stock and Class B common stock. Each share of Class B common stock is entitled to ten votes while each share of Class A common stock is entitled to one vote.</w:t>
      </w:r>
    </w:p>
    <w:p>
      <w:pPr>
        <w:spacing w:after="0" w:line="16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P10, Inc. and its consolidated subsidiaries (the “Company”) operate as a multi-asset class private market solutions provider in the alternative asset management industry. Our mission is to provide our investors differentiated access to a broad set of solutions and investment vehicles across a multitude of asset classes and geographies. Our existing portfolio of solutions across private equity, venture capital, private credit and impact investing support our mission by offering a comprehensive set of investment vehicles to our investors, including primary fund of funds, secondary investment, direct investment and co-investments, alongside separate accounts (collectively the “Funds”).</w:t>
      </w:r>
    </w:p>
    <w:p>
      <w:pPr>
        <w:spacing w:after="0" w:line="183"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direct and indirect subsidiaries of the Company include P10 Holdings, P10 Intermediate Holdings, LLC (“P10 Intermediate”), which owns the subsidiaries P10 RCP Holdco, LLC (“Holdco”), Five Points Capital, Inc. (“Five Points”), TrueBridge Capital Partners, LLC (“TrueBridge”), Enhanced Capital Group, LLC (“ECG”), Bonaccord Capital Advisors, LLC ("Bonaccord"), Hark Capital Advisors, LLC ("Hark"), P10 Advisors, LLC ("P10 Advisors"), and Western Technology Investment Advisors LLC ("WTI").</w:t>
      </w:r>
    </w:p>
    <w:p>
      <w:pPr>
        <w:spacing w:after="0" w:line="180"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Prior to November 19, 2016, P10, formerly Active Power, Inc., designed, manufactured, sold, and serviced flywheel-based uninterruptible power supply products and serviced modular infrastructure solutions. On November 19, 2016, we completed the sale of substantially all our assets and liabilities and operations to Langley Holdings plc, a United Kingdom public limited company. Following the sale, we changed our name from Active Power, Inc. to P10 Industries, Inc. and became a non-operating company focused on monetizing our retained intellectual property and acquiring profitable businesses. For the period from December 2016 through September 2017, our business primarily consisted of cash, certain retained intellectual property assets and our net operating losses (“NOLs”) and other tax benefits. On March 22, 2017, we filed for reorganization under Chapter 11 of the Federal Bankruptcy Code, using a prepackaged plan of reorganization. The Company emerged from bankruptcy on May 3, 2017.</w:t>
      </w:r>
    </w:p>
    <w:p>
      <w:pPr>
        <w:spacing w:after="0" w:line="189"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On December 1, 2017, the Company changed its name from P10 Industries, Inc. to P10 Holdings, Inc. We were founded as a Texas corporation in 1992 and reincorporated in Delaware in 2000. Our headquarters are in Dallas, Texas.</w:t>
      </w:r>
    </w:p>
    <w:p>
      <w:pPr>
        <w:spacing w:after="0" w:line="162"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On October 5, 2017, we closed on the acquisition of RCP Advisors 2, LLC ("RCP 2") and entered into a purchase agreement to acquire RCP Advisors 3, LLC ("RCP 3", and collectively with RCP 2, "RCP") in January 2018. On January 3, 2018, we closed on the acquisition of RCP 3. RCP 2 and RCP 3 are registered investment advisors with the United States Securities and Exchange Commission.</w:t>
      </w:r>
    </w:p>
    <w:p>
      <w:pPr>
        <w:spacing w:after="0" w:line="17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 April 1, 2020, the Company completed the acquisition of Five Points. Five Points is a leading lower middle market alternative investment manager focused on providing both equity and debt capital to private, growth-oriented companies and limited partner capital to other private equity funds, with all strategies focused exclusively in the U.S. lower middle market. In 2022, Five Points established the Reynolda brand that specializes in direct equity funds. Five Points is a registered investment advisor with the United States Securities and Exchange Commission.</w:t>
      </w:r>
    </w:p>
    <w:p>
      <w:pPr>
        <w:spacing w:after="0" w:line="180"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On October 2, 2020, the Company completed the acquisition of TrueBridge. TrueBridge is an investment firm focused on investing in venture capital through fund-of-funds, co-investments, and separate accounts. TrueBridge is a registered investment advisor with the United States Securities and Exchange Commission.</w:t>
      </w:r>
    </w:p>
    <w:p>
      <w:pPr>
        <w:spacing w:after="0" w:line="176"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On December 14, 2020, the Company completed the acquisition of 100% of the equity interest in ECG, and a noncontrolling interest in Enhanced Capital Partners, LLC (“ECP”, and collectively with ECG, “Enhanced”). Enhanced</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22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undertakes and manages equity and debt investments in impact initiatives across North America, targeting underserved areas and other socially responsible end markets including renewable energy, historic building renovations, and affordable housing. ECP is a registered investment advisor with the United States Securities and Exchange Commission.</w:t>
      </w:r>
    </w:p>
    <w:p>
      <w:pPr>
        <w:spacing w:after="0" w:line="176"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On September 30, 2021, the Company completed acquisitions of Bonaccord and Hark. Bonaccord is an alternative asset manager focusing on acquiring minority equity interests in alternative asset management companies focused on private market strategies which may include private equity, private credit, real estate, and real asset strategies. Hark is engaged in the business of making loans to portfolio companies that are owned or controlled by financial sponsors, such as private equity funds or venture capital funds, and which do not meet traditional direct lending underwriting criteria but where the repayment of the loan by the portfolio company is guaranteed by its financial sponsor.</w:t>
      </w:r>
    </w:p>
    <w:p>
      <w:pPr>
        <w:spacing w:after="0" w:line="183"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In June 2022, the Company formed P10 Advisors, a wholly-owned consolidated subsidiary, to manage investment opportunities that are sourced across the P10 platform but do not fit within an existing investment mandate.</w:t>
      </w:r>
    </w:p>
    <w:p>
      <w:pPr>
        <w:spacing w:after="0" w:line="162"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On October 13, 2022, the Company completed the acquisition of all of the issued and outstanding membership interests of WTI. WTI provides senior secured financing to early-stage and emerging stage life sciences and technology companies. WTI is a registered investment advisor with the United States Securities and Exchange Commission.</w:t>
      </w:r>
    </w:p>
    <w:p>
      <w:pPr>
        <w:spacing w:after="0" w:line="176"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Simultaneously with the acquisition of WTI, the Company completed a restructuring of P10 Intermediate and subsidiaries to LLC entities that are considered disregarded entities for federal income tax purposes. This allowed the WTI sellers to obtain a partnership interest in P10 Intermediate and all of its subsidiaries. As a result of the acquisition, the WTI sellers obtained 3,916,666 membership units of P10 Intermediate, which can be exchanged into 3,916,666 shares of P10 Class A common stock. As of September 30, 2024, no units have been exchanged into shares of P10 Class A common stock.</w:t>
      </w:r>
    </w:p>
    <w:p>
      <w:pPr>
        <w:spacing w:after="0" w:line="180"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Company reports noncontrolling interests related to the partnership interests which are owned by the WTI sellers. This is recorded as noncontrolling interests on the Consolidated Balance Sheets. Noncontrolling interests is allocated a share of income or loss in the respective consolidated subsidiaries in proportion to their relative ownership interest. Additionally, the Company makes periodic distributions to the WTI sellers for tax related and other agreed upon expenses in accordance with the terms of the P10 Intermediate operating agreement.</w:t>
      </w:r>
    </w:p>
    <w:p>
      <w:pPr>
        <w:spacing w:after="0" w:line="180"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During 2022, the Board approved a program to repurchase up to $40.0 million of outstanding shares of our Class A and Class B common stock. On February 27, 2024, the Board approved an additional $40.0 million to be used towards repurchases. On August 6, 2024, the Board of Directors authorized an additional $12.0 million for repurchases under the Stock Repurchase Program. These shares may be repurchased from time to time in the open market at prevailing market prices, in privately negotiated transactions, in block trades, in accordance with Rule 10b5-1 trading plans and/or through other legally permissible means. As of September 30, 2024, $78.1 million has been spent to buy back shares under this program.</w:t>
      </w:r>
    </w:p>
    <w:p>
      <w:pPr>
        <w:spacing w:after="0" w:line="183"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On October 20, 2023, the Company had a transition of executives ("Executive Transition") and entered into an executive transition agreement with each of Mr. Alpert and Mr. Webb (each, a "Transition Agreement"). Pursuant to the Transition Agreements, Mr. Alpert and Mr. Webb ceased to serve as Co-Chief Executive Officer, and Mr. Alpert and Mr. Webb were appointed as Executive Chairman and Executive Vice Chairman, respectively, for a one-year period. Additionally, Mr. Webb's Transition Agreement provided for a one-year transition period to continue serving the Company in a transitional capacity. Effective October 23, 2023, the board of the Company appointed Luke A. Sarsfield III as Chief Executive Officer ("CEO") of the Company. In connection with his appointment as CEO, the Company entered into an employment agreement with Mr. Sarsfield (the "Employment Agreement") setting forth the terms of his employment and compensation. In connection with both the Transition Agreements and the Employment Agreement, provisions were made for severance and sign-on compensation, respectively. Effective June 14, 2024, Mr. Alpert resigned as Executive Chairman and Chairman of the Board and the board of the Company appointed CEO and President Mr. Sarsfield to Chairman of the Board. In connection with Mr. Alpert's resignation as Executive Chairman, the Company and Mr. Alpert agreed to the early termination of Mr. Alpert's Transition Agreement. The associated expenses were recorded in compensation and benefits on the Consolidated Statements of Operations. Mr. Webb's Transition Agreement terminated in accordance with its terms on October 23, 2024. See Note 15 for further information.</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 w:name="page12"/>
    <w:bookmarkEnd w:id="1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accompanying Consolidated Financial Statements are prepared in accordance with accounting principles generally accepted in the United States of America (“U.S. GAAP”). Management believes it has made all necessary adjustments so that the Consolidated Financial Statements are presented fairly and that estimates made in preparing the Consolidated Financial Statements are reasonable and prudent. The Consolidated Financial Statements include the accounts of the Company, its wholly owned or majority-owned subsidiaries and entities in which the Company is deemed to have a direct or indirect controlling financial interest based on either a variable interest model or voting interest model. All intercompany transactions and balances have been eliminated upon consolidation. The results for the three and nine months ended September 30, 2024 are not necessarily indicative of the results to be expected for the full year ended December 31, 2024.</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2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Company performs the variable interest analysis for all entities in which it has a potential variable interest. If the Company has a variable interest in the entity and the entity is a variable interest entity (“VIE”), we will also analyze whether the Company is the primary beneficiary of this entity and if consolidation is required.</w:t>
      </w:r>
    </w:p>
    <w:p>
      <w:pPr>
        <w:spacing w:after="0" w:line="176"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Generally, VIEs are entities that lack sufficient equity to finance their activities without additional financial support from other parties, or whose equity holders, as a group, lack one or more of the following characteristics: (a) direct or indirect ability to make decisions, (b) obligation to absorb expected losses or (c) right to receive expected residual returns. A VIE must be evaluated quantitatively and qualitatively to determine the primary beneficiary, which is the reporting entity that has (a) the power to direct activities of a VIE that most significantly impact the VIE's economic performance and (b) the obligation to absorb losses of the VIE that could potentially be significant to the VIE or the right to receive benefits from the VIE that could potentially be significant to the VIE. The primary beneficiary is required to consolidate the VIE for financial reporting purposes.</w:t>
      </w:r>
    </w:p>
    <w:p>
      <w:pPr>
        <w:spacing w:after="0" w:line="187"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To determine a VIE's primary beneficiary, we perform a qualitative assessment to determine which party, if any, has the power to direct activities of the VIE and the obligation to absorb losses and/or receive its benefits. This assessment involves identifying the activities that most significantly impact the VIE's economic performance and determining whether we, or another party, has the power to direct those activities. When evaluating whether we are the primary beneficiary of a VIE, we perform a qualitative analysis that considers the design of the VIE, the nature of our involvement and the variable interests held by other parties. See Note 6 for further information.</w:t>
      </w:r>
    </w:p>
    <w:p>
      <w:pPr>
        <w:spacing w:after="0" w:line="183"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Primarily due to the governance structure at subsidiaries, the Company has determined that certain of its subsidiaries are VIEs, and that the Company is the primary beneficiary of the entities, because it has the power to direct activities of the entities that most significantly impact the VIE’s economic performance and has a controlling financial interest in each entity. Accordingly, the Company consolidates these entities, which includes P10 Intermediate, Holdco, RCP 2, RCP 3, TrueBridge, Bonaccord, Hark, and WTI. The assets and liabilities of the consolidated VIEs are presented on a gross basis in the Consolidated Balance Sheets. See Note 6 for more information on both consolidated and unconsolidated VIEs.</w:t>
      </w:r>
    </w:p>
    <w:p>
      <w:pPr>
        <w:spacing w:after="0" w:line="183"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Entities that do not qualify as VIEs are assessed for consolidation under the voting interest model. Under the voting interest model, the Company consolidates those entities it controls through a majority voting interest or other means. P10 Holdings, Five Points, P10 Advisors, and ECG are concluded to be consolidated subsidiaries of P10 under the voting interest model.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Certain reclassifications have been made within the Consolidated Financial Statements to conform prior periods with current period presentations.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U.S. GAAP requires management to make estimates and assumptions that affect the reported amounts of assets and liabilities, disclosure of contingent assets and</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31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liabilities at the dates of the Consolidated Financial Statements and the reported amounts of revenues and expenses during the reporting periods. Actual results could differ from those estimates.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considers all highly liquid instruments with original maturities of three months or less to be cash equivalents. As of September 30, 2024, and December 31, 2023, cash equivalents include money market funds of $38.0 million and $11.1 million, respectively, which approximates fair value. The Company maintains its cash balances at various financial institutions among multiple accounts, which may periodically exceed the Federal Deposit Insurance Corporation (“FDIC”) insured limits. The Company's credit risk in the event of failure of these financial institutions is represented by the difference between the FDIC limit and the total amounts on deposit. Management monitors the financial institutions' credit worthiness in conjunction with balances on deposit to minimize risk. The Company from time to time may have amounts on deposit in excess of the insured limits.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121"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Restricted cash as of September 30, 2024 and December 31, 2023 was primarily cash on deposit related to RCP's lease and cash on deposit from third parties related to pending tax credit projects. There are deposit liabilities associated with restricted cash related to the pending tax credit projects reported in other liabilities on the Consolidated Balance Sheets.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and Due from Related Parties</w:t>
      </w:r>
    </w:p>
    <w:p>
      <w:pPr>
        <w:spacing w:after="0" w:line="121" w:lineRule="exact"/>
        <w:rPr>
          <w:sz w:val="20"/>
          <w:szCs w:val="20"/>
          <w:color w:val="auto"/>
        </w:rPr>
      </w:pPr>
    </w:p>
    <w:p>
      <w:pPr>
        <w:jc w:val="both"/>
        <w:ind w:right="380" w:firstLine="509"/>
        <w:spacing w:after="0" w:line="266" w:lineRule="auto"/>
        <w:rPr>
          <w:sz w:val="20"/>
          <w:szCs w:val="20"/>
          <w:color w:val="auto"/>
        </w:rPr>
      </w:pPr>
      <w:r>
        <w:rPr>
          <w:rFonts w:ascii="Times New Roman" w:cs="Times New Roman" w:eastAsia="Times New Roman" w:hAnsi="Times New Roman"/>
          <w:sz w:val="18"/>
          <w:szCs w:val="18"/>
          <w:color w:val="auto"/>
        </w:rPr>
        <w:t>Accounts receivable is equal to contractual amounts reduced for allowances, if applicable. Management fees are collected on a quarterly basis. Certain subsidiaries management fee contracts are collected at the beginning of the quarter, while others are collected in arrears. The management fees reflected in accounts receivable at period end are those that are collected in arrears.</w:t>
      </w:r>
    </w:p>
    <w:p>
      <w:pPr>
        <w:spacing w:after="0" w:line="176"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Due from related parties represents receivables from the Funds for reimbursable expenses, and management fees collected by a related party of RCP 2 that are owed to RCP 2. Additionally, fees owed to the Company for the advisory agreement entered into upon the closing of the acquisitions of ECG and ECP and any supplemental agreements entered into after acquisition, ("Advisory Agreements") where ECG provides advisory services to Enhanced Permanent Capital, LLC ("Enhanced PC") are reflected in due from related parties on the Consolidated Balance Sheets.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Receivable</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Notes receivable is related to contractual amounts owed from signed, secured promissory notes with BCP Partners Holdings, LP ("BCP") as well as certain employees. In addition to contractual amounts, borrowers are obligated to pay interest on outstanding amounts. Refer to Note 5 for further information.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Expected Credit Losses</w:t>
      </w:r>
    </w:p>
    <w:p>
      <w:pPr>
        <w:spacing w:after="0" w:line="121"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The Company evaluates accounts receivable, due from related parties, and notes receivable using the current expected credit loss model. The Company determines a current estimate of all expected credit losses over the life of each financial instrument, which may result in recognition of credit losses on loans and receivables before an actual event of default. The Company establishes reserves for any estimated credit losses with a corresponding charge in the Consolidated Statements of Operations.</w:t>
      </w:r>
    </w:p>
    <w:p>
      <w:pPr>
        <w:spacing w:after="0" w:line="180"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The Company estimates that accounts receivable, due from related parties and notes receivable are fully collectible; based on historical events, current conditions, and reasonable and supportable forecasts; accordingly, no allowances have been established as of September 30, 2024 and December 31, 2023. If accounts are subsequently determined to be uncollectible they will be expensed in the period that determination is made.</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Prepaid Expenses and Other Assets</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Prepaid expenses and other assets consist primarily of prepaid expenses related to technology, insurance, and professional fees. From time to time, there are also investments in allocable state tax credits on the Consolidated Balance Sheets due to timing differences associated with the purchase and sale of state tax credits in the tax credit finance business. As of September 30, 2024 and December 31, 2023, respectively, there is $0 and $9.6 million within prepaid expenses and other assets on the Consolidated Balance Sheets associated with allocable state tax credits purchases.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 Unconsolidated Subsidiaries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For equity investments in entities that we do not control, but over which we exercise significant influence, we use the equity method of accounting. The equity method investments are initially recorded at cost, and their carrying amount is adjusted for the Company’s share in the earnings or losses of each investee, and for distributions received. The Company discontinues applying the equity method if the investment (and net advances) is reduced to zero and shall not record additional losses unless the Company has guaranteed obligations of the investee or is otherwise committed to provide further financial support for the investee. The Company evaluates its equity method investments for impairment whenever events or changes in circumstances indicate that the carrying amounts of such investments may not be recoverable. The Company accounts for its investment in ECP, Enhanced PC, and the ECG's asset management businesses using the equity method of accounting.</w:t>
      </w:r>
    </w:p>
    <w:p>
      <w:pPr>
        <w:spacing w:after="0" w:line="189"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 xml:space="preserve">For certain entities in which the Company does not have significant influence and fair value is not readily determinable, these investments are not accounted for on the equity method, but instead as equity securities and we value these investments under the measurement alternative. Financial Accounting Standards Board (“FASB”) Accounting Standards Codification (“ASC”)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requires equity securities to be recorded at cost and adjusted to fair value at each reporting period. However, the guidance allows for a measurement alternative, which is to record the investments at cost, less impairment, if any, and subsequently adjust for observable price changes of identical or similar investments of the same issuer. All other investments in unconsolidated subsidiaries are accounted for under the measurement alternative.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21" w:lineRule="exact"/>
        <w:rPr>
          <w:sz w:val="20"/>
          <w:szCs w:val="20"/>
          <w:color w:val="auto"/>
        </w:rPr>
      </w:pPr>
    </w:p>
    <w:p>
      <w:pPr>
        <w:ind w:right="340" w:firstLine="509"/>
        <w:spacing w:after="0" w:line="258" w:lineRule="auto"/>
        <w:rPr>
          <w:sz w:val="20"/>
          <w:szCs w:val="20"/>
          <w:color w:val="auto"/>
        </w:rPr>
      </w:pPr>
      <w:r>
        <w:rPr>
          <w:rFonts w:ascii="Times New Roman" w:cs="Times New Roman" w:eastAsia="Times New Roman" w:hAnsi="Times New Roman"/>
          <w:sz w:val="18"/>
          <w:szCs w:val="18"/>
          <w:color w:val="auto"/>
        </w:rPr>
        <w:t>Property and equipment are recorded at cost, less accumulated depreciation. Depreciation is computed using the straight-line method over the estimated useful lives of the related assets. Leasehold improvements are amortized over the terms of the respective leases or service lives of the improvements, whichever is shorter, using the straight-line method. Expenditures for major renewals and betterments that extend the useful lives of the property and equipment are capitalized. Expenditures for maintenance and repairs are charged to expense as incurred. The estimated useful lives of the various assets are as follows:</w:t>
      </w:r>
    </w:p>
    <w:p>
      <w:pPr>
        <w:sectPr>
          <w:pgSz w:w="11900" w:h="16838" w:orient="portrait"/>
          <w:cols w:equalWidth="0" w:num="1">
            <w:col w:w="11220"/>
          </w:cols>
          <w:pgMar w:left="320" w:top="765" w:right="359" w:bottom="1440" w:gutter="0" w:footer="0" w:header="0"/>
        </w:sectPr>
      </w:pPr>
    </w:p>
    <w:p>
      <w:pPr>
        <w:spacing w:after="0" w:line="224" w:lineRule="exact"/>
        <w:rPr>
          <w:sz w:val="20"/>
          <w:szCs w:val="20"/>
          <w:color w:val="auto"/>
        </w:rPr>
      </w:pPr>
    </w:p>
    <w:p>
      <w:pPr>
        <w:jc w:val="center"/>
        <w:ind w:left="920"/>
        <w:spacing w:after="0"/>
        <w:rPr>
          <w:sz w:val="20"/>
          <w:szCs w:val="20"/>
          <w:color w:val="auto"/>
        </w:rPr>
      </w:pPr>
      <w:r>
        <w:rPr>
          <w:rFonts w:ascii="Times New Roman" w:cs="Times New Roman" w:eastAsia="Times New Roman" w:hAnsi="Times New Roman"/>
          <w:sz w:val="18"/>
          <w:szCs w:val="18"/>
          <w:color w:val="auto"/>
        </w:rPr>
        <w:t>Computers and purchased software</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jc w:val="center"/>
        <w:ind w:right="2700"/>
        <w:spacing w:after="0"/>
        <w:rPr>
          <w:sz w:val="20"/>
          <w:szCs w:val="20"/>
          <w:color w:val="auto"/>
        </w:rPr>
      </w:pPr>
      <w:r>
        <w:rPr>
          <w:rFonts w:ascii="Times New Roman" w:cs="Times New Roman" w:eastAsia="Times New Roman" w:hAnsi="Times New Roman"/>
          <w:sz w:val="17"/>
          <w:szCs w:val="17"/>
          <w:color w:val="auto"/>
        </w:rPr>
        <w:t>3 - 5 years</w:t>
      </w:r>
    </w:p>
    <w:p>
      <w:pPr>
        <w:spacing w:after="0" w:line="48" w:lineRule="exact"/>
        <w:rPr>
          <w:sz w:val="20"/>
          <w:szCs w:val="20"/>
          <w:color w:val="auto"/>
        </w:rPr>
      </w:pPr>
    </w:p>
    <w:p>
      <w:pPr>
        <w:sectPr>
          <w:pgSz w:w="11900" w:h="16838" w:orient="portrait"/>
          <w:cols w:equalWidth="0" w:num="2">
            <w:col w:w="7060" w:space="720"/>
            <w:col w:w="3440"/>
          </w:cols>
          <w:pgMar w:left="320" w:top="765" w:right="359" w:bottom="1440" w:gutter="0" w:footer="0" w:header="0"/>
          <w:type w:val="continuous"/>
        </w:sectPr>
      </w:pPr>
    </w:p>
    <w:p>
      <w:pPr>
        <w:ind w:left="2720"/>
        <w:spacing w:after="0"/>
        <w:rPr>
          <w:sz w:val="20"/>
          <w:szCs w:val="20"/>
          <w:color w:val="auto"/>
        </w:rPr>
      </w:pPr>
      <w:r>
        <w:rPr>
          <w:rFonts w:ascii="Times New Roman" w:cs="Times New Roman" w:eastAsia="Times New Roman" w:hAnsi="Times New Roman"/>
          <w:sz w:val="18"/>
          <w:szCs w:val="18"/>
          <w:color w:val="auto"/>
        </w:rPr>
        <w:t>Furniture and fixtures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7 - 10 years</w:t>
      </w:r>
    </w:p>
    <w:p>
      <w:pPr>
        <w:spacing w:after="0" w:line="200" w:lineRule="exact"/>
        <w:rPr>
          <w:sz w:val="20"/>
          <w:szCs w:val="20"/>
          <w:color w:val="auto"/>
        </w:rPr>
      </w:pPr>
    </w:p>
    <w:p>
      <w:pPr>
        <w:sectPr>
          <w:pgSz w:w="11900" w:h="16838" w:orient="portrait"/>
          <w:cols w:equalWidth="0" w:num="2">
            <w:col w:w="6960" w:space="720"/>
            <w:col w:w="3540"/>
          </w:cols>
          <w:pgMar w:left="320" w:top="765" w:right="35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Long-lived Assets</w:t>
      </w:r>
    </w:p>
    <w:p>
      <w:pPr>
        <w:spacing w:after="0" w:line="121"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 xml:space="preserve">Long-lived assets including property and equipment, lease right-of-use assets, and definite lived intangibles are evaluated for impairment under FASB ASC 360,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Long-lived assets are reviewed for possible impairment whenever events or changes in circumstances indicate that the carrying amount may not be recoverable. The carrying value of long-lived assets are determined to not be recoverable if the undiscounted estimated future net operating cash flows directly related to the asset or asset group, including any disposal value, is less than the carrying amount of the asset. If the carrying value of an asset is determined to not be recoverable, the impairment loss is measured as the amount by which the carrying value of the asset exceeds its fair value on the measurement date. Fair value is based on the best information available, including prices for similar assets and estimated discounted cash flows.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The Company recognizes a lease liability and right-of-use asset in our Consolidated Balance Sheets for contracts that it determines are leases or contain a lease. The Company’s leases primarily consist of operating leases for various office spaces.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type w:val="continuous"/>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31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Right-of-use assets represent the Company’s right to use an underlying asset for the lease term and lease liabilities represent the Company’s obligation to make lease payments arising from the leases. The Company’s right-of-use assets and lease liabilities are recognized at lease commencement, which is when the Company obtains control of the asset, based on the present value of lease payments over the lease term. Lease right-of-use assets include initial direct costs incurred by the Company and are presented net of deferred rent, lease incentives and certain other existing lease liabilities. Absent an implicit interest rate in the lease, the Company uses its incremental borrowing rate, adjusted for the effects of collateralization, based on the information available at commencement in determining the present value of lease payments. The Company’s lease terms may include options to extend or terminate the lease, and the Company would account for this when it is reasonably certain that the Company will exercise those options. Lease expense is recognized on a straight-line basis over the lease term. Additionally, upon amendments or other events, the Company may be required to remeasure our lease liability and right-of-use asset.</w:t>
      </w:r>
    </w:p>
    <w:p>
      <w:pPr>
        <w:spacing w:after="0" w:line="188"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Company does not recognize a lease liability or right-of-use asset on our Consolidated Balance Sheets for short-term leases. Instead, the Company recognizes short-term lease payments as an expense when incurred. A short-term lease is defined as a lease that, at the commencement date, has a lease term of 12 months or less and does not include an option to purchase the underlying asset that the lessee is reasonably certain to exercise. When determining whether a lease qualifies as a short-term lease, the Company evaluates the lease term and the purchase option in the same manner as all other leases.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Share and Repurchase Arrangement</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Company recognizes an accrued contingent liability and contingent payments to customers asset in our Consolidated Balance Sheets for an agreement between ECG and a third party. The agreement requires ECG to share in certain revenues earned with the third party and also includes an option for the third party to sell back the revenue share to ECG at a set multiple. Additionally, ECG holds the option to buy back 50% of the revenue share at a set multiple. The options to repurchase the revenue share are exercisable starting in July 2025. The Company believes it is probable that the third party will exercise its option to sell back the revenue share and has recognized a liability on the Consolidated Balance Sheets. The Company has also recognized a contingent payment to customers associated with the agreement and will amortize the asset against revenue over the contractual term of the management contract. The amortization is reported in management and advisory fees on the Consolidated Statements of Operations. The Company will reassess the fair value at each reporting period. Refer to Note 13 for further information.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Intangible Assets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Goodwill is initially measured as the excess of the cost of the acquired business over the sum of the amounts assigned to identifiable assets acquired, less the liabilities assumed. As of September 30, 2024, goodwill recorded on our Consolidated Balance Sheets relates to the acquisitions of RCP 2, RCP 3, Five Points, TrueBridge, Enhanced, Bonaccord, Hark, and WTI. As of September 30, 2024, the intangible assets are comprised of indefinite-lived intangible assets and finite-lived intangible assets related to the acquisitions of RCP 2, RCP 3, Five Points, TrueBridge, Enhanced, Bonaccord, Hark, and WTI.</w:t>
      </w:r>
    </w:p>
    <w:p>
      <w:pPr>
        <w:spacing w:after="0" w:line="183"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Indefinite-lived intangible assets and goodwill are not amortized. Finite-lived technology is amortized using the straight-line method over its estimated useful life of 4 years. Finite-lived management and advisory contracts, which relate to acquired separate accounts and funds and investor/customer relationships with a specified termination date, are amortized in line with contractual revenue to be received, which range between 7 and 16 years. Certain of our trade names are considered to have finite-lives. Finite-lived trade names are amortized over 10 years in line with the pattern in which the economic benefits are expected to occur.</w:t>
      </w:r>
    </w:p>
    <w:p>
      <w:pPr>
        <w:spacing w:after="0" w:line="183"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Goodwill and indefinite lived intangibles are reviewed for impairment at least annually as of September 30 utilizing a qualitative or quantitative approach and more frequently if circumstances indicate impairment may have occurred. The impairment testing for goodwill and indefinite lived intangibles under the qualitative approach is based first on a qualitative assessment to determine if it is more likely than not that the fair value of the Company’s reporting unit or asset is less than the respective carrying value. The reporting unit is the reporting level for testing the impairment of goodwill and indefinite lived intangibles. If it is determined that it is more likely than not that an asset's or reporting unit’s fair value is less than its carrying value, then the Company will determine the fair value of the reporting unit or asset and record an impairment charge for the difference between fair value and carrying value (not to exceed the carrying amount of goodwill or indefinite lived intangible).</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Consideration</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Contingent consideration is initially measured at fair value on the date of the acquisition. The liabilities are remeasured at fair value on each reporting date, with changes in the fair value reflected in operating expenses on our Consolidated Statements of Operations. As of September 30, 2024 and December 31, 2023, the contingent consideration on the Consolidated Balance Sheets is related to the acquisition of Bonaccord.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Compensation and Benefits</w:t>
      </w:r>
    </w:p>
    <w:p>
      <w:pPr>
        <w:spacing w:after="0" w:line="121"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Accrued compensation and benefits consists of employee salaries, bonuses, benefits, severance, and acquisition-related earnouts (contingent on employment) that has not yet been paid. The acquisition-related earnout contingent on employment is a result of the acquisition of WTI. The sellers and certain employees of WTI are eligible to earn up to $70.0 million contingent upon meeting certain EBITDA related hurdles and continued employment. Upon the achievement of $20.0 million, $22.5 million, and $25.0 million of EBITDA, $35.0 million, $17.5 million, and $17.5 million are earned, respectively. The earnout period is through December 31, 2027. Refer to Note 13 for further information.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Issuance Costs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Costs incurred which are directly related to the issuance of debt are deferred and amortized using the effective interest method and are presented as a reduction to the carrying value of the associated debt on our Consolidated Balance Sheets. As these costs are amortized, they are included in interest expense, net within our Consolidated Statements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Noncontrolling Interests</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Noncontrolling interests ("NCI") reflect the portion of income or loss and the corresponding equity attributable to third-party equity holders and employees in certain consolidated subsidiaries that are not 100% owned by the Company. Noncontrolling interests is presented as a separate component in our Consolidated Statements of Operations to clearly distinguish between our interests and the economic interest of third parties in those entities. Net income attributable to P10, as reported in the Consolidated Statements of Operations, is presented net of the portion of net income attributable to holders of non-controlling interest. NCI is allocated a share of income or loss in the respective consolidated subsidiaries in proportion to their relative ownership interest.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Treasury Stock</w:t>
      </w:r>
    </w:p>
    <w:p>
      <w:pPr>
        <w:spacing w:after="0" w:line="12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Company records common stock purchased for treasury at cost. At the date of subsequent reissuance, the treasury stock account is reduced by the cost of such stock using the average cost method.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independent and knowledgeable parties who are willing and able to transact for an asset or liability at the measurement date. We use valuation techniques that maximize the use of observable inputs and minimize the use of unobservable inputs when determining fair value and then we rank the estimated values based on the reliability of the inputs used following the fair value hierarchy set forth by the FASB.</w:t>
      </w:r>
    </w:p>
    <w:p>
      <w:pPr>
        <w:spacing w:after="0" w:line="180"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2024 and December 31, 2023, we used the following valuation techniques to measure fair value for assets and there were no changes to these methodologies during the periods presented:</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1—Assets were valued using the closing price reported in the active market in which the individual security was traded.</w:t>
      </w:r>
    </w:p>
    <w:p>
      <w:pPr>
        <w:spacing w:after="0" w:line="117" w:lineRule="exact"/>
        <w:rPr>
          <w:sz w:val="20"/>
          <w:szCs w:val="20"/>
          <w:color w:val="auto"/>
        </w:rPr>
      </w:pPr>
    </w:p>
    <w:p>
      <w:pPr>
        <w:ind w:left="520" w:right="820"/>
        <w:spacing w:after="0" w:line="282" w:lineRule="auto"/>
        <w:rPr>
          <w:sz w:val="20"/>
          <w:szCs w:val="20"/>
          <w:color w:val="auto"/>
        </w:rPr>
      </w:pPr>
      <w:r>
        <w:rPr>
          <w:rFonts w:ascii="Times New Roman" w:cs="Times New Roman" w:eastAsia="Times New Roman" w:hAnsi="Times New Roman"/>
          <w:sz w:val="18"/>
          <w:szCs w:val="18"/>
          <w:color w:val="auto"/>
        </w:rPr>
        <w:t>Level 2—Assets were valued using quoted prices in markets that are not active, broker dealer quotations, and other methods by which all significant inputs were observable at the measurement date.</w:t>
      </w:r>
    </w:p>
    <w:p>
      <w:pPr>
        <w:spacing w:after="0" w:line="54" w:lineRule="exact"/>
        <w:rPr>
          <w:sz w:val="20"/>
          <w:szCs w:val="20"/>
          <w:color w:val="auto"/>
        </w:rPr>
      </w:pPr>
    </w:p>
    <w:p>
      <w:pPr>
        <w:ind w:left="520" w:right="740"/>
        <w:spacing w:after="0" w:line="282" w:lineRule="auto"/>
        <w:rPr>
          <w:sz w:val="20"/>
          <w:szCs w:val="20"/>
          <w:color w:val="auto"/>
        </w:rPr>
      </w:pPr>
      <w:r>
        <w:rPr>
          <w:rFonts w:ascii="Times New Roman" w:cs="Times New Roman" w:eastAsia="Times New Roman" w:hAnsi="Times New Roman"/>
          <w:sz w:val="18"/>
          <w:szCs w:val="18"/>
          <w:color w:val="auto"/>
        </w:rPr>
        <w:t>Level 3—Assets were valued using unobservable inputs in which little or no market data exists as reported by the respective institutions at the measurement date.</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223"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The carrying values of financial instruments comprising cash and cash equivalents, restricted cash, prepaid assets, accounts payable, accounts receivable, and due from related parties receivables excluding the receivables from the Advisory Agreements approximate fair values due to the short-term maturities of these instruments. The Company estimates the fair value of the credit facility using level two inputs. The Company discounts the future cash flows using current interest rates which the Company could obtain similar borrowings. The Company estimates the fair value of the due from related parties associated with the Advisory Agreements based on the current expectation of payments. If the payments are not expected to be made on a short-term basis, the fair value is estimated using level three inputs and a discounted cash flow model. See Note 12 for further details. The Company has a contingent consideration liability related to the acquisition of Bonaccord that is measured at fair value using level three inputs and a discounted cash flow model. As of September 30, 2024, the contingent consideration is considered fully earned and payment is expected to be made in early 2025 so the value is carried at the full balance of unpaid contingent consideration and is no longer subject to fair value measurements. The Company also had a contingent consideration liability related to the acquisition of Hark, that was valued using level three inputs and a discounted cash flows model, which was paid in in full on July 23, 2023. As a result of the settlement of the contingent consideration, no value is recorded as of December 31, 2023 and September 30, 2024. See Note 10 for additional information.</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Revenue is recognized when, or as, the Company transfers promised goods or services to customers in an amount that reflects the consideration to which the Company expects to be entitled to in exchange for those goods or services. While the determination of who the customer is in a contractual arrangement will be made on a contract-by-contract basis, the customer will generally be the investment fund for the Company’s significant management and advisory contracts.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 and Advisory Fees</w:t>
      </w:r>
    </w:p>
    <w:p>
      <w:pPr>
        <w:spacing w:after="0" w:line="119"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The Company earns management fees for asset management services provided to the Funds where the Company has discretion over investment decisions. The Company primarily earns fees for advisory services provided to clients where the Company does not have discretion over investment decisions. Management and advisory fees received in advance reflects the amount of fees that have been received prior to the period the fees are earned. These fees are recorded as deferred revenues on the Consolidated Balance Sheets due to the performance obligation not being satisfied at the time of collection.</w:t>
      </w:r>
    </w:p>
    <w:p>
      <w:pPr>
        <w:spacing w:after="0" w:line="183"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For asset management and advisory services, the Company typically satisfies its performance obligations over time as the services are provided as a distinct series of daily performance obligations that the customer simultaneously benefits from as they are performed. Asset management fees are based on the contractual terms of each contract which differ, such as fees calculated based on committed capital or deployed capital, fees initially calculated based on committed capital during the investment period and on net invested capital through the remainder of the fund’s term, fees that step down during specified periods of the fund's term, or in limited instances, fees based on assets under management. At contract inception, no revenue is estimated as the fees are dependent variable amounts which are susceptible to factors outside of our control. Fees are recognized for services provided during the period, which are distinct from services provided in other periods. In certain asset management and advisory agreements progress is measured using the practical expedient under the output method resulting in the recognition of revenue in the amount for which the Company has a right to invoice.</w:t>
      </w:r>
    </w:p>
    <w:p>
      <w:pPr>
        <w:spacing w:after="0" w:line="192" w:lineRule="exact"/>
        <w:rPr>
          <w:sz w:val="20"/>
          <w:szCs w:val="20"/>
          <w:color w:val="auto"/>
        </w:rPr>
      </w:pPr>
    </w:p>
    <w:p>
      <w:pPr>
        <w:ind w:right="560" w:firstLine="509"/>
        <w:spacing w:after="0" w:line="312" w:lineRule="auto"/>
        <w:rPr>
          <w:sz w:val="20"/>
          <w:szCs w:val="20"/>
          <w:color w:val="auto"/>
        </w:rPr>
      </w:pPr>
      <w:r>
        <w:rPr>
          <w:rFonts w:ascii="Times New Roman" w:cs="Times New Roman" w:eastAsia="Times New Roman" w:hAnsi="Times New Roman"/>
          <w:sz w:val="17"/>
          <w:szCs w:val="17"/>
          <w:color w:val="auto"/>
        </w:rPr>
        <w:t>Advisory service fees are determined using fixed-rate fees and are recognized over time as the related services are completed. Other advisory services include transaction and management fees associated with managing the origination and ongoing compliance of certain investments.</w:t>
      </w:r>
    </w:p>
    <w:p>
      <w:pPr>
        <w:spacing w:after="0" w:line="140"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 allocates a portion of consideration received under an arrangement to a financing component when it determines that a significant financing component exists. The Company does not adjust the promised amount of consideration for the effects of a significant financing component if, at each contract inception the Company expects that the period between services being provided and cash collection would be less than one year. To the extent the Company determines that there is a significant financing component in a contract with a customer, it determines the impact of the time value of money in adjusting the transaction price to account for the income associated with the financing component by estimating the discount rate that would be reflected in a separate financing transaction between the customer and the Company at contract inception, based upon the credit characteristics of the customer receiving financing in the contract.</w:t>
      </w:r>
    </w:p>
    <w:p>
      <w:pPr>
        <w:spacing w:after="0" w:line="189" w:lineRule="exact"/>
        <w:rPr>
          <w:sz w:val="20"/>
          <w:szCs w:val="20"/>
          <w:color w:val="auto"/>
        </w:rPr>
      </w:pPr>
    </w:p>
    <w:p>
      <w:pPr>
        <w:ind w:right="440" w:firstLine="554"/>
        <w:spacing w:after="0" w:line="282" w:lineRule="auto"/>
        <w:rPr>
          <w:sz w:val="20"/>
          <w:szCs w:val="20"/>
          <w:color w:val="auto"/>
        </w:rPr>
      </w:pPr>
      <w:r>
        <w:rPr>
          <w:rFonts w:ascii="Times New Roman" w:cs="Times New Roman" w:eastAsia="Times New Roman" w:hAnsi="Times New Roman"/>
          <w:sz w:val="18"/>
          <w:szCs w:val="18"/>
          <w:color w:val="auto"/>
        </w:rPr>
        <w:t>The Company is applying the optional disclosure exemption for variable consideration for unsatisfied performance obligations, as the variable consideration relates to these unsatisfied performance obligations being fulfilled as a series. The</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 obligations related to these contracts are expected to be satisfied over the next 1-10 years as services are provided to the customer.</w:t>
      </w:r>
    </w:p>
    <w:p>
      <w:pPr>
        <w:spacing w:after="0" w:line="225"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Catch-up fees are earned from investors that make commitments to the fund after the first fund closing occurs during the fundraising period of funds originally launched in prior periods, and as such the investors are required to pay a catch-up fee as if they had committed to the fund at the first closing. Catch-up fees are recorded as revenue when such commitments are made as variable consideration.</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Revenue</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Other revenue on our Consolidated Statements of Operations primarily consists of subscriptions, consulting agreements, interest income, and referral fees. Interest income is from interest bearing fund bank accounts managed by the Company and is additional consideration per the Limited Partner Agreements. Interest income is recognized as it is earned. The subscription and consulting agreements typically have renewable one-year lives, and revenue is recognized ratably over the current term of the subscription or the agreement. If subscriptions or fees have been paid in advance, these fees are recorded as deferred revenues on our Consolidated Balance Sheets. Referral fee revenue is recognized upon closing of certain opportunities.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1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 xml:space="preserve">Current income tax expense represents our estimated taxes to be paid or refunded for the current period.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we recognize deferred tax assets and liabilities for the expected future tax consequences of temporary differences between the financial reporting and tax basis of assets and liabilities, as well as for operating loss and tax credit carryforwards. Deferred tax assets and liabilities are measured using enacted tax rates in effect for the year in which the differences are expected to reverse. Valuation allowances are recorded to reduce deferred tax assets to the amount we believe is more likely than not to be realized.</w:t>
      </w:r>
    </w:p>
    <w:p>
      <w:pPr>
        <w:spacing w:after="0" w:line="185" w:lineRule="exact"/>
        <w:rPr>
          <w:sz w:val="20"/>
          <w:szCs w:val="20"/>
          <w:color w:val="auto"/>
        </w:rPr>
      </w:pPr>
    </w:p>
    <w:p>
      <w:pPr>
        <w:ind w:right="200" w:firstLine="509"/>
        <w:spacing w:after="0" w:line="312" w:lineRule="auto"/>
        <w:rPr>
          <w:sz w:val="20"/>
          <w:szCs w:val="20"/>
          <w:color w:val="auto"/>
        </w:rPr>
      </w:pPr>
      <w:r>
        <w:rPr>
          <w:rFonts w:ascii="Times New Roman" w:cs="Times New Roman" w:eastAsia="Times New Roman" w:hAnsi="Times New Roman"/>
          <w:sz w:val="17"/>
          <w:szCs w:val="17"/>
          <w:color w:val="auto"/>
        </w:rPr>
        <w:t>Uncertain tax positions are recognized only when we believe it is more likely than not that the tax position will be upheld on examination by the taxing authorities based on the merits of the position. We recognize interest and penalties, if any, related to uncertain tax positions in income tax expense.</w:t>
      </w:r>
    </w:p>
    <w:p>
      <w:pPr>
        <w:spacing w:after="0" w:line="1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file various federal and state and local tax returns based on federal and state local consolidation and stand-alone tax rules as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Basic earnings per share (“EPS”) is calculated by dividing net income attributable to common stockholders by the weighted-average number of common shares. Diluted EPS includes the determinants of basic EPS and common stock equivalents outstanding during the period adjusted to give effect to potentially dilutive securities, if the Company is in a net income position. Because the impact of these items is generally anti-dilutive during periods of net loss, there is no difference between basic and diluted loss per common share for periods with net losses. See Note 16 for additional information.</w:t>
      </w:r>
    </w:p>
    <w:p>
      <w:pPr>
        <w:spacing w:after="0" w:line="180"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When the Company is in a net income position, the denominator in the computation of diluted EPS is impacted by additional common shares that would have been outstanding if dilutive potential shares of common stock had been issued. Potential shares of common stock that may be issued by the Company include shares of common stock that may be issued upon exercise of outstanding stock options as well as the vesting of restricted stock units. Also included in the diluted EPS denominator are the units of P10 Intermediate owned by the sellers of WTI, assuming the option to exchange the units for shares of Class A common stock of the Company is exercised in full. Under the treasury stock method, the unexercised options are assumed to be exercised at the beginning of the period or at issuance, if later. The assumed proceeds are then used to purchase shares of common stock at the average market price during the period.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12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Stock-based compensation relates to grants for shares of P10 awarded to our employees through stock options as well as RSUs awarded to employees and RSAs issued to non-employee directors as compensation for service on the Company's board. Stock compensation expense for awards that cliff-vest after a service period is recorded ratably over the vesting period</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31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 xml:space="preserve">at the fair market value on the grant date. For awards with graded-vesting, and vesting only requires a service condition, the Company elected, in accordance with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xml:space="preserve"> ("ASC 718"), to treat these awards as single awards for recognition purposes and recognize compensation on a straight-line basis over the requisite service period of the entire award. For awards with graded vesting and require a market condition to vest, the Company treats each expected vesting tranche as an individual award and recognizes expense ratably over the vesting period at the fair market value on the grant date. Certain acquisition-related RSUs vest after meeting certain performance metrics. For these, the Company uses the tranche method and recognizes expense for each tranche of RSUs deemed probable of vesting on a straight-line basis over the expected vesting period. The Company evaluates the probability of vesting at each reporting period. Unvested units are remeasured quarterly against performance metrics as a liability on the Consolidated Balance Sheets. Refer to Note 15 for further discussion. Forfeitures are recognized as they occur.</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According to 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operating segments are defined as components of an enterprise for which discrete financial information is evaluated regularly by the chief operating decision maker in deciding how to allocate resources and in assessing performance. The Company operates our business as a single operating segment, which is how our chief operating decision maker (our Chief Executive Officer) evaluates financial performance and makes decisions regarding the allocation of resources.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Acquisitions</w:t>
      </w:r>
    </w:p>
    <w:p>
      <w:pPr>
        <w:spacing w:after="0" w:line="11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the Company identifies a business to have three key elements; inputs, processes, and outputs. While an integrated set of assets and activities that is a business usually has outputs, outputs are not required to be present. In addition, all the inputs and processes that a seller uses in operating a set of assets and activities are not required if market participants can acquire the set of assets and activities and continue to produce outputs. In addition, the Company also performs a screen test to determine when a set of assets and activities is not a business. The screen requires that when substantially all of the fair value of the gross assets acquired is concentrated in a single identifiable asset or a group of similar identifiable assets, the set of assets is not a business. If the set of assets and activities is not considered a business, it is accounted for as an asset acquisition using a cost accumulation model. In the cost accumulation model, the cost of the acquisition, including certain transaction costs, is allocated to the assets acquired on the basis of relative fair values.</w:t>
      </w:r>
    </w:p>
    <w:p>
      <w:pPr>
        <w:spacing w:after="0" w:line="18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 includes the results of operations of acquired businesses beginning on the respective acquisition dates. In accordance with ASC 805, the Company allocates the purchase price of an acquired business to its identifiable assets and liabilities based on the estimated fair values using the acquisition method. The excess of the purchase price over the amount allocated to the assets and liabilities, if any, is recorded as goodwill. The excess value of the net identifiable assets and liabilities acquired over the purchase price of an acquired business is recorded as a bargain purchase gain. The Company uses all available information to estimate fair values of identifiable intangible assets and property acquired. In making these determinations, the Company may engage an independent third-party valuation specialist to assist with the valuation of certain intangible assets, notes payable, and tax amortization benefits.</w:t>
      </w:r>
    </w:p>
    <w:p>
      <w:pPr>
        <w:spacing w:after="0" w:line="18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consideration for certain of our acquisitions may include liability classified contingent consideration, which is determined based on formulas stated in the applicable purchase agreements. The amount to be paid under these arrangements is based on certain financial performance measures subsequent to the acquisitions. The contingent consideration included in the purchase price is measured at fair value on the date of the acquisition. The liabilities are remeasured at fair value on each reporting date, with changes in the fair value reflected in operating expenses on our Consolidated Statements of Operations.</w:t>
      </w:r>
    </w:p>
    <w:p>
      <w:pPr>
        <w:spacing w:after="0" w:line="183" w:lineRule="exact"/>
        <w:rPr>
          <w:sz w:val="20"/>
          <w:szCs w:val="20"/>
          <w:color w:val="auto"/>
        </w:rPr>
      </w:pPr>
    </w:p>
    <w:p>
      <w:pPr>
        <w:ind w:right="660" w:firstLine="509"/>
        <w:spacing w:after="0" w:line="282" w:lineRule="auto"/>
        <w:rPr>
          <w:sz w:val="20"/>
          <w:szCs w:val="20"/>
          <w:color w:val="auto"/>
        </w:rPr>
      </w:pPr>
      <w:r>
        <w:rPr>
          <w:rFonts w:ascii="Times New Roman" w:cs="Times New Roman" w:eastAsia="Times New Roman" w:hAnsi="Times New Roman"/>
          <w:sz w:val="18"/>
          <w:szCs w:val="18"/>
          <w:color w:val="auto"/>
        </w:rPr>
        <w:t>For business acquisitions, the Company recognizes the fair value of goodwill and other acquired intangible assets, and estimated contingent consideration at the acquisition date as part of purchase price. This fair value measurement is based on unobservable (Level 3) inputs.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Dividends are reflected in the consolidated financial statements when declared.</w:t>
      </w:r>
    </w:p>
    <w:p>
      <w:pPr>
        <w:spacing w:after="0" w:line="11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Pronouncements Recently Adopted</w:t>
      </w:r>
    </w:p>
    <w:p>
      <w:pPr>
        <w:spacing w:after="0" w:line="117" w:lineRule="exact"/>
        <w:rPr>
          <w:sz w:val="20"/>
          <w:szCs w:val="20"/>
          <w:color w:val="auto"/>
        </w:rPr>
      </w:pPr>
    </w:p>
    <w:p>
      <w:pPr>
        <w:ind w:right="200" w:firstLine="509"/>
        <w:spacing w:after="0" w:line="257" w:lineRule="auto"/>
        <w:rPr>
          <w:sz w:val="20"/>
          <w:szCs w:val="20"/>
          <w:color w:val="auto"/>
        </w:rPr>
      </w:pPr>
      <w:r>
        <w:rPr>
          <w:rFonts w:ascii="Times New Roman" w:cs="Times New Roman" w:eastAsia="Times New Roman" w:hAnsi="Times New Roman"/>
          <w:sz w:val="18"/>
          <w:szCs w:val="18"/>
          <w:color w:val="auto"/>
        </w:rPr>
        <w:t xml:space="preserve">Effective January 1, 2024, the Company adopted ASU 2022-03, </w:t>
      </w:r>
      <w:r>
        <w:rPr>
          <w:rFonts w:ascii="Times New Roman" w:cs="Times New Roman" w:eastAsia="Times New Roman" w:hAnsi="Times New Roman"/>
          <w:sz w:val="18"/>
          <w:szCs w:val="18"/>
          <w:i w:val="1"/>
          <w:iCs w:val="1"/>
          <w:color w:val="auto"/>
        </w:rPr>
        <w:t>Fair Value Measurement of Equity Securities Subject to Contractual Sale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Restrictions </w:t>
      </w:r>
      <w:r>
        <w:rPr>
          <w:rFonts w:ascii="Times New Roman" w:cs="Times New Roman" w:eastAsia="Times New Roman" w:hAnsi="Times New Roman"/>
          <w:sz w:val="18"/>
          <w:szCs w:val="18"/>
          <w:color w:val="auto"/>
        </w:rPr>
        <w:t>("ASU 2022-03"). The amendments in this update affect all entities that have investments in equity securities measured at fair value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a contractual sale restriction. The amendments clarify that a contractual restriction on the sale of an equity security is not considered part of the unit of account of the equity security and, therefore, is not considered in measuring fair value. The amen</w:t>
      </w:r>
      <w:r>
        <w:rPr>
          <w:rFonts w:ascii="Arial" w:cs="Arial" w:eastAsia="Arial" w:hAnsi="Arial"/>
          <w:sz w:val="16"/>
          <w:szCs w:val="16"/>
          <w:color w:val="373739"/>
        </w:rPr>
        <w:t>d</w:t>
      </w:r>
      <w:r>
        <w:rPr>
          <w:rFonts w:ascii="Times New Roman" w:cs="Times New Roman" w:eastAsia="Times New Roman" w:hAnsi="Times New Roman"/>
          <w:sz w:val="18"/>
          <w:szCs w:val="18"/>
          <w:color w:val="auto"/>
        </w:rPr>
        <w:t>ments also clarify that an entity cannot, as a separate unit of account, recognize and measure a contractual sale restriction. The adoption of ASU 2022-03 did not have a material impact on the Company's Consolidated Financial Statements.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Pronouncements Not Yet Adopted</w:t>
      </w:r>
    </w:p>
    <w:p>
      <w:pPr>
        <w:spacing w:after="0" w:line="11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On November 27, 2023, the FASB issued ASU 2023-07, </w:t>
      </w:r>
      <w:r>
        <w:rPr>
          <w:rFonts w:ascii="Times New Roman" w:cs="Times New Roman" w:eastAsia="Times New Roman" w:hAnsi="Times New Roman"/>
          <w:sz w:val="18"/>
          <w:szCs w:val="18"/>
          <w:i w:val="1"/>
          <w:iCs w:val="1"/>
          <w:color w:val="auto"/>
        </w:rPr>
        <w:t>Improvements to Reportable Segment Disclosure</w:t>
      </w:r>
      <w:r>
        <w:rPr>
          <w:rFonts w:ascii="Times New Roman" w:cs="Times New Roman" w:eastAsia="Times New Roman" w:hAnsi="Times New Roman"/>
          <w:sz w:val="18"/>
          <w:szCs w:val="18"/>
          <w:color w:val="auto"/>
        </w:rPr>
        <w:t xml:space="preserve"> ("ASU 2023-07"), which requires incremental disclosures related to a public entity's reportable segments. Required disclosures include, on an annual and interim basis, significant segment expenses that are regularly provided to the chief operating decision maker ("CODM") and included within each reported measure of segment profit or loss, an amount for other segment items (which is the difference between segment revenue less segment expenses and less segment profit or loss) and a description of its composition, the title, and position of the CODM, and an explanation of how the CODM uses the reported measure(s) of segment profit or loss in assessing segment performance and deciding how to allocate resources. The standard also permits disclosure of more than one measure of segment profit. ASU 2023-07 is effective for fiscal years beginning after December 15, 2023, and interim periods within fiscal years beginning after December 15, 2024. The Company will adopt the standard in its financial statements for the fiscal year ending December 31, 2024 and the Company expects to expand its segment disclosures.</w:t>
      </w:r>
    </w:p>
    <w:p>
      <w:pPr>
        <w:spacing w:after="0" w:line="188" w:lineRule="exact"/>
        <w:rPr>
          <w:sz w:val="20"/>
          <w:szCs w:val="20"/>
          <w:color w:val="auto"/>
        </w:rPr>
      </w:pPr>
    </w:p>
    <w:p>
      <w:pPr>
        <w:jc w:val="both"/>
        <w:ind w:right="560" w:firstLine="509"/>
        <w:spacing w:after="0" w:line="267" w:lineRule="auto"/>
        <w:rPr>
          <w:sz w:val="20"/>
          <w:szCs w:val="20"/>
          <w:color w:val="auto"/>
        </w:rPr>
      </w:pPr>
      <w:r>
        <w:rPr>
          <w:rFonts w:ascii="Times New Roman" w:cs="Times New Roman" w:eastAsia="Times New Roman" w:hAnsi="Times New Roman"/>
          <w:sz w:val="18"/>
          <w:szCs w:val="18"/>
          <w:color w:val="auto"/>
        </w:rPr>
        <w:t xml:space="preserve">On December 14, 2023, the FASB issued ASU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xml:space="preserve"> ("ASU 2023-09") to expand the disclosure requirements for income taxes, specifically related to the rate reconciliation and income taxes paid. ASU 2023-09 is effective for our annual periods beginning January 1, 2025. The Company is evaluating the effects of these amendments on its financial reporting.</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presents revenues disaggregated by product offering:</w:t>
      </w:r>
    </w:p>
    <w:p>
      <w:pPr>
        <w:spacing w:after="0" w:line="24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00" w:type="dxa"/>
            <w:vAlign w:val="bottom"/>
            <w:gridSpan w:val="4"/>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4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For the Nine Months</w:t>
            </w:r>
          </w:p>
        </w:tc>
      </w:tr>
      <w:tr>
        <w:trPr>
          <w:trHeight w:val="190"/>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gridSpan w:val="4"/>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4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Ended September 30,</w:t>
            </w:r>
          </w:p>
        </w:tc>
      </w:tr>
      <w:tr>
        <w:trPr>
          <w:trHeight w:val="172"/>
        </w:trPr>
        <w:tc>
          <w:tcPr>
            <w:tcW w:w="56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56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Management fees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71,378</w:t>
            </w:r>
          </w:p>
        </w:tc>
        <w:tc>
          <w:tcPr>
            <w:tcW w:w="4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56,856</w:t>
            </w:r>
          </w:p>
        </w:tc>
        <w:tc>
          <w:tcPr>
            <w:tcW w:w="4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202,461</w:t>
            </w:r>
          </w:p>
        </w:tc>
        <w:tc>
          <w:tcPr>
            <w:tcW w:w="3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172,774</w:t>
            </w:r>
          </w:p>
        </w:tc>
        <w:tc>
          <w:tcPr>
            <w:tcW w:w="100" w:type="dxa"/>
            <w:vAlign w:val="bottom"/>
            <w:shd w:val="clear" w:color="auto" w:fill="CFF0FC"/>
          </w:tcPr>
          <w:p>
            <w:pPr>
              <w:spacing w:after="0"/>
              <w:rPr>
                <w:sz w:val="20"/>
                <w:szCs w:val="20"/>
                <w:color w:val="auto"/>
              </w:rPr>
            </w:pPr>
          </w:p>
        </w:tc>
      </w:tr>
      <w:tr>
        <w:trPr>
          <w:trHeight w:val="239"/>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Advisory fees</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3,731</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3,548</w:t>
            </w:r>
          </w:p>
        </w:tc>
        <w:tc>
          <w:tcPr>
            <w:tcW w:w="100" w:type="dxa"/>
            <w:vAlign w:val="bottom"/>
          </w:tcPr>
          <w:p>
            <w:pPr>
              <w:spacing w:after="0"/>
              <w:rPr>
                <w:sz w:val="20"/>
                <w:szCs w:val="20"/>
                <w:color w:val="auto"/>
              </w:rPr>
            </w:pPr>
          </w:p>
        </w:tc>
      </w:tr>
      <w:tr>
        <w:trPr>
          <w:trHeight w:val="247"/>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Subscriptions</w:t>
            </w:r>
          </w:p>
        </w:tc>
        <w:tc>
          <w:tcPr>
            <w:tcW w:w="22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shd w:val="clear" w:color="auto" w:fill="CFF0FC"/>
          </w:tcPr>
          <w:p>
            <w:pPr>
              <w:spacing w:after="0"/>
              <w:rPr>
                <w:sz w:val="21"/>
                <w:szCs w:val="21"/>
                <w:color w:val="auto"/>
              </w:rPr>
            </w:pPr>
          </w:p>
        </w:tc>
      </w:tr>
      <w:tr>
        <w:trPr>
          <w:trHeight w:val="243"/>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2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4,727</w:t>
            </w:r>
          </w:p>
        </w:tc>
        <w:tc>
          <w:tcPr>
            <w:tcW w:w="1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100" w:type="dxa"/>
            <w:vAlign w:val="bottom"/>
          </w:tcPr>
          <w:p>
            <w:pPr>
              <w:spacing w:after="0"/>
              <w:rPr>
                <w:sz w:val="21"/>
                <w:szCs w:val="21"/>
                <w:color w:val="auto"/>
              </w:rPr>
            </w:pPr>
          </w:p>
        </w:tc>
      </w:tr>
      <w:tr>
        <w:trPr>
          <w:trHeight w:val="277"/>
        </w:trPr>
        <w:tc>
          <w:tcPr>
            <w:tcW w:w="56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74,243</w:t>
            </w:r>
          </w:p>
        </w:tc>
        <w:tc>
          <w:tcPr>
            <w:tcW w:w="2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58,942</w:t>
            </w:r>
          </w:p>
        </w:tc>
        <w:tc>
          <w:tcPr>
            <w:tcW w:w="2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211,434</w:t>
            </w:r>
          </w:p>
        </w:tc>
        <w:tc>
          <w:tcPr>
            <w:tcW w:w="1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178,667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-24765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-8255</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-24765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-8255</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-24765</wp:posOffset>
            </wp:positionV>
            <wp:extent cx="6032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-8255</wp:posOffset>
            </wp:positionV>
            <wp:extent cx="6032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Strategic Alliance Expense</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connection with the Bonaccord acquisition, Bonaccord entered into a Strategic Alliance Agreement ("SAA") with a third-party investor. This SAA provides the third-party the right to receive 15% of the net management fee earnings, which includes the management fees minus applicable expenses, for Bonaccord Fund I and subsequent funds, paid quarterly, in exchange for funding certain amounts of capital commitments to the fund. Net management fee earnings the third-party has the right to receive is based on the total capital committed. For the three and nine months ended September 30, 2024, the strategic alliance expense reported was $0.6 million and $2.2 million, respectively. For the three and nine months ended September 30, 2023, the strategic alliance expense reported was $0.3 million and $1.1 million, respectively. This is reported on the Consolidated Statements of Operations as strategic alliance expense in operating expenses.</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 w:name="page21"/>
    <w:bookmarkEnd w:id="2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223"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Within 60 days following the final closing of the next fund, Bonaccord Fund II ("Fund II"), the third-party has the opportunity to acquire, at the price at the time of the original acquisition, equity interests in Bonaccord based on the amount of commitment made. For each $5.0 million, up to a maximum of $250.0 million in irrevocable capital commitments to Fund II, the third-party can acquire 10 basis points up to a maximum of 5% equity in Bonaccord. The third party would be entitled to receive distributions of net management fee earnings by the percentage acquired, retroactive to the date of the first close in Fund II. The maximum commitment requirement has been met as of September 30, 2024. Fund II has not yet reached the final close, but the Company believes it is probable that the third-party will exercise the option to acquire equity in Bonaccord and has begun to accrue an additional 5% of net management fee earnings, which is included in the strategic alliance expense. If executed, the purchase price shall be reduced by the amount of management fee distributions which the third-party would have been paid as of the initial closing of Fund II.</w:t>
      </w:r>
    </w:p>
    <w:p>
      <w:pPr>
        <w:spacing w:after="0" w:line="192"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Similar terms apply for Bonaccord Fund III ("Fund III") with the exception that the third-party can acquire 9.8 basis points for every $5.0 million committed up to 4.9%. This commitment has not yet been met as of September 30, 2024 as Fund III has not yet started raising capital and as such, there is no impact to the consolidated financial statements. If commitment conditions to funds subsequent to Funds II and III are not satisfied, then within 60 days of the final closing of such subsequent fund giving rise to the condition not being satisfied, the Company may elect to repurchase the equity granted to the third-party. The repurchase shall be at the fair market value of such equity at that point in time.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Notes Receivable</w:t>
      </w:r>
    </w:p>
    <w:p>
      <w:pPr>
        <w:spacing w:after="0" w:line="121"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The Company has two significant types of notes receivable. The first is an Advance Agreement and Secured Promissory Note that was executed on September 30, 2021 between the Company and BCP to lend funds to certain employees to be used to pay general partner commitments to certain funds managed by Bonaccord. This agreement provides for a note to BCP for $5.0 million, of which $5.0 million was drawn as of September 30, 2024 with a maturity date of September 30, 2031. The note will earn interest at the greater of (i) the applicable federal rate that must be charged to avoid imputation of interest under Section 1274(d) of the U.S. Internal Revenue Code and (ii) 5.5%. The stated interest rate is the effective rate. Interest will be paid on December 31st of each year commencing December 31, 2021, with any unpaid accrued interest being capitalized and added to the outstanding principal balance. Principal payments will be made periodically from mandatorily required payments from available cash flows at BCP.</w:t>
      </w:r>
    </w:p>
    <w:p>
      <w:pPr>
        <w:spacing w:after="0" w:line="189"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 second consists of Secured Promissory Notes that were executed on October 13, 2023 between the Company and certain employees of Bonaccord to lend funds to be used to pay general partner commitments to certain funds managed by Bonaccord. The notes provided $1.0 million of cash, in aggregate, to certain employees and are collateralized by such employees' privately owned shares of the Company. The term of the additional notes is five years, maturing on October 13, 2028 with all principal due at maturity. The notes accrue interest at SOFR plus 2.10% and are payable annually in arrears.</w:t>
      </w:r>
    </w:p>
    <w:p>
      <w:pPr>
        <w:spacing w:after="0" w:line="183"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As of September 30, 2024 and December 31, 2023, the notes receivable balance associated with these notes was $6.0 million and $5.8 million, respectively. The Company recognized interest income of $0.1 million and $0.3 million for the three and nine months ended September 30, 2024, respectively, and $0.1 million and $0.2 million for the three and nine months ended September 30, 2023,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Variable Interest Entities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VIEs</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VIEs consist of certain operating entities not wholly owned by the Company and include P10 Intermediate, Holdco, RCP 2, RCP 3, TrueBridge, Hark, Bonaccord, and WTI. The assets of the consolidated VIEs totaled $581.2 million and $579.4 million as of September 30, 2024 and December 31, 2023, respectively. The liabilities of the consolidated VIEs totaled $454.8 million and $397.6 million as of September 30, 2024 and December 31, 2023, respectively. The assets of our consolidated VIEs are owned by those entities and not generally available to satisfy P10’s obligations. With the exception of the Credit Facility, the liabilities of our consolidated VIEs are obligations of those entities and their creditors do not generally have recourse to the assets of P10.</w:t>
      </w:r>
    </w:p>
    <w:p>
      <w:pPr>
        <w:spacing w:after="0" w:line="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Unconsolidated VIEs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Through its subsidiary, ECG, the Company holds variable interests in the form of direct equity interests in certain VIEs that are not consolidated because the Company is not the primary beneficiary. The Company's maximum exposure to loss is limited to the potential loss of assets recognized relating to these unconsolidated entities. These variable interests are included in investment in unconsolidated subsidiaries on the accompanying Consolidated Balance Sheets.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Investment in Unconsolidated Subsidiaries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Company’s investment in unconsolidated subsidiaries consist of unconsolidated equity method investments primarily related to ECG’s tax credit finance and asset management activities. Additionally, the investment in Enhanced Capital Partners and Enhanced PC is recorded at zero. The Company, therefore, suspended the use of the equity method of accounting because the Company has no guaranteed obligations or commitments to provide financial support to the investee.</w:t>
      </w:r>
    </w:p>
    <w:p>
      <w:pPr>
        <w:spacing w:after="0" w:line="180"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As of September 30, 2024, investment in unconsolidated subsidiaries totaled $2.6 million, of which $0.9 million related to RCP's investment in a privately held investment manager, $1.7 million related to ECG’s asset management businesses, and $0 related to ECG’s tax credit finance businesses. As of December 31, 2023, investment in unconsolidated subsidiaries totaled $1.7 million, of which $0 related to RCP's investment in a privately held investment manager, $1.7 million related to ECG’s asset management businesses, and $0 related to ECG’s tax credit finance businesses.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Property and Equipment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consist of the following:</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As of September 30,</w:t>
            </w:r>
          </w:p>
        </w:tc>
        <w:tc>
          <w:tcPr>
            <w:tcW w:w="180" w:type="dxa"/>
            <w:vAlign w:val="bottom"/>
          </w:tcPr>
          <w:p>
            <w:pPr>
              <w:spacing w:after="0"/>
              <w:rPr>
                <w:sz w:val="14"/>
                <w:szCs w:val="14"/>
                <w:color w:val="auto"/>
              </w:rPr>
            </w:pPr>
          </w:p>
        </w:tc>
        <w:tc>
          <w:tcPr>
            <w:tcW w:w="154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As of December 31,</w:t>
            </w:r>
          </w:p>
        </w:tc>
      </w:tr>
      <w:tr>
        <w:trPr>
          <w:trHeight w:val="167"/>
        </w:trPr>
        <w:tc>
          <w:tcPr>
            <w:tcW w:w="7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3"/>
                <w:szCs w:val="13"/>
                <w:b w:val="1"/>
                <w:bCs w:val="1"/>
                <w:color w:val="auto"/>
              </w:rPr>
              <w:t>2024</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4"/>
                <w:szCs w:val="14"/>
                <w:color w:val="auto"/>
              </w:rPr>
            </w:pPr>
          </w:p>
        </w:tc>
      </w:tr>
      <w:tr>
        <w:trPr>
          <w:trHeight w:val="157"/>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Computers and purchased software</w:t>
            </w: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1,872</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1,528</w:t>
            </w:r>
          </w:p>
        </w:tc>
        <w:tc>
          <w:tcPr>
            <w:tcW w:w="100" w:type="dxa"/>
            <w:vAlign w:val="bottom"/>
            <w:shd w:val="clear" w:color="auto" w:fill="CFF0FC"/>
          </w:tcPr>
          <w:p>
            <w:pPr>
              <w:spacing w:after="0"/>
              <w:rPr>
                <w:sz w:val="13"/>
                <w:szCs w:val="13"/>
                <w:color w:val="auto"/>
              </w:rPr>
            </w:pPr>
          </w:p>
        </w:tc>
      </w:tr>
      <w:tr>
        <w:trPr>
          <w:trHeight w:val="162"/>
        </w:trPr>
        <w:tc>
          <w:tcPr>
            <w:tcW w:w="7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Furniture and fixtures</w:t>
            </w:r>
          </w:p>
        </w:tc>
        <w:tc>
          <w:tcPr>
            <w:tcW w:w="1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2,043</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1,666</w:t>
            </w:r>
          </w:p>
        </w:tc>
        <w:tc>
          <w:tcPr>
            <w:tcW w:w="100" w:type="dxa"/>
            <w:vAlign w:val="bottom"/>
          </w:tcPr>
          <w:p>
            <w:pPr>
              <w:spacing w:after="0"/>
              <w:rPr>
                <w:sz w:val="14"/>
                <w:szCs w:val="14"/>
                <w:color w:val="auto"/>
              </w:rPr>
            </w:pPr>
          </w:p>
        </w:tc>
      </w:tr>
      <w:tr>
        <w:trPr>
          <w:trHeight w:val="162"/>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Leasehold improvements</w:t>
            </w:r>
          </w:p>
        </w:tc>
        <w:tc>
          <w:tcPr>
            <w:tcW w:w="18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5,570</w:t>
            </w:r>
          </w:p>
        </w:tc>
        <w:tc>
          <w:tcPr>
            <w:tcW w:w="2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2,894</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5"/>
        </w:trPr>
        <w:tc>
          <w:tcPr>
            <w:tcW w:w="7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9,485</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6,088</w:t>
            </w:r>
          </w:p>
        </w:tc>
        <w:tc>
          <w:tcPr>
            <w:tcW w:w="100" w:type="dxa"/>
            <w:vAlign w:val="bottom"/>
          </w:tcPr>
          <w:p>
            <w:pPr>
              <w:spacing w:after="0"/>
              <w:rPr>
                <w:sz w:val="13"/>
                <w:szCs w:val="13"/>
                <w:color w:val="auto"/>
              </w:rPr>
            </w:pPr>
          </w:p>
        </w:tc>
      </w:tr>
      <w:tr>
        <w:trPr>
          <w:trHeight w:val="162"/>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Less: accumulated depreciation</w:t>
            </w:r>
          </w:p>
        </w:tc>
        <w:tc>
          <w:tcPr>
            <w:tcW w:w="180" w:type="dxa"/>
            <w:vAlign w:val="bottom"/>
            <w:shd w:val="clear" w:color="auto" w:fill="CFF0FC"/>
          </w:tcPr>
          <w:p>
            <w:pPr>
              <w:spacing w:after="0"/>
              <w:rPr>
                <w:sz w:val="14"/>
                <w:szCs w:val="14"/>
                <w:color w:val="auto"/>
              </w:rPr>
            </w:pPr>
          </w:p>
        </w:tc>
        <w:tc>
          <w:tcPr>
            <w:tcW w:w="1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(3,367 )</w:t>
            </w:r>
          </w:p>
        </w:tc>
        <w:tc>
          <w:tcPr>
            <w:tcW w:w="180" w:type="dxa"/>
            <w:vAlign w:val="bottom"/>
            <w:shd w:val="clear" w:color="auto" w:fill="CFF0FC"/>
          </w:tcPr>
          <w:p>
            <w:pPr>
              <w:spacing w:after="0"/>
              <w:rPr>
                <w:sz w:val="14"/>
                <w:szCs w:val="14"/>
                <w:color w:val="auto"/>
              </w:rPr>
            </w:pPr>
          </w:p>
        </w:tc>
        <w:tc>
          <w:tcPr>
            <w:tcW w:w="1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(2,763 )</w:t>
            </w:r>
          </w:p>
        </w:tc>
      </w:tr>
      <w:tr>
        <w:trPr>
          <w:trHeight w:val="155"/>
        </w:trPr>
        <w:tc>
          <w:tcPr>
            <w:tcW w:w="7660" w:type="dxa"/>
            <w:vAlign w:val="bottom"/>
            <w:tcBorders>
              <w:top w:val="single" w:sz="8" w:color="CFF0FC"/>
            </w:tcBorders>
          </w:tcPr>
          <w:p>
            <w:pPr>
              <w:ind w:left="160"/>
              <w:spacing w:after="0"/>
              <w:rPr>
                <w:sz w:val="20"/>
                <w:szCs w:val="20"/>
                <w:color w:val="auto"/>
              </w:rPr>
            </w:pPr>
            <w:r>
              <w:rPr>
                <w:rFonts w:ascii="Times New Roman" w:cs="Times New Roman" w:eastAsia="Times New Roman" w:hAnsi="Times New Roman"/>
                <w:sz w:val="13"/>
                <w:szCs w:val="13"/>
                <w:color w:val="auto"/>
              </w:rPr>
              <w:t>Total property and equipment, net</w:t>
            </w: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6,118</w:t>
            </w:r>
          </w:p>
        </w:tc>
        <w:tc>
          <w:tcPr>
            <w:tcW w:w="220" w:type="dxa"/>
            <w:vAlign w:val="bottom"/>
            <w:tcBorders>
              <w:top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3,325</w:t>
            </w:r>
          </w:p>
        </w:tc>
        <w:tc>
          <w:tcPr>
            <w:tcW w:w="100" w:type="dxa"/>
            <w:vAlign w:val="bottom"/>
            <w:tcBorders>
              <w:top w:val="single" w:sz="8" w:color="CFF0FC"/>
            </w:tcBorders>
          </w:tcPr>
          <w:p>
            <w:pPr>
              <w:spacing w:after="0"/>
              <w:rPr>
                <w:sz w:val="13"/>
                <w:szCs w:val="13"/>
                <w:color w:val="auto"/>
              </w:rPr>
            </w:pPr>
          </w:p>
        </w:tc>
      </w:tr>
      <w:tr>
        <w:trPr>
          <w:trHeight w:val="20"/>
        </w:trPr>
        <w:tc>
          <w:tcPr>
            <w:tcW w:w="7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-350520</wp:posOffset>
            </wp:positionV>
            <wp:extent cx="7683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-136525</wp:posOffset>
            </wp:positionV>
            <wp:extent cx="7683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Goodwill and Intangibles</w:t>
      </w:r>
    </w:p>
    <w:p>
      <w:pPr>
        <w:spacing w:after="0" w:line="121"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Changes in goodwill for the nine months ended September 30, 2024 are as follows:</w:t>
            </w: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1740" w:type="dxa"/>
            <w:vAlign w:val="bottom"/>
          </w:tcPr>
          <w:p>
            <w:pPr>
              <w:spacing w:after="0"/>
              <w:rPr>
                <w:sz w:val="21"/>
                <w:szCs w:val="21"/>
                <w:color w:val="auto"/>
              </w:rPr>
            </w:pPr>
          </w:p>
        </w:tc>
        <w:tc>
          <w:tcPr>
            <w:tcW w:w="558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r>
      <w:tr>
        <w:trPr>
          <w:trHeight w:val="277"/>
        </w:trPr>
        <w:tc>
          <w:tcPr>
            <w:tcW w:w="1740" w:type="dxa"/>
            <w:vAlign w:val="bottom"/>
          </w:tcPr>
          <w:p>
            <w:pPr>
              <w:spacing w:after="0"/>
              <w:rPr>
                <w:sz w:val="24"/>
                <w:szCs w:val="24"/>
                <w:color w:val="auto"/>
              </w:rPr>
            </w:pPr>
          </w:p>
        </w:tc>
        <w:tc>
          <w:tcPr>
            <w:tcW w:w="5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506,038</w:t>
            </w:r>
          </w:p>
        </w:tc>
        <w:tc>
          <w:tcPr>
            <w:tcW w:w="60" w:type="dxa"/>
            <w:vAlign w:val="bottom"/>
            <w:tcBorders>
              <w:bottom w:val="single" w:sz="8" w:color="CFF0FC"/>
            </w:tcBorders>
            <w:shd w:val="clear" w:color="auto" w:fill="CFF0FC"/>
          </w:tcPr>
          <w:p>
            <w:pPr>
              <w:spacing w:after="0"/>
              <w:rPr>
                <w:sz w:val="24"/>
                <w:szCs w:val="24"/>
                <w:color w:val="auto"/>
              </w:rPr>
            </w:pPr>
          </w:p>
        </w:tc>
      </w:tr>
      <w:tr>
        <w:trPr>
          <w:trHeight w:val="219"/>
        </w:trPr>
        <w:tc>
          <w:tcPr>
            <w:tcW w:w="174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Increase from acquisitions</w:t>
            </w: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81"/>
        </w:trPr>
        <w:tc>
          <w:tcPr>
            <w:tcW w:w="1740" w:type="dxa"/>
            <w:vAlign w:val="bottom"/>
          </w:tcPr>
          <w:p>
            <w:pPr>
              <w:spacing w:after="0"/>
              <w:rPr>
                <w:sz w:val="24"/>
                <w:szCs w:val="24"/>
                <w:color w:val="auto"/>
              </w:rPr>
            </w:pPr>
          </w:p>
        </w:tc>
        <w:tc>
          <w:tcPr>
            <w:tcW w:w="5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2024</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506,038</w:t>
            </w:r>
          </w:p>
        </w:tc>
        <w:tc>
          <w:tcPr>
            <w:tcW w:w="6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-367665</wp:posOffset>
            </wp:positionV>
            <wp:extent cx="431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-351155</wp:posOffset>
            </wp:positionV>
            <wp:extent cx="431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-530860</wp:posOffset>
            </wp:positionV>
            <wp:extent cx="431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-25400</wp:posOffset>
            </wp:positionV>
            <wp:extent cx="431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-8255</wp:posOffset>
            </wp:positionV>
            <wp:extent cx="431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Intangibles consists of the following:</w:t>
      </w:r>
    </w:p>
    <w:p>
      <w:pPr>
        <w:spacing w:after="0" w:line="259"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46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As of September 30, 2024</w:t>
            </w: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31"/>
        </w:trPr>
        <w:tc>
          <w:tcPr>
            <w:tcW w:w="4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jc w:val="right"/>
              <w:ind w:right="94"/>
              <w:spacing w:after="0" w:line="131"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2"/>
          </w:tcPr>
          <w:p>
            <w:pPr>
              <w:jc w:val="right"/>
              <w:ind w:right="44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1"/>
                <w:szCs w:val="11"/>
                <w:color w:val="auto"/>
              </w:rPr>
            </w:pPr>
          </w:p>
        </w:tc>
        <w:tc>
          <w:tcPr>
            <w:tcW w:w="1120" w:type="dxa"/>
            <w:vAlign w:val="bottom"/>
          </w:tcPr>
          <w:p>
            <w:pPr>
              <w:jc w:val="center"/>
              <w:ind w:right="94"/>
              <w:spacing w:after="0" w:line="131"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80" w:type="dxa"/>
            <w:vAlign w:val="bottom"/>
          </w:tcPr>
          <w:p>
            <w:pPr>
              <w:spacing w:after="0"/>
              <w:rPr>
                <w:sz w:val="11"/>
                <w:szCs w:val="11"/>
                <w:color w:val="auto"/>
              </w:rPr>
            </w:pPr>
          </w:p>
        </w:tc>
      </w:tr>
      <w:tr>
        <w:trPr>
          <w:trHeight w:val="187"/>
        </w:trPr>
        <w:tc>
          <w:tcPr>
            <w:tcW w:w="4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50"/>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120" w:type="dxa"/>
            <w:vAlign w:val="bottom"/>
            <w:tcBorders>
              <w:top w:val="single" w:sz="8" w:color="auto"/>
            </w:tcBorders>
            <w:shd w:val="clear" w:color="auto" w:fill="CFF0FC"/>
          </w:tcPr>
          <w:p>
            <w:pPr>
              <w:spacing w:after="0"/>
              <w:rPr>
                <w:sz w:val="21"/>
                <w:szCs w:val="21"/>
                <w:color w:val="auto"/>
              </w:rPr>
            </w:pPr>
          </w:p>
        </w:tc>
        <w:tc>
          <w:tcPr>
            <w:tcW w:w="1180" w:type="dxa"/>
            <w:vAlign w:val="bottom"/>
            <w:tcBorders>
              <w:top w:val="single" w:sz="8" w:color="auto"/>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1140" w:type="dxa"/>
            <w:vAlign w:val="bottom"/>
            <w:tcBorders>
              <w:top w:val="single" w:sz="8" w:color="auto"/>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1120" w:type="dxa"/>
            <w:vAlign w:val="bottom"/>
            <w:tcBorders>
              <w:top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50"/>
        </w:trPr>
        <w:tc>
          <w:tcPr>
            <w:tcW w:w="4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Trade names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17,375</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17,375</w:t>
            </w:r>
          </w:p>
        </w:tc>
        <w:tc>
          <w:tcPr>
            <w:tcW w:w="80" w:type="dxa"/>
            <w:vAlign w:val="bottom"/>
          </w:tcPr>
          <w:p>
            <w:pPr>
              <w:spacing w:after="0"/>
              <w:rPr>
                <w:sz w:val="21"/>
                <w:szCs w:val="21"/>
                <w:color w:val="auto"/>
              </w:rPr>
            </w:pPr>
          </w:p>
        </w:tc>
      </w:tr>
      <w:tr>
        <w:trPr>
          <w:trHeight w:val="250"/>
        </w:trPr>
        <w:tc>
          <w:tcPr>
            <w:tcW w:w="46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Technology</w:t>
            </w:r>
          </w:p>
        </w:tc>
        <w:tc>
          <w:tcPr>
            <w:tcW w:w="12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43"/>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Total indefinite-lived intangible assets</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17,405</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17,405</w:t>
            </w:r>
          </w:p>
        </w:tc>
        <w:tc>
          <w:tcPr>
            <w:tcW w:w="80" w:type="dxa"/>
            <w:vAlign w:val="bottom"/>
          </w:tcPr>
          <w:p>
            <w:pPr>
              <w:spacing w:after="0"/>
              <w:rPr>
                <w:sz w:val="21"/>
                <w:szCs w:val="21"/>
                <w:color w:val="auto"/>
              </w:rPr>
            </w:pPr>
          </w:p>
        </w:tc>
      </w:tr>
      <w:tr>
        <w:trPr>
          <w:trHeight w:val="263"/>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120" w:type="dxa"/>
            <w:vAlign w:val="bottom"/>
            <w:shd w:val="clear" w:color="auto" w:fill="CFF0FC"/>
          </w:tcPr>
          <w:p>
            <w:pPr>
              <w:spacing w:after="0"/>
              <w:rPr>
                <w:sz w:val="22"/>
                <w:szCs w:val="22"/>
                <w:color w:val="auto"/>
              </w:rPr>
            </w:pPr>
          </w:p>
        </w:tc>
        <w:tc>
          <w:tcPr>
            <w:tcW w:w="11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0"/>
        </w:trPr>
        <w:tc>
          <w:tcPr>
            <w:tcW w:w="4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Trade names</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28,240</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(7,688 )</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20,552</w:t>
            </w:r>
          </w:p>
        </w:tc>
        <w:tc>
          <w:tcPr>
            <w:tcW w:w="80" w:type="dxa"/>
            <w:vAlign w:val="bottom"/>
          </w:tcPr>
          <w:p>
            <w:pPr>
              <w:spacing w:after="0"/>
              <w:rPr>
                <w:sz w:val="21"/>
                <w:szCs w:val="21"/>
                <w:color w:val="auto"/>
              </w:rPr>
            </w:pPr>
          </w:p>
        </w:tc>
      </w:tr>
      <w:tr>
        <w:trPr>
          <w:trHeight w:val="263"/>
        </w:trPr>
        <w:tc>
          <w:tcPr>
            <w:tcW w:w="46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Management and advisory contracts</w:t>
            </w:r>
          </w:p>
        </w:tc>
        <w:tc>
          <w:tcPr>
            <w:tcW w:w="12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194,666</w:t>
            </w:r>
          </w:p>
        </w:tc>
        <w:tc>
          <w:tcPr>
            <w:tcW w:w="2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(128,839 )</w:t>
            </w:r>
          </w:p>
        </w:tc>
        <w:tc>
          <w:tcPr>
            <w:tcW w:w="16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65,827</w:t>
            </w:r>
          </w:p>
        </w:tc>
        <w:tc>
          <w:tcPr>
            <w:tcW w:w="80" w:type="dxa"/>
            <w:vAlign w:val="bottom"/>
            <w:shd w:val="clear" w:color="auto" w:fill="CFF0FC"/>
          </w:tcPr>
          <w:p>
            <w:pPr>
              <w:spacing w:after="0"/>
              <w:rPr>
                <w:sz w:val="22"/>
                <w:szCs w:val="22"/>
                <w:color w:val="auto"/>
              </w:rPr>
            </w:pPr>
          </w:p>
        </w:tc>
      </w:tr>
      <w:tr>
        <w:trPr>
          <w:trHeight w:val="243"/>
        </w:trPr>
        <w:tc>
          <w:tcPr>
            <w:tcW w:w="4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Technology</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(2,281 )</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tcPr>
          <w:p>
            <w:pPr>
              <w:spacing w:after="0"/>
              <w:rPr>
                <w:sz w:val="21"/>
                <w:szCs w:val="21"/>
                <w:color w:val="auto"/>
              </w:rPr>
            </w:pPr>
          </w:p>
        </w:tc>
      </w:tr>
      <w:tr>
        <w:trPr>
          <w:trHeight w:val="20"/>
        </w:trPr>
        <w:tc>
          <w:tcPr>
            <w:tcW w:w="4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6"/>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finite-lived intangible assets</w:t>
            </w:r>
          </w:p>
        </w:tc>
        <w:tc>
          <w:tcPr>
            <w:tcW w:w="12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225,286</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(138,808 )</w:t>
            </w:r>
          </w:p>
        </w:tc>
        <w:tc>
          <w:tcPr>
            <w:tcW w:w="16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86,478</w:t>
            </w:r>
          </w:p>
        </w:tc>
        <w:tc>
          <w:tcPr>
            <w:tcW w:w="80" w:type="dxa"/>
            <w:vAlign w:val="bottom"/>
            <w:shd w:val="clear" w:color="auto" w:fill="CFF0FC"/>
          </w:tcPr>
          <w:p>
            <w:pPr>
              <w:spacing w:after="0"/>
              <w:rPr>
                <w:sz w:val="20"/>
                <w:szCs w:val="20"/>
                <w:color w:val="auto"/>
              </w:rPr>
            </w:pPr>
          </w:p>
        </w:tc>
      </w:tr>
      <w:tr>
        <w:trPr>
          <w:trHeight w:val="20"/>
        </w:trPr>
        <w:tc>
          <w:tcPr>
            <w:tcW w:w="46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3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242,691</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(138,808 )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103,883</w:t>
            </w:r>
          </w:p>
        </w:tc>
        <w:tc>
          <w:tcPr>
            <w:tcW w:w="80" w:type="dxa"/>
            <w:vAlign w:val="bottom"/>
          </w:tcPr>
          <w:p>
            <w:pPr>
              <w:spacing w:after="0"/>
              <w:rPr>
                <w:sz w:val="20"/>
                <w:szCs w:val="20"/>
                <w:color w:val="auto"/>
              </w:rPr>
            </w:pPr>
          </w:p>
        </w:tc>
      </w:tr>
      <w:tr>
        <w:trPr>
          <w:trHeight w:val="20"/>
        </w:trPr>
        <w:tc>
          <w:tcPr>
            <w:tcW w:w="4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-1165225</wp:posOffset>
            </wp:positionV>
            <wp:extent cx="6032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-1165225</wp:posOffset>
            </wp:positionV>
            <wp:extent cx="5969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-1165225</wp:posOffset>
            </wp:positionV>
            <wp:extent cx="5143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-187960</wp:posOffset>
            </wp:positionV>
            <wp:extent cx="6032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-187960</wp:posOffset>
            </wp:positionV>
            <wp:extent cx="5969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257"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46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31"/>
        </w:trPr>
        <w:tc>
          <w:tcPr>
            <w:tcW w:w="4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jc w:val="right"/>
              <w:ind w:right="94"/>
              <w:spacing w:after="0" w:line="131"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2"/>
          </w:tcPr>
          <w:p>
            <w:pPr>
              <w:jc w:val="right"/>
              <w:ind w:right="44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1"/>
                <w:szCs w:val="11"/>
                <w:color w:val="auto"/>
              </w:rPr>
            </w:pPr>
          </w:p>
        </w:tc>
        <w:tc>
          <w:tcPr>
            <w:tcW w:w="1120" w:type="dxa"/>
            <w:vAlign w:val="bottom"/>
          </w:tcPr>
          <w:p>
            <w:pPr>
              <w:jc w:val="center"/>
              <w:ind w:right="94"/>
              <w:spacing w:after="0" w:line="131"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80" w:type="dxa"/>
            <w:vAlign w:val="bottom"/>
          </w:tcPr>
          <w:p>
            <w:pPr>
              <w:spacing w:after="0"/>
              <w:rPr>
                <w:sz w:val="11"/>
                <w:szCs w:val="11"/>
                <w:color w:val="auto"/>
              </w:rPr>
            </w:pPr>
          </w:p>
        </w:tc>
      </w:tr>
      <w:tr>
        <w:trPr>
          <w:trHeight w:val="187"/>
        </w:trPr>
        <w:tc>
          <w:tcPr>
            <w:tcW w:w="4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50"/>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120" w:type="dxa"/>
            <w:vAlign w:val="bottom"/>
            <w:tcBorders>
              <w:top w:val="single" w:sz="8" w:color="auto"/>
            </w:tcBorders>
            <w:shd w:val="clear" w:color="auto" w:fill="CFF0FC"/>
          </w:tcPr>
          <w:p>
            <w:pPr>
              <w:spacing w:after="0"/>
              <w:rPr>
                <w:sz w:val="21"/>
                <w:szCs w:val="21"/>
                <w:color w:val="auto"/>
              </w:rPr>
            </w:pPr>
          </w:p>
        </w:tc>
        <w:tc>
          <w:tcPr>
            <w:tcW w:w="1180" w:type="dxa"/>
            <w:vAlign w:val="bottom"/>
            <w:tcBorders>
              <w:top w:val="single" w:sz="8" w:color="auto"/>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1140" w:type="dxa"/>
            <w:vAlign w:val="bottom"/>
            <w:tcBorders>
              <w:top w:val="single" w:sz="8" w:color="auto"/>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1120" w:type="dxa"/>
            <w:vAlign w:val="bottom"/>
            <w:tcBorders>
              <w:top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50"/>
        </w:trPr>
        <w:tc>
          <w:tcPr>
            <w:tcW w:w="4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Trade names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17,375</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17,375</w:t>
            </w:r>
          </w:p>
        </w:tc>
        <w:tc>
          <w:tcPr>
            <w:tcW w:w="80" w:type="dxa"/>
            <w:vAlign w:val="bottom"/>
          </w:tcPr>
          <w:p>
            <w:pPr>
              <w:spacing w:after="0"/>
              <w:rPr>
                <w:sz w:val="21"/>
                <w:szCs w:val="21"/>
                <w:color w:val="auto"/>
              </w:rPr>
            </w:pPr>
          </w:p>
        </w:tc>
      </w:tr>
      <w:tr>
        <w:trPr>
          <w:trHeight w:val="250"/>
        </w:trPr>
        <w:tc>
          <w:tcPr>
            <w:tcW w:w="46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Technology</w:t>
            </w:r>
          </w:p>
        </w:tc>
        <w:tc>
          <w:tcPr>
            <w:tcW w:w="12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43"/>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Total indefinite-lived intangible assets</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17,405</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17,405</w:t>
            </w:r>
          </w:p>
        </w:tc>
        <w:tc>
          <w:tcPr>
            <w:tcW w:w="80" w:type="dxa"/>
            <w:vAlign w:val="bottom"/>
          </w:tcPr>
          <w:p>
            <w:pPr>
              <w:spacing w:after="0"/>
              <w:rPr>
                <w:sz w:val="21"/>
                <w:szCs w:val="21"/>
                <w:color w:val="auto"/>
              </w:rPr>
            </w:pPr>
          </w:p>
        </w:tc>
      </w:tr>
      <w:tr>
        <w:trPr>
          <w:trHeight w:val="263"/>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120" w:type="dxa"/>
            <w:vAlign w:val="bottom"/>
            <w:shd w:val="clear" w:color="auto" w:fill="CFF0FC"/>
          </w:tcPr>
          <w:p>
            <w:pPr>
              <w:spacing w:after="0"/>
              <w:rPr>
                <w:sz w:val="22"/>
                <w:szCs w:val="22"/>
                <w:color w:val="auto"/>
              </w:rPr>
            </w:pPr>
          </w:p>
        </w:tc>
        <w:tc>
          <w:tcPr>
            <w:tcW w:w="11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0"/>
        </w:trPr>
        <w:tc>
          <w:tcPr>
            <w:tcW w:w="4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Trade names</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28,240</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(5,789 )</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22,451</w:t>
            </w:r>
          </w:p>
        </w:tc>
        <w:tc>
          <w:tcPr>
            <w:tcW w:w="80" w:type="dxa"/>
            <w:vAlign w:val="bottom"/>
          </w:tcPr>
          <w:p>
            <w:pPr>
              <w:spacing w:after="0"/>
              <w:rPr>
                <w:sz w:val="21"/>
                <w:szCs w:val="21"/>
                <w:color w:val="auto"/>
              </w:rPr>
            </w:pPr>
          </w:p>
        </w:tc>
      </w:tr>
      <w:tr>
        <w:trPr>
          <w:trHeight w:val="263"/>
        </w:trPr>
        <w:tc>
          <w:tcPr>
            <w:tcW w:w="46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Management and advisory contracts</w:t>
            </w:r>
          </w:p>
        </w:tc>
        <w:tc>
          <w:tcPr>
            <w:tcW w:w="12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194,666</w:t>
            </w:r>
          </w:p>
        </w:tc>
        <w:tc>
          <w:tcPr>
            <w:tcW w:w="2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(111,873 )</w:t>
            </w:r>
          </w:p>
        </w:tc>
        <w:tc>
          <w:tcPr>
            <w:tcW w:w="16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82,793</w:t>
            </w:r>
          </w:p>
        </w:tc>
        <w:tc>
          <w:tcPr>
            <w:tcW w:w="80" w:type="dxa"/>
            <w:vAlign w:val="bottom"/>
            <w:shd w:val="clear" w:color="auto" w:fill="CFF0FC"/>
          </w:tcPr>
          <w:p>
            <w:pPr>
              <w:spacing w:after="0"/>
              <w:rPr>
                <w:sz w:val="22"/>
                <w:szCs w:val="22"/>
                <w:color w:val="auto"/>
              </w:rPr>
            </w:pPr>
          </w:p>
        </w:tc>
      </w:tr>
      <w:tr>
        <w:trPr>
          <w:trHeight w:val="243"/>
        </w:trPr>
        <w:tc>
          <w:tcPr>
            <w:tcW w:w="4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Technology</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(1,834 )</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80" w:type="dxa"/>
            <w:vAlign w:val="bottom"/>
          </w:tcPr>
          <w:p>
            <w:pPr>
              <w:spacing w:after="0"/>
              <w:rPr>
                <w:sz w:val="21"/>
                <w:szCs w:val="21"/>
                <w:color w:val="auto"/>
              </w:rPr>
            </w:pPr>
          </w:p>
        </w:tc>
      </w:tr>
      <w:tr>
        <w:trPr>
          <w:trHeight w:val="20"/>
        </w:trPr>
        <w:tc>
          <w:tcPr>
            <w:tcW w:w="4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finite-lived intangible assets</w:t>
            </w:r>
          </w:p>
        </w:tc>
        <w:tc>
          <w:tcPr>
            <w:tcW w:w="12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225,286</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(119,496 )</w:t>
            </w:r>
          </w:p>
        </w:tc>
        <w:tc>
          <w:tcPr>
            <w:tcW w:w="16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105,790</w:t>
            </w:r>
          </w:p>
        </w:tc>
        <w:tc>
          <w:tcPr>
            <w:tcW w:w="80" w:type="dxa"/>
            <w:vAlign w:val="bottom"/>
            <w:shd w:val="clear" w:color="auto" w:fill="CFF0FC"/>
          </w:tcPr>
          <w:p>
            <w:pPr>
              <w:spacing w:after="0"/>
              <w:rPr>
                <w:sz w:val="20"/>
                <w:szCs w:val="20"/>
                <w:color w:val="auto"/>
              </w:rPr>
            </w:pPr>
          </w:p>
        </w:tc>
      </w:tr>
      <w:tr>
        <w:trPr>
          <w:trHeight w:val="20"/>
        </w:trPr>
        <w:tc>
          <w:tcPr>
            <w:tcW w:w="46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37"/>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242,691</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(119,496 )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123,195</w:t>
            </w:r>
          </w:p>
        </w:tc>
        <w:tc>
          <w:tcPr>
            <w:tcW w:w="80" w:type="dxa"/>
            <w:vAlign w:val="bottom"/>
          </w:tcPr>
          <w:p>
            <w:pPr>
              <w:spacing w:after="0"/>
              <w:rPr>
                <w:sz w:val="20"/>
                <w:szCs w:val="20"/>
                <w:color w:val="auto"/>
              </w:rPr>
            </w:pPr>
          </w:p>
        </w:tc>
      </w:tr>
      <w:tr>
        <w:trPr>
          <w:trHeight w:val="20"/>
        </w:trPr>
        <w:tc>
          <w:tcPr>
            <w:tcW w:w="4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-1165225</wp:posOffset>
            </wp:positionV>
            <wp:extent cx="6032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-1165225</wp:posOffset>
            </wp:positionV>
            <wp:extent cx="5969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-1165225</wp:posOffset>
            </wp:positionV>
            <wp:extent cx="5143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-187960</wp:posOffset>
            </wp:positionV>
            <wp:extent cx="6032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-187960</wp:posOffset>
            </wp:positionV>
            <wp:extent cx="5969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Management and advisory contracts and finite lived trade names are amortized over 7 - 16 years and are being amortized in line with the economic benefits that are expected to occur. Technology is amortized on a straight-line basis over 4 years. The amortization expense for each of the next five years and thereafter are as follows:</w:t>
      </w:r>
    </w:p>
    <w:p>
      <w:pPr>
        <w:spacing w:after="0" w:line="221" w:lineRule="exact"/>
        <w:rPr>
          <w:sz w:val="20"/>
          <w:szCs w:val="20"/>
          <w:color w:val="auto"/>
        </w:rPr>
      </w:pPr>
    </w:p>
    <w:tbl>
      <w:tblPr>
        <w:tblLayout w:type="fixed"/>
        <w:tblInd w:w="2260" w:type="dxa"/>
        <w:tblCellMar>
          <w:top w:w="0" w:type="dxa"/>
          <w:left w:w="0" w:type="dxa"/>
          <w:bottom w:w="0" w:type="dxa"/>
          <w:right w:w="0" w:type="dxa"/>
        </w:tblCellMar>
      </w:tblPr>
      <w:tr>
        <w:trPr>
          <w:trHeight w:val="243"/>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6,300</w:t>
            </w:r>
          </w:p>
        </w:tc>
        <w:tc>
          <w:tcPr>
            <w:tcW w:w="60" w:type="dxa"/>
            <w:vAlign w:val="bottom"/>
            <w:shd w:val="clear" w:color="auto" w:fill="CFF0FC"/>
          </w:tcPr>
          <w:p>
            <w:pPr>
              <w:spacing w:after="0"/>
              <w:rPr>
                <w:sz w:val="21"/>
                <w:szCs w:val="21"/>
                <w:color w:val="auto"/>
              </w:rPr>
            </w:pPr>
          </w:p>
        </w:tc>
      </w:tr>
      <w:tr>
        <w:trPr>
          <w:trHeight w:val="239"/>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21,269</w:t>
            </w:r>
          </w:p>
        </w:tc>
        <w:tc>
          <w:tcPr>
            <w:tcW w:w="60" w:type="dxa"/>
            <w:vAlign w:val="bottom"/>
          </w:tcPr>
          <w:p>
            <w:pPr>
              <w:spacing w:after="0"/>
              <w:rPr>
                <w:sz w:val="20"/>
                <w:szCs w:val="20"/>
                <w:color w:val="auto"/>
              </w:rPr>
            </w:pPr>
          </w:p>
        </w:tc>
      </w:tr>
      <w:tr>
        <w:trPr>
          <w:trHeight w:val="247"/>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34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16,640</w:t>
            </w:r>
          </w:p>
        </w:tc>
        <w:tc>
          <w:tcPr>
            <w:tcW w:w="60" w:type="dxa"/>
            <w:vAlign w:val="bottom"/>
            <w:shd w:val="clear" w:color="auto" w:fill="CFF0FC"/>
          </w:tcPr>
          <w:p>
            <w:pPr>
              <w:spacing w:after="0"/>
              <w:rPr>
                <w:sz w:val="21"/>
                <w:szCs w:val="21"/>
                <w:color w:val="auto"/>
              </w:rPr>
            </w:pPr>
          </w:p>
        </w:tc>
      </w:tr>
      <w:tr>
        <w:trPr>
          <w:trHeight w:val="239"/>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13,307</w:t>
            </w:r>
          </w:p>
        </w:tc>
        <w:tc>
          <w:tcPr>
            <w:tcW w:w="60" w:type="dxa"/>
            <w:vAlign w:val="bottom"/>
          </w:tcPr>
          <w:p>
            <w:pPr>
              <w:spacing w:after="0"/>
              <w:rPr>
                <w:sz w:val="20"/>
                <w:szCs w:val="20"/>
                <w:color w:val="auto"/>
              </w:rPr>
            </w:pPr>
          </w:p>
        </w:tc>
      </w:tr>
      <w:tr>
        <w:trPr>
          <w:trHeight w:val="247"/>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34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9,986</w:t>
            </w:r>
          </w:p>
        </w:tc>
        <w:tc>
          <w:tcPr>
            <w:tcW w:w="60" w:type="dxa"/>
            <w:vAlign w:val="bottom"/>
            <w:shd w:val="clear" w:color="auto" w:fill="CFF0FC"/>
          </w:tcPr>
          <w:p>
            <w:pPr>
              <w:spacing w:after="0"/>
              <w:rPr>
                <w:sz w:val="21"/>
                <w:szCs w:val="21"/>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18,976</w:t>
            </w:r>
          </w:p>
        </w:tc>
        <w:tc>
          <w:tcPr>
            <w:tcW w:w="60" w:type="dxa"/>
            <w:vAlign w:val="bottom"/>
          </w:tcPr>
          <w:p>
            <w:pPr>
              <w:spacing w:after="0"/>
              <w:rPr>
                <w:sz w:val="21"/>
                <w:szCs w:val="21"/>
                <w:color w:val="auto"/>
              </w:rPr>
            </w:pPr>
          </w:p>
        </w:tc>
      </w:tr>
      <w:tr>
        <w:trPr>
          <w:trHeight w:val="250"/>
        </w:trPr>
        <w:tc>
          <w:tcPr>
            <w:tcW w:w="5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83"/>
        </w:trPr>
        <w:tc>
          <w:tcPr>
            <w:tcW w:w="5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amortization</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86,478</w:t>
            </w:r>
          </w:p>
        </w:tc>
        <w:tc>
          <w:tcPr>
            <w:tcW w:w="6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-24765</wp:posOffset>
            </wp:positionV>
            <wp:extent cx="431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-8255</wp:posOffset>
            </wp:positionV>
            <wp:extent cx="431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Fair Value Measurements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Instruments not recognized at Fair Value</w:t>
      </w:r>
    </w:p>
    <w:p>
      <w:pPr>
        <w:spacing w:after="0" w:line="12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Company measures certain liabilities at fair value on a recurring basis, which are discussed below. Our financial instruments not recognized at fair value were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5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4"/>
          </w:tcPr>
          <w:p>
            <w:pPr>
              <w:jc w:val="right"/>
              <w:ind w:right="513"/>
              <w:spacing w:after="0"/>
              <w:rPr>
                <w:sz w:val="20"/>
                <w:szCs w:val="20"/>
                <w:color w:val="auto"/>
              </w:rPr>
            </w:pPr>
            <w:r>
              <w:rPr>
                <w:rFonts w:ascii="Times New Roman" w:cs="Times New Roman" w:eastAsia="Times New Roman" w:hAnsi="Times New Roman"/>
                <w:sz w:val="13"/>
                <w:szCs w:val="13"/>
                <w:b w:val="1"/>
                <w:bCs w:val="1"/>
                <w:color w:val="auto"/>
              </w:rPr>
              <w:t>As of September 30, 2024</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4"/>
          </w:tcPr>
          <w:p>
            <w:pPr>
              <w:jc w:val="right"/>
              <w:ind w:right="513"/>
              <w:spacing w:after="0"/>
              <w:rPr>
                <w:sz w:val="20"/>
                <w:szCs w:val="20"/>
                <w:color w:val="auto"/>
              </w:rPr>
            </w:pPr>
            <w:r>
              <w:rPr>
                <w:rFonts w:ascii="Times New Roman" w:cs="Times New Roman" w:eastAsia="Times New Roman" w:hAnsi="Times New Roman"/>
                <w:sz w:val="13"/>
                <w:szCs w:val="13"/>
                <w:b w:val="1"/>
                <w:bCs w:val="1"/>
                <w:color w:val="auto"/>
              </w:rPr>
              <w:t>As of December 31, 2023</w:t>
            </w: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0"/>
        </w:trPr>
        <w:tc>
          <w:tcPr>
            <w:tcW w:w="3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Carrying Value</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Carrying Value</w:t>
            </w: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20" w:type="dxa"/>
            <w:vAlign w:val="bottom"/>
          </w:tcPr>
          <w:p>
            <w:pPr>
              <w:spacing w:after="0"/>
              <w:rPr>
                <w:sz w:val="14"/>
                <w:szCs w:val="14"/>
                <w:color w:val="auto"/>
              </w:rPr>
            </w:pPr>
          </w:p>
        </w:tc>
        <w:tc>
          <w:tcPr>
            <w:tcW w:w="1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rPr>
              <w:t>Fair Value Level</w:t>
            </w:r>
          </w:p>
        </w:tc>
        <w:tc>
          <w:tcPr>
            <w:tcW w:w="120" w:type="dxa"/>
            <w:vAlign w:val="bottom"/>
          </w:tcPr>
          <w:p>
            <w:pPr>
              <w:spacing w:after="0"/>
              <w:rPr>
                <w:sz w:val="14"/>
                <w:szCs w:val="14"/>
                <w:color w:val="auto"/>
              </w:rPr>
            </w:pPr>
          </w:p>
        </w:tc>
        <w:tc>
          <w:tcPr>
            <w:tcW w:w="7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Reference</w:t>
            </w:r>
          </w:p>
        </w:tc>
      </w:tr>
      <w:tr>
        <w:trPr>
          <w:trHeight w:val="169"/>
        </w:trPr>
        <w:tc>
          <w:tcPr>
            <w:tcW w:w="35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6"/>
        </w:trPr>
        <w:tc>
          <w:tcPr>
            <w:tcW w:w="35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Due from related party - Advisory Agreements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63,159</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37,231</w:t>
            </w:r>
          </w:p>
        </w:tc>
        <w:tc>
          <w:tcPr>
            <w:tcW w:w="3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49,877</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49,877</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Note 12</w:t>
            </w:r>
          </w:p>
        </w:tc>
      </w:tr>
      <w:tr>
        <w:trPr>
          <w:trHeight w:val="175"/>
        </w:trPr>
        <w:tc>
          <w:tcPr>
            <w:tcW w:w="35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5"/>
        </w:trPr>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Debt Obligations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319,411</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319,411</w:t>
            </w:r>
          </w:p>
        </w:tc>
        <w:tc>
          <w:tcPr>
            <w:tcW w:w="3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289,844</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289,844</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Note 11</w:t>
            </w:r>
          </w:p>
        </w:tc>
      </w:tr>
    </w:tbl>
    <w:p>
      <w:pPr>
        <w:spacing w:after="0" w:line="198"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2024 and December 31, 2023, debt obligations' carrying value approximates fair value due to the recent market transaction executed and the variable rate feature of these obligations.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Earnouts associated with the acquisitions of Bonaccord and Hark</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Included in total consideration of the acquisition of Bonaccord is an earnout payment not to exceed $20 million. The amount ultimately owed to the sellers is based on achieving specific fundraising targets and any amounts paid to the sellers is required to be paid by October 2027, at which point the earnout expires. Payments are made after each close. As of September 30, 2024, Bonaccord met the fundraising targets and the Company is responsible to pay the sellers the remaining $4.3 million of the earnout, which is expected to be paid by the end of the first quarter of 2025. The Company has paid $15.7 million since inception, of which $2.6 million was paid in the nine months ended September 30, 2024. Total remeasurement expense recognized for the three and nine months ended September 30, 2024 was $0.1 million and $0.2 million, respectively. Total remeasurement expense recognized for the three and nine months ended September 30, 2023 was $0.1 million and $0.5 million, respectively. This is included in contingent consideration expense on the Consolidated Statements of Operations. As</w:t>
      </w:r>
    </w:p>
    <w:p>
      <w:pPr>
        <w:sectPr>
          <w:pgSz w:w="11900" w:h="16838" w:orient="portrait"/>
          <w:cols w:equalWidth="0" w:num="1">
            <w:col w:w="11240"/>
          </w:cols>
          <w:pgMar w:left="320" w:top="765" w:right="339" w:bottom="1440" w:gutter="0" w:footer="0" w:header="0"/>
        </w:sectPr>
      </w:pP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315"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of September 30, 2024, all contingent consideration for the acquisitions of Hark and Bonaccord are considered fully earned. As a result, the liability transfers out of Level 3 fair value measurement as the liability is recorded at cost at the known payment amount. Until considered fully earned, the Company's contingent consideration was considered to be a Level 3 fair value measurement as the significant inputs are unobservable and require significant judgment or estimation. Following September 30, 2024, the Company has paid $2.1 million towards the remaining contingent consideration.</w:t>
      </w:r>
    </w:p>
    <w:p>
      <w:pPr>
        <w:spacing w:after="0" w:line="180" w:lineRule="exact"/>
        <w:rPr>
          <w:sz w:val="20"/>
          <w:szCs w:val="20"/>
          <w:color w:val="auto"/>
        </w:rPr>
      </w:pPr>
    </w:p>
    <w:p>
      <w:pPr>
        <w:ind w:right="120" w:firstLine="509"/>
        <w:spacing w:after="0" w:line="281" w:lineRule="auto"/>
        <w:rPr>
          <w:sz w:val="20"/>
          <w:szCs w:val="20"/>
          <w:color w:val="auto"/>
        </w:rPr>
      </w:pPr>
      <w:r>
        <w:rPr>
          <w:rFonts w:ascii="Times New Roman" w:cs="Times New Roman" w:eastAsia="Times New Roman" w:hAnsi="Times New Roman"/>
          <w:sz w:val="17"/>
          <w:szCs w:val="17"/>
          <w:color w:val="auto"/>
        </w:rPr>
        <w:t>Included in the total consideration of the acquisition of Hark is an earnout not to exceed $5.4 million. Total remeasurement expense recognized for the three and nine months ended September 30, 2024 totaled $0 and $0, respectively. Total remeasurement expense recognized for the three and nine months ended September 30, 2023, respectively, totaled $0 and $0.1 million, which was included in contingent consideration expense on the Consolidated Statements of Operations. The entirety of the Hark contingent consideration of $5.4 million was paid during the year ended December 31, 2023.</w:t>
      </w:r>
    </w:p>
    <w:p>
      <w:pPr>
        <w:spacing w:after="0" w:line="1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provide details regarding the classification of these liabilities within the fair value hierarchy as of the dates presented: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400" w:type="dxa"/>
            <w:vAlign w:val="bottom"/>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86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4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4400" w:type="dxa"/>
            <w:vAlign w:val="bottom"/>
          </w:tcPr>
          <w:p>
            <w:pPr>
              <w:spacing w:after="0"/>
              <w:rPr>
                <w:sz w:val="20"/>
                <w:szCs w:val="20"/>
                <w:color w:val="auto"/>
              </w:rPr>
            </w:pPr>
          </w:p>
        </w:tc>
        <w:tc>
          <w:tcPr>
            <w:tcW w:w="12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Level I</w:t>
            </w:r>
          </w:p>
        </w:tc>
        <w:tc>
          <w:tcPr>
            <w:tcW w:w="2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Level II</w:t>
            </w:r>
          </w:p>
        </w:tc>
        <w:tc>
          <w:tcPr>
            <w:tcW w:w="2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III</w:t>
            </w:r>
          </w:p>
        </w:tc>
        <w:tc>
          <w:tcPr>
            <w:tcW w:w="4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39"/>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3"/>
        </w:trPr>
        <w:tc>
          <w:tcPr>
            <w:tcW w:w="4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Contingent consideration obligation</w:t>
            </w:r>
          </w:p>
        </w:tc>
        <w:tc>
          <w:tcPr>
            <w:tcW w:w="1240" w:type="dxa"/>
            <w:vAlign w:val="bottom"/>
            <w:tcBorders>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60" w:type="dxa"/>
            <w:vAlign w:val="bottom"/>
            <w:tcBorders>
              <w:bottom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0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6,693</w:t>
            </w:r>
          </w:p>
        </w:tc>
        <w:tc>
          <w:tcPr>
            <w:tcW w:w="20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6,693</w:t>
            </w:r>
          </w:p>
        </w:tc>
        <w:tc>
          <w:tcPr>
            <w:tcW w:w="100" w:type="dxa"/>
            <w:vAlign w:val="bottom"/>
          </w:tcPr>
          <w:p>
            <w:pPr>
              <w:spacing w:after="0"/>
              <w:rPr>
                <w:sz w:val="21"/>
                <w:szCs w:val="21"/>
                <w:color w:val="auto"/>
              </w:rPr>
            </w:pPr>
          </w:p>
        </w:tc>
      </w:tr>
      <w:tr>
        <w:trPr>
          <w:trHeight w:val="277"/>
        </w:trPr>
        <w:tc>
          <w:tcPr>
            <w:tcW w:w="4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240" w:type="dxa"/>
            <w:vAlign w:val="bottom"/>
            <w:tcBorders>
              <w:bottom w:val="single" w:sz="8" w:color="auto"/>
            </w:tcBorders>
            <w:shd w:val="clear" w:color="auto" w:fill="CFF0FC"/>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4"/>
                <w:szCs w:val="24"/>
                <w:color w:val="auto"/>
              </w:rPr>
            </w:pPr>
          </w:p>
        </w:tc>
        <w:tc>
          <w:tcPr>
            <w:tcW w:w="1260" w:type="dxa"/>
            <w:vAlign w:val="bottom"/>
            <w:tcBorders>
              <w:bottom w:val="single" w:sz="8" w:color="auto"/>
            </w:tcBorders>
            <w:shd w:val="clear" w:color="auto" w:fill="CFF0FC"/>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auto"/>
            </w:tcBorders>
            <w:shd w:val="clear" w:color="auto" w:fill="CFF0FC"/>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6,693</w:t>
            </w:r>
          </w:p>
        </w:tc>
        <w:tc>
          <w:tcPr>
            <w:tcW w:w="2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-24765</wp:posOffset>
            </wp:positionV>
            <wp:extent cx="7747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-7620</wp:posOffset>
            </wp:positionV>
            <wp:extent cx="7747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-24765</wp:posOffset>
            </wp:positionV>
            <wp:extent cx="7747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-7620</wp:posOffset>
            </wp:positionV>
            <wp:extent cx="7747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-24765</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-7620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For the liabilities presented in the tables above, there were no changes in fair value hierarchy levels during the nine months ended September 30, 2024 and December 31, 2023.</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The changes in the fair value of Level III financial instruments are set forth below:</w:t>
            </w: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0"/>
        </w:trPr>
        <w:tc>
          <w:tcPr>
            <w:tcW w:w="7940" w:type="dxa"/>
            <w:vAlign w:val="bottom"/>
          </w:tcPr>
          <w:p>
            <w:pPr>
              <w:spacing w:after="0"/>
              <w:rPr>
                <w:sz w:val="24"/>
                <w:szCs w:val="24"/>
                <w:color w:val="auto"/>
              </w:rPr>
            </w:pPr>
          </w:p>
        </w:tc>
        <w:tc>
          <w:tcPr>
            <w:tcW w:w="3300" w:type="dxa"/>
            <w:vAlign w:val="bottom"/>
            <w:gridSpan w:val="6"/>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w:t>
            </w:r>
          </w:p>
        </w:tc>
      </w:tr>
      <w:tr>
        <w:trPr>
          <w:trHeight w:val="252"/>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Contingent Consideration Liability</w:t>
            </w:r>
          </w:p>
        </w:tc>
        <w:tc>
          <w:tcPr>
            <w:tcW w:w="9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4"/>
        </w:trPr>
        <w:tc>
          <w:tcPr>
            <w:tcW w:w="794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9"/>
        </w:trPr>
        <w:tc>
          <w:tcPr>
            <w:tcW w:w="7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beginning of year:</w:t>
            </w:r>
          </w:p>
        </w:tc>
        <w:tc>
          <w:tcPr>
            <w:tcW w:w="960" w:type="dxa"/>
            <w:vAlign w:val="bottom"/>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6,693</w:t>
            </w:r>
          </w:p>
        </w:tc>
        <w:tc>
          <w:tcPr>
            <w:tcW w:w="20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17,337</w:t>
            </w:r>
          </w:p>
        </w:tc>
        <w:tc>
          <w:tcPr>
            <w:tcW w:w="100" w:type="dxa"/>
            <w:vAlign w:val="bottom"/>
            <w:shd w:val="clear" w:color="auto" w:fill="CFF0FC"/>
          </w:tcPr>
          <w:p>
            <w:pPr>
              <w:spacing w:after="0"/>
              <w:rPr>
                <w:sz w:val="20"/>
                <w:szCs w:val="20"/>
                <w:color w:val="auto"/>
              </w:rPr>
            </w:pPr>
          </w:p>
        </w:tc>
      </w:tr>
      <w:tr>
        <w:trPr>
          <w:trHeight w:val="239"/>
        </w:trPr>
        <w:tc>
          <w:tcPr>
            <w:tcW w:w="7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w:t>
            </w:r>
          </w:p>
        </w:tc>
        <w:tc>
          <w:tcPr>
            <w:tcW w:w="9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Pr>
          <w:p>
            <w:pPr>
              <w:spacing w:after="0"/>
              <w:rPr>
                <w:sz w:val="20"/>
                <w:szCs w:val="20"/>
                <w:color w:val="auto"/>
              </w:rPr>
            </w:pPr>
          </w:p>
        </w:tc>
      </w:tr>
      <w:tr>
        <w:trPr>
          <w:trHeight w:val="247"/>
        </w:trPr>
        <w:tc>
          <w:tcPr>
            <w:tcW w:w="7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Settlements</w:t>
            </w:r>
          </w:p>
        </w:tc>
        <w:tc>
          <w:tcPr>
            <w:tcW w:w="96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(2,565 )</w:t>
            </w:r>
          </w:p>
        </w:tc>
        <w:tc>
          <w:tcPr>
            <w:tcW w:w="34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(9,686 )</w:t>
            </w:r>
          </w:p>
        </w:tc>
      </w:tr>
      <w:tr>
        <w:trPr>
          <w:trHeight w:val="243"/>
        </w:trPr>
        <w:tc>
          <w:tcPr>
            <w:tcW w:w="7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Transfers out of level 3 measurement</w:t>
            </w:r>
          </w:p>
        </w:tc>
        <w:tc>
          <w:tcPr>
            <w:tcW w:w="960" w:type="dxa"/>
            <w:vAlign w:val="bottom"/>
          </w:tcPr>
          <w:p>
            <w:pPr>
              <w:spacing w:after="0"/>
              <w:rPr>
                <w:sz w:val="21"/>
                <w:szCs w:val="21"/>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(4,288 )</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r>
      <w:tr>
        <w:trPr>
          <w:trHeight w:val="276"/>
        </w:trPr>
        <w:tc>
          <w:tcPr>
            <w:tcW w:w="7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960" w:type="dxa"/>
            <w:vAlign w:val="bottom"/>
            <w:tcBorders>
              <w:top w:val="single" w:sz="8" w:color="auto"/>
              <w:bottom w:val="single" w:sz="8" w:color="auto"/>
            </w:tcBorders>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-24765</wp:posOffset>
            </wp:positionV>
            <wp:extent cx="6858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-7620</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Until transferred out of Level 3 fair value measurement, the fair value of the contingent consideration liability represents the fair value of future payments upon satisfaction of performance targets. The assumptions used in the analysis are inherently subjective; therefore, the ultimate amount of the contingent consideration liability primarily relate to the expected future payments of obligations with a discount rate applied. The contingent consideration liability is included in contingent consideration on the Consolidated Balance Sheets. Changes in the fair value of the liability are included in contingent consideration expense on the Consolidated Statements of Operations.</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Debt Obligations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Debt obligations consists of the following:</w:t>
      </w:r>
    </w:p>
    <w:p>
      <w:pPr>
        <w:spacing w:after="0" w:line="259" w:lineRule="exact"/>
        <w:rPr>
          <w:sz w:val="20"/>
          <w:szCs w:val="20"/>
          <w:color w:val="auto"/>
        </w:rPr>
      </w:pPr>
    </w:p>
    <w:tbl>
      <w:tblPr>
        <w:tblLayout w:type="fixed"/>
        <w:tblInd w:w="1700" w:type="dxa"/>
        <w:tblCellMar>
          <w:top w:w="0" w:type="dxa"/>
          <w:left w:w="0" w:type="dxa"/>
          <w:bottom w:w="0" w:type="dxa"/>
          <w:right w:w="0" w:type="dxa"/>
        </w:tblCellMar>
      </w:tblPr>
      <w:tr>
        <w:trPr>
          <w:trHeight w:val="176"/>
        </w:trPr>
        <w:tc>
          <w:tcPr>
            <w:tcW w:w="5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20" w:type="dxa"/>
            <w:vAlign w:val="bottom"/>
          </w:tcPr>
          <w:p>
            <w:pPr>
              <w:spacing w:after="0"/>
              <w:rPr>
                <w:sz w:val="15"/>
                <w:szCs w:val="15"/>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As of</w:t>
            </w:r>
          </w:p>
        </w:tc>
      </w:tr>
      <w:tr>
        <w:trPr>
          <w:trHeight w:val="176"/>
        </w:trPr>
        <w:tc>
          <w:tcPr>
            <w:tcW w:w="5520" w:type="dxa"/>
            <w:vAlign w:val="bottom"/>
          </w:tcPr>
          <w:p>
            <w:pPr>
              <w:spacing w:after="0"/>
              <w:rPr>
                <w:sz w:val="15"/>
                <w:szCs w:val="15"/>
                <w:color w:val="auto"/>
              </w:rPr>
            </w:pPr>
          </w:p>
        </w:tc>
        <w:tc>
          <w:tcPr>
            <w:tcW w:w="12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55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r>
      <w:tr>
        <w:trPr>
          <w:trHeight w:val="237"/>
        </w:trPr>
        <w:tc>
          <w:tcPr>
            <w:tcW w:w="5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Revolver facility</w:t>
            </w:r>
          </w:p>
        </w:tc>
        <w:tc>
          <w:tcPr>
            <w:tcW w:w="2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90,700</w:t>
            </w:r>
          </w:p>
        </w:tc>
        <w:tc>
          <w:tcPr>
            <w:tcW w:w="80" w:type="dxa"/>
            <w:vAlign w:val="bottom"/>
            <w:shd w:val="clear" w:color="auto" w:fill="CFF0FC"/>
          </w:tcPr>
          <w:p>
            <w:pPr>
              <w:spacing w:after="0"/>
              <w:rPr>
                <w:sz w:val="21"/>
                <w:szCs w:val="21"/>
                <w:color w:val="auto"/>
              </w:rPr>
            </w:pPr>
          </w:p>
        </w:tc>
      </w:tr>
      <w:tr>
        <w:trPr>
          <w:trHeight w:val="23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Debt issuance costs</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(3,540 )</w:t>
            </w:r>
          </w:p>
        </w:tc>
        <w:tc>
          <w:tcPr>
            <w:tcW w:w="22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(1,848 )</w:t>
            </w:r>
          </w:p>
        </w:tc>
      </w:tr>
      <w:tr>
        <w:trPr>
          <w:trHeight w:val="20"/>
        </w:trPr>
        <w:tc>
          <w:tcPr>
            <w:tcW w:w="55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Revolver facility, net</w:t>
            </w:r>
          </w:p>
        </w:tc>
        <w:tc>
          <w:tcPr>
            <w:tcW w:w="2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(3,540 )</w:t>
            </w:r>
          </w:p>
        </w:tc>
        <w:tc>
          <w:tcPr>
            <w:tcW w:w="2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88,852</w:t>
            </w:r>
          </w:p>
        </w:tc>
        <w:tc>
          <w:tcPr>
            <w:tcW w:w="80" w:type="dxa"/>
            <w:vAlign w:val="bottom"/>
            <w:shd w:val="clear" w:color="auto" w:fill="CFF0FC"/>
          </w:tcPr>
          <w:p>
            <w:pPr>
              <w:spacing w:after="0"/>
              <w:rPr>
                <w:sz w:val="20"/>
                <w:szCs w:val="20"/>
                <w:color w:val="auto"/>
              </w:rPr>
            </w:pPr>
          </w:p>
        </w:tc>
      </w:tr>
      <w:tr>
        <w:trPr>
          <w:trHeight w:val="477"/>
        </w:trPr>
        <w:tc>
          <w:tcPr>
            <w:tcW w:w="55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Term Loan</w:t>
            </w:r>
          </w:p>
        </w:tc>
        <w:tc>
          <w:tcPr>
            <w:tcW w:w="24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325,000</w:t>
            </w:r>
          </w:p>
        </w:tc>
        <w:tc>
          <w:tcPr>
            <w:tcW w:w="18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201,875</w:t>
            </w:r>
          </w:p>
        </w:tc>
        <w:tc>
          <w:tcPr>
            <w:tcW w:w="80" w:type="dxa"/>
            <w:vAlign w:val="bottom"/>
            <w:tcBorders>
              <w:top w:val="single" w:sz="8" w:color="CFF0FC"/>
            </w:tcBorders>
          </w:tcPr>
          <w:p>
            <w:pPr>
              <w:spacing w:after="0"/>
              <w:rPr>
                <w:sz w:val="24"/>
                <w:szCs w:val="24"/>
                <w:color w:val="auto"/>
              </w:rPr>
            </w:pPr>
          </w:p>
        </w:tc>
      </w:tr>
      <w:tr>
        <w:trPr>
          <w:trHeight w:val="245"/>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Debt issuance costs</w:t>
            </w:r>
          </w:p>
        </w:tc>
        <w:tc>
          <w:tcPr>
            <w:tcW w:w="24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(2,049 )</w:t>
            </w:r>
          </w:p>
        </w:tc>
        <w:tc>
          <w:tcPr>
            <w:tcW w:w="22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(883 )</w:t>
            </w:r>
          </w:p>
        </w:tc>
      </w:tr>
      <w:tr>
        <w:trPr>
          <w:trHeight w:val="237"/>
        </w:trPr>
        <w:tc>
          <w:tcPr>
            <w:tcW w:w="55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Term loan, net</w:t>
            </w:r>
          </w:p>
        </w:tc>
        <w:tc>
          <w:tcPr>
            <w:tcW w:w="24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322,951</w:t>
            </w:r>
          </w:p>
        </w:tc>
        <w:tc>
          <w:tcPr>
            <w:tcW w:w="18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200,992</w:t>
            </w:r>
          </w:p>
        </w:tc>
        <w:tc>
          <w:tcPr>
            <w:tcW w:w="80" w:type="dxa"/>
            <w:vAlign w:val="bottom"/>
            <w:tcBorders>
              <w:top w:val="single" w:sz="8" w:color="CFF0FC"/>
            </w:tcBorders>
          </w:tcPr>
          <w:p>
            <w:pPr>
              <w:spacing w:after="0"/>
              <w:rPr>
                <w:sz w:val="20"/>
                <w:szCs w:val="20"/>
                <w:color w:val="auto"/>
              </w:rPr>
            </w:pPr>
          </w:p>
        </w:tc>
      </w:tr>
      <w:tr>
        <w:trPr>
          <w:trHeight w:val="276"/>
        </w:trPr>
        <w:tc>
          <w:tcPr>
            <w:tcW w:w="5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debt obligations, net</w:t>
            </w:r>
          </w:p>
        </w:tc>
        <w:tc>
          <w:tcPr>
            <w:tcW w:w="24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319,411</w:t>
            </w:r>
          </w:p>
        </w:tc>
        <w:tc>
          <w:tcPr>
            <w:tcW w:w="1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289,844</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-822325</wp:posOffset>
            </wp:positionV>
            <wp:extent cx="5143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-822325</wp:posOffset>
            </wp:positionV>
            <wp:extent cx="5143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-350520</wp:posOffset>
            </wp:positionV>
            <wp:extent cx="5143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-350520</wp:posOffset>
            </wp:positionV>
            <wp:extent cx="5143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-25400</wp:posOffset>
            </wp:positionV>
            <wp:extent cx="5143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-7620</wp:posOffset>
            </wp:positionV>
            <wp:extent cx="5143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-25400</wp:posOffset>
            </wp:positionV>
            <wp:extent cx="5143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5143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7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3"/>
          </w:tcPr>
          <w:p>
            <w:pPr>
              <w:ind w:left="1360"/>
              <w:spacing w:after="0"/>
              <w:rPr>
                <w:sz w:val="20"/>
                <w:szCs w:val="20"/>
                <w:color w:val="auto"/>
              </w:rPr>
            </w:pPr>
            <w:r>
              <w:rPr>
                <w:rFonts w:ascii="Times New Roman" w:cs="Times New Roman" w:eastAsia="Times New Roman" w:hAnsi="Times New Roman"/>
                <w:sz w:val="13"/>
                <w:szCs w:val="13"/>
                <w:b w:val="1"/>
                <w:bCs w:val="1"/>
                <w:color w:val="auto"/>
                <w:w w:val="99"/>
              </w:rPr>
              <w:t>September 30, 2024</w:t>
            </w:r>
          </w:p>
        </w:tc>
        <w:tc>
          <w:tcPr>
            <w:tcW w:w="1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r>
      <w:tr>
        <w:trPr>
          <w:trHeight w:val="157"/>
        </w:trPr>
        <w:tc>
          <w:tcPr>
            <w:tcW w:w="3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Principal Amount</w:t>
            </w:r>
          </w:p>
        </w:tc>
        <w:tc>
          <w:tcPr>
            <w:tcW w:w="240" w:type="dxa"/>
            <w:vAlign w:val="bottom"/>
          </w:tcPr>
          <w:p>
            <w:pPr>
              <w:spacing w:after="0"/>
              <w:rPr>
                <w:sz w:val="13"/>
                <w:szCs w:val="13"/>
                <w:color w:val="auto"/>
              </w:rPr>
            </w:pPr>
          </w:p>
        </w:tc>
        <w:tc>
          <w:tcPr>
            <w:tcW w:w="2460" w:type="dxa"/>
            <w:vAlign w:val="bottom"/>
            <w:gridSpan w:val="3"/>
          </w:tcPr>
          <w:p>
            <w:pPr>
              <w:ind w:left="600"/>
              <w:spacing w:after="0"/>
              <w:rPr>
                <w:sz w:val="20"/>
                <w:szCs w:val="20"/>
                <w:color w:val="auto"/>
              </w:rPr>
            </w:pPr>
            <w:r>
              <w:rPr>
                <w:rFonts w:ascii="Times New Roman" w:cs="Times New Roman" w:eastAsia="Times New Roman" w:hAnsi="Times New Roman"/>
                <w:sz w:val="13"/>
                <w:szCs w:val="13"/>
                <w:b w:val="1"/>
                <w:bCs w:val="1"/>
                <w:color w:val="auto"/>
              </w:rPr>
              <w:t>Base Rate</w:t>
            </w:r>
          </w:p>
        </w:tc>
        <w:tc>
          <w:tcPr>
            <w:tcW w:w="1460" w:type="dxa"/>
            <w:vAlign w:val="bottom"/>
            <w:gridSpan w:val="2"/>
          </w:tcPr>
          <w:p>
            <w:pPr>
              <w:jc w:val="right"/>
              <w:ind w:right="780"/>
              <w:spacing w:after="0"/>
              <w:rPr>
                <w:sz w:val="20"/>
                <w:szCs w:val="20"/>
                <w:color w:val="auto"/>
              </w:rPr>
            </w:pPr>
            <w:r>
              <w:rPr>
                <w:rFonts w:ascii="Times New Roman" w:cs="Times New Roman" w:eastAsia="Times New Roman" w:hAnsi="Times New Roman"/>
                <w:sz w:val="13"/>
                <w:szCs w:val="13"/>
                <w:b w:val="1"/>
                <w:bCs w:val="1"/>
                <w:color w:val="auto"/>
              </w:rPr>
              <w:t>SOFR Rate</w:t>
            </w:r>
          </w:p>
        </w:tc>
        <w:tc>
          <w:tcPr>
            <w:tcW w:w="1720" w:type="dxa"/>
            <w:vAlign w:val="bottom"/>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Rate Expiration Date</w:t>
            </w:r>
          </w:p>
        </w:tc>
      </w:tr>
      <w:tr>
        <w:trPr>
          <w:trHeight w:val="318"/>
        </w:trPr>
        <w:tc>
          <w:tcPr>
            <w:tcW w:w="37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7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r>
      <w:tr>
        <w:trPr>
          <w:trHeight w:val="162"/>
        </w:trPr>
        <w:tc>
          <w:tcPr>
            <w:tcW w:w="3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Term Loan</w:t>
            </w:r>
          </w:p>
        </w:tc>
        <w:tc>
          <w:tcPr>
            <w:tcW w:w="20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325,000</w:t>
            </w:r>
          </w:p>
        </w:tc>
        <w:tc>
          <w:tcPr>
            <w:tcW w:w="2200" w:type="dxa"/>
            <w:vAlign w:val="bottom"/>
            <w:tcBorders>
              <w:bottom w:val="single" w:sz="8" w:color="CFF0FC"/>
            </w:tcBorders>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2.60 %</w:t>
            </w:r>
          </w:p>
        </w:tc>
        <w:tc>
          <w:tcPr>
            <w:tcW w:w="500" w:type="dxa"/>
            <w:vAlign w:val="bottom"/>
            <w:tcBorders>
              <w:bottom w:val="single" w:sz="8" w:color="CFF0FC"/>
            </w:tcBorders>
            <w:shd w:val="clear" w:color="auto" w:fill="CFF0FC"/>
          </w:tcPr>
          <w:p>
            <w:pPr>
              <w:spacing w:after="0"/>
              <w:rPr>
                <w:sz w:val="14"/>
                <w:szCs w:val="14"/>
                <w:color w:val="auto"/>
              </w:rPr>
            </w:pPr>
          </w:p>
        </w:tc>
        <w:tc>
          <w:tcPr>
            <w:tcW w:w="146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5.08 %</w:t>
            </w:r>
          </w:p>
        </w:tc>
        <w:tc>
          <w:tcPr>
            <w:tcW w:w="1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2/1/2025</w:t>
            </w:r>
          </w:p>
        </w:tc>
      </w:tr>
      <w:tr>
        <w:trPr>
          <w:trHeight w:val="156"/>
        </w:trPr>
        <w:tc>
          <w:tcPr>
            <w:tcW w:w="3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325,000</w:t>
            </w:r>
          </w:p>
        </w:tc>
        <w:tc>
          <w:tcPr>
            <w:tcW w:w="2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20" w:type="dxa"/>
            <w:vAlign w:val="bottom"/>
          </w:tcPr>
          <w:p>
            <w:pPr>
              <w:spacing w:after="0"/>
              <w:rPr>
                <w:sz w:val="13"/>
                <w:szCs w:val="13"/>
                <w:color w:val="auto"/>
              </w:rPr>
            </w:pPr>
          </w:p>
        </w:tc>
      </w:tr>
      <w:tr>
        <w:trPr>
          <w:trHeight w:val="20"/>
        </w:trPr>
        <w:tc>
          <w:tcPr>
            <w:tcW w:w="3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-136525</wp:posOffset>
            </wp:positionV>
            <wp:extent cx="7683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Revolving Credit Facility and Term Loan</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On December 22, 2021, the Company entered into a credit agreement (the "Credit Agreement") with JPMorgan, in its capacity as administrative agent and collateral agent, and Texas Capital Bank, as joint lead arrangers and joint bookrunners, and the other loan parties party thereto. The Credit Agreement consists of two facilities. The first is a revolving credit facility with an available balance of $125 million (the "Revolver Facility"). The second is a term loan for $125 million (the "Term Loan"). In addition to the Term Loan and Revolver Facility, the Credit Agreement also includes a $125 million accordion feature. In October 2022, the accordion feature was exercised with a split of $87.5 million worth of term loan and $37.5 million of revolver. On August 1, 2024, the Company entered into a restatement agreement, which amends and restates the Credit Agreement (the "Amended and Restated Credit Agreement"). The Amended and Restated Credit Agreement provides for a new senior secured revolving credit facility in the amount of $175 million, with a $10 million sublimit for the issuance of letters of credit (the "New Revolving Facility"), and a new senior secured term loan facility in the amount of $325 million (the "New Term Loan" and, together with the New Revolving Facility, the "New Credit Facilities"). The New Credit Facilities were to be used to refinance and replace the credit facilities under the Credit Agreement and for general corporate purposes, including acquisitions.</w:t>
      </w:r>
    </w:p>
    <w:p>
      <w:pPr>
        <w:spacing w:after="0" w:line="194"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The New Credit Facilities are "Term SOFR Loans" meaning loans bearing interest based upon the "Adjusted Term SOFR Rate". The Adjusted Term SOFR Rate is the Secured Overnight Financing Rate ("SOFR") at the date of election, plus 2.60%. The Company can elect one or three months for the New Revolver Facility and one, three, or six months for the New Term Loan, which the Company elected a six month SOFR rate on the New Term Loan.</w:t>
      </w:r>
    </w:p>
    <w:p>
      <w:pPr>
        <w:spacing w:after="0" w:line="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Principal for the New Term Loan is contractually repaid at a rate of 1.25% on the New Term Loan quarterly effective December 31, 2025. The New Revolving Credit Facility has no contractual principal repayments until maturity, which is August 1, 2028 for both facilities. The New Credit Facilities are guaranteed by the Company's subsidiaries, subject to customary exceptions, and are secured by liens on substantially all assets of the Company, P10 Intermediate and the Company's guarantor subsidiaries, subject to customary exceptions.</w:t>
      </w:r>
    </w:p>
    <w:p>
      <w:pPr>
        <w:spacing w:after="0" w:line="18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Amended and Restated Credit Agreement contains affirmative and negative covenants typical of such financing transactions, and specific financial covenants which require P10 to maintain a minimum leverage ratio. As of September 30, 2024, P10 was in compliance with its financial and other covenants required under the facility. For the three and nine months ended September 30, 2024, $6.3 million and $17.5 million of interest expense was incurred, respectively. For the three and nine months ended September 30, 2023, $5.1 million and $15.0 million of interest expense was incurred, respectively.</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5" w:name="page26"/>
    <w:bookmarkEnd w:id="2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Payable</w:t>
      </w:r>
    </w:p>
    <w:p>
      <w:pPr>
        <w:spacing w:after="0" w:line="121"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630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w w:val="99"/>
              </w:rPr>
              <w:t>Future principal maturities of debt as of September 30, 2024 are as follows:</w:t>
            </w:r>
          </w:p>
        </w:tc>
        <w:tc>
          <w:tcPr>
            <w:tcW w:w="8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40" w:type="dxa"/>
            <w:vAlign w:val="bottom"/>
            <w:vMerge w:val="restart"/>
          </w:tcPr>
          <w:p>
            <w:pPr>
              <w:spacing w:after="0"/>
              <w:rPr>
                <w:sz w:val="21"/>
                <w:szCs w:val="21"/>
                <w:color w:val="auto"/>
              </w:rPr>
            </w:pPr>
          </w:p>
        </w:tc>
        <w:tc>
          <w:tcPr>
            <w:tcW w:w="45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40" w:type="dxa"/>
            <w:vAlign w:val="bottom"/>
            <w:vMerge w:val="continue"/>
          </w:tcPr>
          <w:p>
            <w:pPr>
              <w:spacing w:after="0"/>
              <w:rPr>
                <w:sz w:val="21"/>
                <w:szCs w:val="21"/>
                <w:color w:val="auto"/>
              </w:rPr>
            </w:pPr>
          </w:p>
        </w:tc>
        <w:tc>
          <w:tcPr>
            <w:tcW w:w="4560" w:type="dxa"/>
            <w:vAlign w:val="bottom"/>
            <w:shd w:val="clear" w:color="auto" w:fill="CFF0FC"/>
          </w:tcPr>
          <w:p>
            <w:pPr>
              <w:jc w:val="right"/>
              <w:ind w:right="4110"/>
              <w:spacing w:after="0"/>
              <w:rPr>
                <w:sz w:val="20"/>
                <w:szCs w:val="20"/>
                <w:color w:val="auto"/>
              </w:rPr>
            </w:pPr>
            <w:r>
              <w:rPr>
                <w:rFonts w:ascii="Times New Roman" w:cs="Times New Roman" w:eastAsia="Times New Roman" w:hAnsi="Times New Roman"/>
                <w:sz w:val="18"/>
                <w:szCs w:val="18"/>
                <w:color w:val="auto"/>
                <w:w w:val="94"/>
              </w:rPr>
              <w:t>2024</w:t>
            </w:r>
          </w:p>
        </w:tc>
        <w:tc>
          <w:tcPr>
            <w:tcW w:w="800" w:type="dxa"/>
            <w:vAlign w:val="bottom"/>
            <w:shd w:val="clear" w:color="auto" w:fill="CFF0FC"/>
          </w:tcPr>
          <w:p>
            <w:pPr>
              <w:jc w:val="right"/>
              <w:ind w:right="63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740" w:type="dxa"/>
            <w:vAlign w:val="bottom"/>
          </w:tcPr>
          <w:p>
            <w:pPr>
              <w:spacing w:after="0"/>
              <w:rPr>
                <w:sz w:val="20"/>
                <w:szCs w:val="20"/>
                <w:color w:val="auto"/>
              </w:rPr>
            </w:pPr>
          </w:p>
        </w:tc>
        <w:tc>
          <w:tcPr>
            <w:tcW w:w="4560" w:type="dxa"/>
            <w:vAlign w:val="bottom"/>
          </w:tcPr>
          <w:p>
            <w:pPr>
              <w:jc w:val="right"/>
              <w:ind w:right="4110"/>
              <w:spacing w:after="0"/>
              <w:rPr>
                <w:sz w:val="20"/>
                <w:szCs w:val="20"/>
                <w:color w:val="auto"/>
              </w:rPr>
            </w:pPr>
            <w:r>
              <w:rPr>
                <w:rFonts w:ascii="Times New Roman" w:cs="Times New Roman" w:eastAsia="Times New Roman" w:hAnsi="Times New Roman"/>
                <w:sz w:val="18"/>
                <w:szCs w:val="18"/>
                <w:color w:val="auto"/>
                <w:w w:val="94"/>
              </w:rPr>
              <w:t>2025</w:t>
            </w:r>
          </w:p>
        </w:tc>
        <w:tc>
          <w:tcPr>
            <w:tcW w:w="8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1"/>
                <w:szCs w:val="21"/>
                <w:color w:val="auto"/>
              </w:rPr>
            </w:pPr>
          </w:p>
        </w:tc>
        <w:tc>
          <w:tcPr>
            <w:tcW w:w="4560" w:type="dxa"/>
            <w:vAlign w:val="bottom"/>
            <w:shd w:val="clear" w:color="auto" w:fill="CFF0FC"/>
          </w:tcPr>
          <w:p>
            <w:pPr>
              <w:jc w:val="right"/>
              <w:ind w:right="4110"/>
              <w:spacing w:after="0"/>
              <w:rPr>
                <w:sz w:val="20"/>
                <w:szCs w:val="20"/>
                <w:color w:val="auto"/>
              </w:rPr>
            </w:pPr>
            <w:r>
              <w:rPr>
                <w:rFonts w:ascii="Times New Roman" w:cs="Times New Roman" w:eastAsia="Times New Roman" w:hAnsi="Times New Roman"/>
                <w:sz w:val="18"/>
                <w:szCs w:val="18"/>
                <w:color w:val="auto"/>
                <w:w w:val="94"/>
              </w:rPr>
              <w:t>2026</w:t>
            </w:r>
          </w:p>
        </w:tc>
        <w:tc>
          <w:tcPr>
            <w:tcW w:w="80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16,250</w:t>
            </w:r>
          </w:p>
        </w:tc>
        <w:tc>
          <w:tcPr>
            <w:tcW w:w="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740" w:type="dxa"/>
            <w:vAlign w:val="bottom"/>
          </w:tcPr>
          <w:p>
            <w:pPr>
              <w:spacing w:after="0"/>
              <w:rPr>
                <w:sz w:val="20"/>
                <w:szCs w:val="20"/>
                <w:color w:val="auto"/>
              </w:rPr>
            </w:pPr>
          </w:p>
        </w:tc>
        <w:tc>
          <w:tcPr>
            <w:tcW w:w="4560" w:type="dxa"/>
            <w:vAlign w:val="bottom"/>
          </w:tcPr>
          <w:p>
            <w:pPr>
              <w:jc w:val="right"/>
              <w:ind w:right="4110"/>
              <w:spacing w:after="0"/>
              <w:rPr>
                <w:sz w:val="20"/>
                <w:szCs w:val="20"/>
                <w:color w:val="auto"/>
              </w:rPr>
            </w:pPr>
            <w:r>
              <w:rPr>
                <w:rFonts w:ascii="Times New Roman" w:cs="Times New Roman" w:eastAsia="Times New Roman" w:hAnsi="Times New Roman"/>
                <w:sz w:val="18"/>
                <w:szCs w:val="18"/>
                <w:color w:val="auto"/>
                <w:w w:val="94"/>
              </w:rPr>
              <w:t>2027</w:t>
            </w:r>
          </w:p>
        </w:tc>
        <w:tc>
          <w:tcPr>
            <w:tcW w:w="8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740" w:type="dxa"/>
            <w:vAlign w:val="bottom"/>
          </w:tcPr>
          <w:p>
            <w:pPr>
              <w:spacing w:after="0"/>
              <w:rPr>
                <w:sz w:val="21"/>
                <w:szCs w:val="21"/>
                <w:color w:val="auto"/>
              </w:rPr>
            </w:pPr>
          </w:p>
        </w:tc>
        <w:tc>
          <w:tcPr>
            <w:tcW w:w="4560" w:type="dxa"/>
            <w:vAlign w:val="bottom"/>
            <w:tcBorders>
              <w:bottom w:val="single" w:sz="8" w:color="CFF0FC"/>
            </w:tcBorders>
            <w:shd w:val="clear" w:color="auto" w:fill="CFF0FC"/>
          </w:tcPr>
          <w:p>
            <w:pPr>
              <w:jc w:val="right"/>
              <w:ind w:right="4110"/>
              <w:spacing w:after="0"/>
              <w:rPr>
                <w:sz w:val="20"/>
                <w:szCs w:val="20"/>
                <w:color w:val="auto"/>
              </w:rPr>
            </w:pPr>
            <w:r>
              <w:rPr>
                <w:rFonts w:ascii="Times New Roman" w:cs="Times New Roman" w:eastAsia="Times New Roman" w:hAnsi="Times New Roman"/>
                <w:sz w:val="18"/>
                <w:szCs w:val="18"/>
                <w:color w:val="auto"/>
                <w:w w:val="94"/>
              </w:rPr>
              <w:t>2028</w:t>
            </w:r>
          </w:p>
        </w:tc>
        <w:tc>
          <w:tcPr>
            <w:tcW w:w="80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288,437</w:t>
            </w:r>
          </w:p>
        </w:tc>
        <w:tc>
          <w:tcPr>
            <w:tcW w:w="6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74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80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-187960</wp:posOffset>
            </wp:positionV>
            <wp:extent cx="4318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Related Party Transactions</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Effective January 1, 2021, the Company entered into a sublease with 210 Capital, LLC, a related party, for office space serving as our corporate headquarters. The monthly rent expense is $20.3 thousand, and the lease expires December 31, 2029. In the fourth quarter of 2022, the Company sublet an additional amount of office space in the corporate headquarters. This contributed an additional $3.4 thousand monthly. P10 has paid $0.1 million and $0.2 million in rent to 210 Capital, LLC for the three and nine months ended September 30, 2024, respectively, and $0.1 million and $0.2 million for the three and nine months ended September 30, 2023, respectively.</w:t>
      </w:r>
    </w:p>
    <w:p>
      <w:pPr>
        <w:spacing w:after="0" w:line="183"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As described in Note 1, through its subsidiaries, the Company serves as the investment manager to the Funds. Certain expenses incurred by the Funds are paid upfront and are reimbursed from the Funds as permissible per fund agreements. As of September 30, 2024, the total accounts receivable from the Funds totaled $25.2 million, of which $9.1 million related to reimbursable expenses and $16.1 million related to fees earned but not yet received. As of December 31, 2023, the total accounts receivable from the Funds totaled $18.9 million, of which $5.5 million related to reimbursable expenses and $13.4 million related to fees earned but not yet received. Reimbursable expenses and fees earned but not yet received are included in due from related parties and accounts receivable on the Consolidated Balance Sheets, respectively. In certain instances, the Company may incur expenses related to specific products that never materialize and therefore would not be reimbursed and expensed at that time.</w:t>
      </w:r>
    </w:p>
    <w:p>
      <w:pPr>
        <w:spacing w:after="0" w:line="18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Upon the closing of the Company’s acquisition of ECG and ECP, the Advisory Agreement between ECG and Enhanced PC immediately became effective. Under this agreement, ECG provides advisory services to Enhanced PC related to the assets and operations of the permanent capital subsidiaries owned by Enhanced PC, as contributed by both ECG and ECP. ECG provides advisory services relating to new projects undertaken by Enhanced PC under additional arrangements governed by the terms of the Advisory Agreement. In exchange for those services, which commenced on January 1, 2021, ECG receives advisory fees from Enhanced PC based on a declining fixed fee schedule, that is commensurate with the level of services being performed as the projects expire. The Company allocates a portion of the consideration received under this arrangement to a financing component when it determines that a significant financing component exists. As of September 30, 2024, certain of the Company's contracts with Enhanced PC contained a significant financing component, as a result of the Company's expectation that the period between services being provided and cash collection will exceed one year. Interest income related to the identified significant financing component was $12.5 thousand and $18.1 thousand for the three and nine months ended September 30, 2024, respectively. No significant financing components were identified for the three and nine months ended September 30, 2023. As of September 30, 2024, the total advisory fees are $115.1 million over ten years. These agreements are subject to customary termination provisions. Since inception, $74.8 million of the total $115.1 million advisory fees have been recognized as revenue. There was $40.3 million in remaining performance obligations related to these agreements, which will be recognized between July 1, 2024 and December 31, 2031. For the three and nine months ended September 30, 2024, advisory fees earned or recognized under these agreements were $4.4 million and $12.8 million, respectively, and $5.3 million and $15.5 million for the three and nine months ended September 30, 2023, respectively, and is reported in management and advisory fees on the Consolidated Statements of Operations. The Company invoices Enhanced PC quarterly in arrears and earns interest on balances not paid within 30 days. Revenues from interest were $0.3 million and $0.8 million for the three and nine months ended September 30, 2024, respectively, and $0.2 million and $0.5 million for the three and nine months ended September 30, 2023, respectively, which is included in management and advisory fees on the Consolidated Statements of Operations. As of September 30, 2024 and December 31, 2023, the associated receivable was $61.3 million and $48.5 million, respectively, and is included in due from related parties on the Consolidated Balance Sheets. Payment is expected to be collected as the permanent capital subsidiaries complete and liquidate multi-year projects covered under this agreement.</w:t>
      </w:r>
    </w:p>
    <w:p>
      <w:pPr>
        <w:spacing w:after="0" w:line="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26" w:name="page27"/>
    <w:bookmarkEnd w:id="2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223"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Upon the closing of the Company’s acquisition of ECG and ECP, the Administrative Services Agreement between ECG and Enhanced Capital Holdings, Inc. (“ECH”), the entity which holds a controlling equity interest in ECP, immediately became effective. Under this agreement, ECG pays ECH for the use of their employees to provide services to Enhanced PC at the direction of ECG. The invoice associated with this agreement is paid quarterly in arrears and subject to 5% of interest per annum. The Company recognized $3.8 million and $10.2 million for the three and nine months ended September 30, 2024, respectively, and $3.1 million and $9.3 million for the three and nine months ended September 30, 2023, respectively, related to this agreement within compensation and benefits on the Consolidated Statements of Operations. As of September 30, 2024 and December 31, 2023, the associated accrual was $1.7 million and $2.1 million, respectively, and is included in due to related parties on the Consolidated Balance Sheets.</w:t>
      </w:r>
    </w:p>
    <w:p>
      <w:pPr>
        <w:spacing w:after="0" w:line="18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September 10, 2021, Enhanced entered into a strategic partnership with Crossroads Impact Corp ("Crossroads"), the parent company of Capital Plus Financial ("CPF"), a leading certified development financial institution. Under the terms of the agreement, Enhanced will originate and manage loans across its diverse lines of business including small business loans to women and minority owned businesses, and loans to renewable energy and community development projects. The loans will be held by CPF and CPF will pay an advisory fee to Enhanced.</w:t>
      </w:r>
    </w:p>
    <w:p>
      <w:pPr>
        <w:spacing w:after="0" w:line="180"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On July 6, 2022, Crossroads entered into the Advisory Agreement (the "Crossroads Advisory Agreement") with ECG. The Crossroads Advisory Agreement provides for ECG to receive a services fee of approximately 1.5% per year of the capital deployed by Crossroads under the Crossroads Advisory Agreement (0.375% quarterly) and an incentive fee of 15% over a 7% hurdle rate. In relation to the strategic partnership with Crossroads effective September 10, 2021 and the Crossroads Advisory Agreement, the Company recognized $6.2 million and $10.5 million for the three and nine months ended September 30, 2024, respectively, and $1.6 million and $6.6 million for the three and nine months ended September 30, 2023, respectively, which is included in management and advisory fees on the Consolidated Statements of Operations.</w:t>
      </w:r>
    </w:p>
    <w:p>
      <w:pPr>
        <w:spacing w:after="0" w:line="187"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On July 6, 2022, certain funds managed by the Company purchased 4,646,840 shares of Crossroads common stock at $10.76 per share, for an aggregate amount of approximately $50 million. On August 1, 2022, an additional purchase of 1,394,052 shares of Crossroads common stock at $10.76 per share occurred. The funds managed by the Company do not have the ability to change the investment strategy of Crossroads. Two members of the Board of Directors of the Company are directors of Crossroads and have recused themselves from any decisions related to Crossroads or CPF. The Company recognizes an annual fee from the funds of $20 thousand of which $5 thousand and $15 thousand has been recognized for the three and nine months ended September 30, 2024, respectively, which is included in management and advisory fees on the Consolidated Statements of Operations. The Company recognized $5 thousand and $15 thousand for the three and nine months ended September 30, 2023, respectively.</w:t>
      </w:r>
    </w:p>
    <w:p>
      <w:pPr>
        <w:spacing w:after="0" w:line="189"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Upon the closing of the Bonaccord acquisition on September 30, 2021, an Advance Agreement and Secured Promissory Note was signed with BCP, an entity that was formed by employees of the Company. Additional Secured Promissory Notes were signed with certain Bonaccord employees on October 13, 2023. For details, see Note 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Leases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Company leases office space and various equipment under non-cancelable operating leases, with the longest lease expiring in 2032. These lease agreements provide for various renewal options. Rent expense for the various leased office space and equipment was approximately $1.1 million and $3.2 million for the three and nine months ended September 30, 2024, respectively, and $1.0 million and $2.9 million for the three and nine months ended September 30, 2023, respectively.</w:t>
      </w:r>
    </w:p>
    <w:p>
      <w:pPr>
        <w:spacing w:after="0" w:line="180"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The Company leases an insignificant amount of office equipment under non-cancelable financing leases, with the longest lease expiring in 2028. The finance lease right-of-use asset is included in right-of-use assets and the finance lease liability is included in lease liabilities in the Consolidated Balance Sheets. Amortization and interest expense for the finance leased equipment is included in general, administrative, and other in the Consolidated Statements of Operations.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information regarding the Company’s operating leases as of September 30, 2024:</w:t>
      </w: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25" w:lineRule="exact"/>
        <w:rPr>
          <w:sz w:val="20"/>
          <w:szCs w:val="20"/>
          <w:color w:val="auto"/>
        </w:rPr>
      </w:pPr>
    </w:p>
    <w:tbl>
      <w:tblPr>
        <w:tblLayout w:type="fixed"/>
        <w:tblInd w:w="520" w:type="dxa"/>
        <w:tblCellMar>
          <w:top w:w="0" w:type="dxa"/>
          <w:left w:w="0" w:type="dxa"/>
          <w:bottom w:w="0" w:type="dxa"/>
          <w:right w:w="0" w:type="dxa"/>
        </w:tblCellMar>
      </w:tblPr>
      <w:tr>
        <w:trPr>
          <w:trHeight w:val="243"/>
        </w:trPr>
        <w:tc>
          <w:tcPr>
            <w:tcW w:w="1740" w:type="dxa"/>
            <w:vAlign w:val="bottom"/>
          </w:tcPr>
          <w:p>
            <w:pPr>
              <w:spacing w:after="0"/>
              <w:rPr>
                <w:sz w:val="21"/>
                <w:szCs w:val="21"/>
                <w:color w:val="auto"/>
              </w:rPr>
            </w:pPr>
          </w:p>
        </w:tc>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18,164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740" w:type="dxa"/>
            <w:vAlign w:val="bottom"/>
          </w:tcPr>
          <w:p>
            <w:pPr>
              <w:spacing w:after="0"/>
              <w:rPr>
                <w:sz w:val="20"/>
                <w:szCs w:val="20"/>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20,909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740" w:type="dxa"/>
            <w:vAlign w:val="bottom"/>
          </w:tcPr>
          <w:p>
            <w:pPr>
              <w:spacing w:after="0"/>
              <w:rPr>
                <w:sz w:val="18"/>
                <w:szCs w:val="18"/>
                <w:color w:val="auto"/>
              </w:rPr>
            </w:pPr>
          </w:p>
        </w:tc>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during nine months ended September 30, 2024 for operating lease</w:t>
            </w:r>
          </w:p>
        </w:tc>
        <w:tc>
          <w:tcPr>
            <w:tcW w:w="360" w:type="dxa"/>
            <w:vAlign w:val="bottom"/>
            <w:shd w:val="clear" w:color="auto" w:fill="CFF0FC"/>
          </w:tcPr>
          <w:p>
            <w:pPr>
              <w:spacing w:after="0"/>
              <w:rPr>
                <w:sz w:val="18"/>
                <w:szCs w:val="18"/>
                <w:color w:val="auto"/>
              </w:rPr>
            </w:pPr>
          </w:p>
        </w:tc>
        <w:tc>
          <w:tcPr>
            <w:tcW w:w="800" w:type="dxa"/>
            <w:vAlign w:val="bottom"/>
            <w:tcBorders>
              <w:right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740" w:type="dxa"/>
            <w:vAlign w:val="bottom"/>
          </w:tcPr>
          <w:p>
            <w:pPr>
              <w:spacing w:after="0"/>
              <w:rPr>
                <w:sz w:val="21"/>
                <w:szCs w:val="21"/>
                <w:color w:val="auto"/>
              </w:rPr>
            </w:pPr>
          </w:p>
        </w:tc>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w:t>
            </w:r>
          </w:p>
        </w:tc>
        <w:tc>
          <w:tcPr>
            <w:tcW w:w="3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3,082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740" w:type="dxa"/>
            <w:vAlign w:val="bottom"/>
          </w:tcPr>
          <w:p>
            <w:pPr>
              <w:spacing w:after="0"/>
              <w:rPr>
                <w:sz w:val="20"/>
                <w:szCs w:val="20"/>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360" w:type="dxa"/>
            <w:vAlign w:val="bottom"/>
          </w:tcPr>
          <w:p>
            <w:pPr>
              <w:spacing w:after="0"/>
              <w:rPr>
                <w:sz w:val="20"/>
                <w:szCs w:val="20"/>
                <w:color w:val="auto"/>
              </w:rPr>
            </w:pPr>
          </w:p>
        </w:tc>
        <w:tc>
          <w:tcPr>
            <w:tcW w:w="8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6.47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1"/>
                <w:szCs w:val="21"/>
                <w:color w:val="auto"/>
              </w:rPr>
            </w:pPr>
          </w:p>
        </w:tc>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360" w:type="dxa"/>
            <w:vAlign w:val="bottom"/>
            <w:shd w:val="clear" w:color="auto" w:fill="CFF0FC"/>
          </w:tcPr>
          <w:p>
            <w:pPr>
              <w:spacing w:after="0"/>
              <w:rPr>
                <w:sz w:val="21"/>
                <w:szCs w:val="21"/>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future contractual lease payments as of September 30, 2024 are as follows:</w:t>
            </w: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740" w:type="dxa"/>
            <w:vAlign w:val="bottom"/>
            <w:vMerge w:val="restart"/>
          </w:tcPr>
          <w:p>
            <w:pPr>
              <w:spacing w:after="0"/>
              <w:rPr>
                <w:sz w:val="21"/>
                <w:szCs w:val="21"/>
                <w:color w:val="auto"/>
              </w:rPr>
            </w:pPr>
          </w:p>
        </w:tc>
        <w:tc>
          <w:tcPr>
            <w:tcW w:w="5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40" w:type="dxa"/>
            <w:vAlign w:val="bottom"/>
            <w:vMerge w:val="continue"/>
          </w:tcPr>
          <w:p>
            <w:pPr>
              <w:spacing w:after="0"/>
              <w:rPr>
                <w:sz w:val="21"/>
                <w:szCs w:val="21"/>
                <w:color w:val="auto"/>
              </w:rPr>
            </w:pPr>
          </w:p>
        </w:tc>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740" w:type="dxa"/>
            <w:vAlign w:val="bottom"/>
          </w:tcPr>
          <w:p>
            <w:pPr>
              <w:spacing w:after="0"/>
              <w:rPr>
                <w:sz w:val="20"/>
                <w:szCs w:val="20"/>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3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1"/>
                <w:szCs w:val="21"/>
                <w:color w:val="auto"/>
              </w:rPr>
            </w:pPr>
          </w:p>
        </w:tc>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360" w:type="dxa"/>
            <w:vAlign w:val="bottom"/>
            <w:shd w:val="clear" w:color="auto" w:fill="CFF0FC"/>
          </w:tcPr>
          <w:p>
            <w:pPr>
              <w:spacing w:after="0"/>
              <w:rPr>
                <w:sz w:val="21"/>
                <w:szCs w:val="21"/>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740" w:type="dxa"/>
            <w:vAlign w:val="bottom"/>
          </w:tcPr>
          <w:p>
            <w:pPr>
              <w:spacing w:after="0"/>
              <w:rPr>
                <w:sz w:val="20"/>
                <w:szCs w:val="20"/>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1"/>
                <w:szCs w:val="21"/>
                <w:color w:val="auto"/>
              </w:rPr>
            </w:pPr>
          </w:p>
        </w:tc>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360" w:type="dxa"/>
            <w:vAlign w:val="bottom"/>
            <w:shd w:val="clear" w:color="auto" w:fill="CFF0FC"/>
          </w:tcPr>
          <w:p>
            <w:pPr>
              <w:spacing w:after="0"/>
              <w:rPr>
                <w:sz w:val="21"/>
                <w:szCs w:val="21"/>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740" w:type="dxa"/>
            <w:vAlign w:val="bottom"/>
          </w:tcPr>
          <w:p>
            <w:pPr>
              <w:spacing w:after="0"/>
              <w:rPr>
                <w:sz w:val="20"/>
                <w:szCs w:val="20"/>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1740" w:type="dxa"/>
            <w:vAlign w:val="bottom"/>
          </w:tcPr>
          <w:p>
            <w:pPr>
              <w:spacing w:after="0"/>
              <w:rPr>
                <w:sz w:val="20"/>
                <w:szCs w:val="20"/>
                <w:color w:val="auto"/>
              </w:rPr>
            </w:pPr>
          </w:p>
        </w:tc>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360" w:type="dxa"/>
            <w:vAlign w:val="bottom"/>
            <w:shd w:val="clear" w:color="auto" w:fill="CFF0FC"/>
          </w:tcPr>
          <w:p>
            <w:pPr>
              <w:spacing w:after="0"/>
              <w:rPr>
                <w:sz w:val="20"/>
                <w:szCs w:val="20"/>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740" w:type="dxa"/>
            <w:vAlign w:val="bottom"/>
          </w:tcPr>
          <w:p>
            <w:pPr>
              <w:spacing w:after="0"/>
              <w:rPr>
                <w:sz w:val="20"/>
                <w:szCs w:val="20"/>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3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(4,301 )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4"/>
                <w:szCs w:val="24"/>
                <w:color w:val="auto"/>
              </w:rPr>
            </w:pPr>
          </w:p>
        </w:tc>
        <w:tc>
          <w:tcPr>
            <w:tcW w:w="5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20,909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-24765</wp:posOffset>
            </wp:positionV>
            <wp:extent cx="431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431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Earnout Payment</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With the acquisition of WTI, an earnout payment of up to $70.0 million of cash and common stock may be earned upon meeting certain performance metrics. Upon the achievement of $20.0 million, $22.5 million, and $25.0 million of EBTIDA, $35.0 million, $17.5 million, and $17.5 million are earned, respectively. Of the total amount, $50.0 million can be earned by the sellers and the remaining $20.0 million would be allocated to employees of the Company at the time the earnout is earned. Payment to both sellers and employees is contingent on continued employment and, therefore, these earnout payments are recorded as compensation and benefits expense on the Consolidated Statements of Operations. Payments will be made in cash, with the option to pay up to 50.0% in units of P10 Intermediate, no later than 90 days following the last day of the calendar quarter in which a milestone payment is achieved. Total payments will not exceed $70.0 million and any amounts paid will be paid by October 2027. The Company will evaluate whether each earn-out hurdle is probable of occurring and recognize an expense over the period the hurdle is expected to be achieved. As of September 30, 2024, the Company has determined that only the first two EBITDA hurdles are probable of being achieved. For the three and nine months ended September 30, 2024, $3.1 million and $9.2 million of expense, respectively, was recognized and for the three and nine months ended September 30, 2023, $6.0 million and $17.9 million was recognized, respectively, which is included in compensation and benefits in the Consolidated Statements of Operations. As of September 30, 2024 and December 31, 2023, the balance was $35.4 million and $26.2 million, respectively, which is included in accrued compensation and benefits in the Consolidated Balance Sheets. No payments have been made on the earnout.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Bonus Payment</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connection with the acquisition of WTI, certain employees entered into employment agreements. As part of these employment agreements, certain employees may receive a one-time bonus payment if the employee is employed by the Company as of the fifth anniversary of the effective date and the trailing-twelve month EBITDA of WTI at that time is equal to or greater than $20.0 million. Payment can be made in cash or stock of P10, provided that no more than $5.0 million will be payable in cash. Total payment will not exceed $10.0 million and any amounts will be paid in October 2027, the fifth anniversary of the effective date. For the three and nine months ended September 30, 2024, the Company recognized $0.5 million and $1.5 million of expense, respectively, and for the three and nine months ended September 30, 2023, $0.5 million and $1.5 million was recognized, respectively, which is included in compensation and benefits on the Consolidated Statements of Operations. As of September 30, 2024 and December 31, 2023, the balance was $3.9 million and $2.4 million, respectively, and is included in accrued compensation and benefits in the Consolidated Balance Sheets.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Share Arrangement</w:t>
      </w:r>
    </w:p>
    <w:p>
      <w:pPr>
        <w:spacing w:after="0" w:line="121"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The Company recognizes accrued contingent liabilities and contingent payments to customers assets in the Consolidated Balance Sheets for agreements that exist between ECG and third party customers. The agreements require ECG to share in certain revenues earned with the third parties and also include an option for the third parties to sell back the</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315"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revenue share to ECG at a set multiple. Additionally, ECG holds the option to buy back 50% of the revenue share at a set multiple. Both options are not exercisable until a certain period of time has lapsed per the agreements. The Company’s contingent liabilities and corresponding contingent payments to customers are recognized once determined to be probable and estimable. The contingent payments to customers are amortized and recorded within management and advisory fees on the Consolidated Statements of Operations over the term of the revenue share agreements. As of September 30, 2024, the Company has determined that the put options are probable of being exercised and have accrued estimated contingent liabilities and contingent payments to customers. As of September 30, 2024 and December 31, 2023, the associated liabilities were $16.2 million and $16.2 million, respectively, and are included in accrued contingent liabilities on the Consolidated Balance Sheets. The associated contingent payments to customers assets were $12.8 million and $14.0 million as of September 30, 2024 and December 31, 2023, respectively. The Company recognized $0.4 million and $1.1 million of amortization of contingent payments to customers for the three and nine months ended September 30, 2024, respectively, and $0.4 million and $1.1 million of amortization of contingent payments to customers for the three and nine months ended September 30, 2023, respectively, which is included in management and advisory fees on the Consolidated Statements of Operations. The Company will reassess each period and recognize all changes as if they occurred at inception.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Departure of the Chief Operating Officer</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William "Fritz" Souder, the Company's Chief Operating Officer ("COO"), retired from P10 in May of 2024. Associated with his retirement, the COO received $1.2 million of severance payments. As of September 30, 2024 and December 31, 2023, the Company has $0 and $1.2 million of severance payable related to the retirement, which is included in accrued compensation and benefits in the Consolidated Balance Sheets. The severance expense was accrued in the fourth quarter of 2023 and has no impact on the Consolidated Statements of Operations for the three and nine months ended September 30, 2024 and for the three and nine months ended September 30, 2023. The severance payment was made in May 2024.</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Agreement</w:t>
      </w:r>
    </w:p>
    <w:p>
      <w:pPr>
        <w:spacing w:after="0" w:line="121"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On September 16, 2024, the Company ("Buyer") entered ino an equity purchase agreement (the "Purchase Agreement") with Qualitas Equity Funds SGEIC, S.A. ("Qualitas Funds"), Qualitas Funds Holdco, S.L. ("Seller"), Sergio Garcia Huertas and Eric Todd Halverson, pursuant to which, subject to the satisfaction or waiver of specified conditions, Buyer would acquire all of the issued and outstanding equity interests of Qualitas Funds (the "Transaction").</w:t>
      </w:r>
    </w:p>
    <w:p>
      <w:pPr>
        <w:spacing w:after="0" w:line="180"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The consideration payable to complete the transaction consists of $42.3 million in cash and 2,068,794 shares of the Company's Class A Common Stock. Of this amount of Class A Common Stock, 1,669,990 shares will be delivered at closing, with 398,804 shares being subject to a five-year holdback to cover certain indemnification obligations of the Seller during the holdback period. The number of shares to be delivered was calculated based on the daily volume weighted averages of the Class A common Stock for the 20 consecutive trading days ending on September 11, 2024 which was $10.03 per share.</w:t>
      </w:r>
    </w:p>
    <w:p>
      <w:pPr>
        <w:spacing w:after="0" w:line="183"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Up to an additional €31.7 million in consideration (an Earn-Out Payment") may be payable based on the run-rate net revenue as of December 31, 2027 from new funds for Qualitas Funds raised after closing. Any Earn-Out Payment will be paid in a mix of cash and Class A Common Stock at Seller's election, with no more than 65% payable in cash.</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Transaction is expected to close in the first quarter of 2025, subject to customary closing conditions.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may be involved, either as plaintiff or defendant, in a variety of ongoing claims, demands, suits, investigations, tax matters and proceedings that arise from time to time in the ordinary course of our business. We evaluated all potentially significant litigation, government investigations, claims or assessments in which we are involved and disclosed anything more likely than not to be recognized below, if any are applicable. We do not believe that any of these matters, individually or in the aggregate, will result in losses that are materially in excess of amounts already recognized, if any.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Income Taxes</w:t>
      </w:r>
    </w:p>
    <w:p>
      <w:pPr>
        <w:spacing w:after="0" w:line="121"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The Company calculates its tax provision using the estimated annual effective tax rate methodology. The tax expense or benefit caused by an unusual or infrequent item is recorded in the quarter in which it occurs. To the extent that information</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9" w:name="page30"/>
    <w:bookmarkEnd w:id="2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31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is not available for the Company to fully determine the full year estimated impact of an item of income or tax adjustment, the Company calculates the tax impact of such item discretely.</w:t>
      </w:r>
    </w:p>
    <w:p>
      <w:pPr>
        <w:spacing w:after="0" w:line="162"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Based on these methodologies, the Company’s effective income tax rate was 48.49% and 32.52% for the three and nine months ended September 30, 2024, respectively. The Company's effective income tax rate was -25.90% and 30.24% for the three and nine months ended September 30, 2023, respectively. The effective tax rate differs from the federal statutory rate of 21% due to executive compensation subject to Section 162(m) limitation, capitalization of the post-letter of intent transaction costs of the stock acquisition, state taxes, and a discrete period recognition of windfall tax adjustments related to options exercised year-to-date.</w:t>
      </w:r>
    </w:p>
    <w:p>
      <w:pPr>
        <w:spacing w:after="0" w:line="210"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 records deferred tax assets and liabilities for the future tax benefit or expense that will result from differences between the carrying value of its assets for income tax purposes and for financial reporting purposes, as well as for operating loss and tax credit carryovers. A valuation allowance is recorded to bring the net deferred tax assets to a level that, in management's view, is more likely than not to be realized in the foreseeable future. This level will be estimated based on a number of factors, especially the amount of net deferred tax assets of the Company that are actually expected to be realized, for tax purposes, in the foreseeable future. As of September 30, 2024, the Company has recorded a $12.8 million valuation allowance against deferred tax assets, primarily related to a note impairment. There was no change to the valuation allowance during the nine months ended September 30, 2024.</w:t>
      </w:r>
    </w:p>
    <w:p>
      <w:pPr>
        <w:spacing w:after="0" w:line="18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Company monitors federal and state legislative activity and other developments that may impact our tax positions and their relation to the income tax provision. Any impacts will be recorded in the period in which the legislation is enacted or new regulations are issued. The Company is subject to examination by the United States Internal Revenue Service as well as state and local tax authorities. The Company is not currently under audit.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Stockholders'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Equity-Based Compensation</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On July 20, 2021, the Board of Directors approved the P10 Holdings, Inc. 2021 Stock Incentive Plan (the "Plan"), which replaced the 2018 Incentive Plan ("2018 Plan"), our previously existing equity compensation plan. The Compensation Committee of the Board of Directors may issue equity-based awards including stock options, stock appreciation rights, restricted stock units, and restricted stock awards. Starting with options granted in 2024 under the Plan, vesting occurs on a graded schedule with 25% vesting on each of the second, third, fourth, and fifth anniversary of the grant date, but only if the grantee is continuously employed by the Company or a subsidiary through each such date. Options granted prior to 2024 under both the Plan and the 2018 Plan cliff vest over a period of four or five years. The term of each option is no more than ten years from the date of grant. When the options are exercised, the Board of Directors has the option of issuing shares of common stock or paying a lump sum cash payment on the exercise date equal to the difference between the common stock’s fair market value on the exercise date and the option price. Terms of all future awards will be granted under the Plan, and no additional awards will be granted under the 2018 Plan. Awards granted under the 2018 Plan continue to follow the 2018 Plan.</w:t>
      </w:r>
    </w:p>
    <w:p>
      <w:pPr>
        <w:spacing w:after="0" w:line="188"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2018 Plan provided for an initial 6,300,000 shares (adjusted for the reverse stock split). The Plan provided for the issuance of 3,000,000 shares available for grant, in addition to those approved in the 2018 Plan for a total of 9,300,000 shares.</w:t>
      </w:r>
    </w:p>
    <w:p>
      <w:pPr>
        <w:spacing w:after="0" w:line="162"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On June 17, 2022, at the Annual Meeting of Stockholders, the shareholders authorized an increase of 5,000,000 shares that may be issued under the Plan. On December 9, 2022, a special meeting of stockholders was held to increase the number of shares issuable under the Plan by 4,000,000 shares. On June 14, 2024, at the Annual Meeting of Stockholders, the shareholders authorized an increase of 11,000,000 shares that may be issued under the Plan, resulting in a total of 29,300,000 shares available for grant under the Plan and the 2018 Plan. As of September 30, 2024, there are 10,409,508 shares available for grant under the Plan.</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stock option activity for the nine months ended September 30, 2024 is as follows:</w:t>
      </w:r>
    </w:p>
    <w:p>
      <w:pPr>
        <w:spacing w:after="0" w:line="259" w:lineRule="exact"/>
        <w:rPr>
          <w:sz w:val="20"/>
          <w:szCs w:val="20"/>
          <w:color w:val="auto"/>
        </w:rPr>
      </w:pPr>
    </w:p>
    <w:tbl>
      <w:tblPr>
        <w:tblLayout w:type="fixed"/>
        <w:tblInd w:w="580" w:type="dxa"/>
        <w:tblCellMar>
          <w:top w:w="0" w:type="dxa"/>
          <w:left w:w="0" w:type="dxa"/>
          <w:bottom w:w="0" w:type="dxa"/>
          <w:right w:w="0" w:type="dxa"/>
        </w:tblCellMar>
      </w:tblPr>
      <w:tr>
        <w:trPr>
          <w:trHeight w:val="176"/>
        </w:trPr>
        <w:tc>
          <w:tcPr>
            <w:tcW w:w="3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3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76"/>
        </w:trPr>
        <w:tc>
          <w:tcPr>
            <w:tcW w:w="3160" w:type="dxa"/>
            <w:vAlign w:val="bottom"/>
          </w:tcPr>
          <w:p>
            <w:pPr>
              <w:spacing w:after="0"/>
              <w:rPr>
                <w:sz w:val="15"/>
                <w:szCs w:val="15"/>
                <w:color w:val="auto"/>
              </w:rPr>
            </w:pPr>
          </w:p>
        </w:tc>
        <w:tc>
          <w:tcPr>
            <w:tcW w:w="170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5"/>
                <w:szCs w:val="15"/>
                <w:color w:val="auto"/>
              </w:rPr>
            </w:pPr>
          </w:p>
        </w:tc>
        <w:tc>
          <w:tcPr>
            <w:tcW w:w="142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2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Intrinsic Value</w:t>
            </w:r>
          </w:p>
        </w:tc>
      </w:tr>
      <w:tr>
        <w:trPr>
          <w:trHeight w:val="187"/>
        </w:trPr>
        <w:tc>
          <w:tcPr>
            <w:tcW w:w="3160" w:type="dxa"/>
            <w:vAlign w:val="bottom"/>
          </w:tcPr>
          <w:p>
            <w:pPr>
              <w:spacing w:after="0"/>
              <w:rPr>
                <w:sz w:val="16"/>
                <w:szCs w:val="16"/>
                <w:color w:val="auto"/>
              </w:rPr>
            </w:pPr>
          </w:p>
        </w:tc>
        <w:tc>
          <w:tcPr>
            <w:tcW w:w="170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6"/>
                <w:szCs w:val="16"/>
                <w:color w:val="auto"/>
              </w:rPr>
            </w:pPr>
          </w:p>
        </w:tc>
        <w:tc>
          <w:tcPr>
            <w:tcW w:w="142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2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(whole dollars)</w:t>
            </w:r>
          </w:p>
        </w:tc>
      </w:tr>
      <w:tr>
        <w:trPr>
          <w:trHeight w:val="250"/>
        </w:trPr>
        <w:tc>
          <w:tcPr>
            <w:tcW w:w="316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56"/>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12,715,381</w:t>
            </w:r>
          </w:p>
        </w:tc>
        <w:tc>
          <w:tcPr>
            <w:tcW w:w="22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30,872,113</w:t>
            </w:r>
          </w:p>
        </w:tc>
        <w:tc>
          <w:tcPr>
            <w:tcW w:w="100" w:type="dxa"/>
            <w:vAlign w:val="bottom"/>
            <w:shd w:val="clear" w:color="auto" w:fill="CFF0FC"/>
          </w:tcPr>
          <w:p>
            <w:pPr>
              <w:spacing w:after="0"/>
              <w:rPr>
                <w:sz w:val="22"/>
                <w:szCs w:val="22"/>
                <w:color w:val="auto"/>
              </w:rPr>
            </w:pPr>
          </w:p>
        </w:tc>
      </w:tr>
      <w:tr>
        <w:trPr>
          <w:trHeight w:val="250"/>
        </w:trPr>
        <w:tc>
          <w:tcPr>
            <w:tcW w:w="3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2,536,717</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2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3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Exercised</w:t>
            </w:r>
          </w:p>
        </w:tc>
        <w:tc>
          <w:tcPr>
            <w:tcW w:w="1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(607,405 )</w:t>
            </w:r>
          </w:p>
        </w:tc>
        <w:tc>
          <w:tcPr>
            <w:tcW w:w="160" w:type="dxa"/>
            <w:vAlign w:val="bottom"/>
            <w:shd w:val="clear" w:color="auto" w:fill="CFF0FC"/>
          </w:tcPr>
          <w:p>
            <w:pPr>
              <w:spacing w:after="0"/>
              <w:rPr>
                <w:sz w:val="22"/>
                <w:szCs w:val="22"/>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20" w:type="dxa"/>
            <w:vAlign w:val="bottom"/>
            <w:shd w:val="clear" w:color="auto" w:fill="CFF0FC"/>
          </w:tcPr>
          <w:p>
            <w:pPr>
              <w:spacing w:after="0"/>
              <w:rPr>
                <w:sz w:val="22"/>
                <w:szCs w:val="22"/>
                <w:color w:val="auto"/>
              </w:rPr>
            </w:pPr>
          </w:p>
        </w:tc>
        <w:tc>
          <w:tcPr>
            <w:tcW w:w="17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2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43"/>
        </w:trPr>
        <w:tc>
          <w:tcPr>
            <w:tcW w:w="3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Expired/Forfeited</w:t>
            </w:r>
          </w:p>
        </w:tc>
        <w:tc>
          <w:tcPr>
            <w:tcW w:w="1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(1,207,827 )</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2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7"/>
        </w:trPr>
        <w:tc>
          <w:tcPr>
            <w:tcW w:w="3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September 30, 2024</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13,436,866</w:t>
            </w:r>
          </w:p>
        </w:tc>
        <w:tc>
          <w:tcPr>
            <w:tcW w:w="2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220" w:type="dxa"/>
            <w:vAlign w:val="bottom"/>
            <w:tcBorders>
              <w:bottom w:val="single" w:sz="8" w:color="CFF0FC"/>
            </w:tcBorders>
            <w:shd w:val="clear" w:color="auto" w:fill="CFF0FC"/>
          </w:tcPr>
          <w:p>
            <w:pPr>
              <w:spacing w:after="0"/>
              <w:rPr>
                <w:sz w:val="24"/>
                <w:szCs w:val="24"/>
                <w:color w:val="auto"/>
              </w:rPr>
            </w:pP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33,514,672</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as of September 30, 2024</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2,081,677</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12,140,396</w:t>
            </w:r>
          </w:p>
        </w:tc>
        <w:tc>
          <w:tcPr>
            <w:tcW w:w="100" w:type="dxa"/>
            <w:vAlign w:val="bottom"/>
          </w:tcPr>
          <w:p>
            <w:pPr>
              <w:spacing w:after="0"/>
              <w:rPr>
                <w:sz w:val="19"/>
                <w:szCs w:val="19"/>
                <w:color w:val="auto"/>
              </w:rPr>
            </w:pPr>
          </w:p>
        </w:tc>
      </w:tr>
      <w:tr>
        <w:trPr>
          <w:trHeight w:val="20"/>
        </w:trPr>
        <w:tc>
          <w:tcPr>
            <w:tcW w:w="316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-205105</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-187960</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-205105</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-187960</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-205105</wp:posOffset>
            </wp:positionV>
            <wp:extent cx="6032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-187960</wp:posOffset>
            </wp:positionV>
            <wp:extent cx="6032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-205105</wp:posOffset>
            </wp:positionV>
            <wp:extent cx="6032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Compensation expense equal to the grant date fair value is recognized for these awards over the vesting period and is included in compensation and benefits in the Consolidated Statements of Operations. Stock option compensation cost is estimated at the grant date based on the fair-value of the award, which is determined using the Black Scholes option valuation model and is recognized as expense ratably over the requisite service period of the award, generally five years. The share price used in the Black Scholes model is based on the trading price of our shares on the public markets. Expected life is based on the vesting period and expiration date of the option. Until October 2023, stock price volatility was estimated based on a group of similar publicly traded companies determined to be most reflective of the expected volatility of the Company due to the nature of operations of these entities. Since October 2023, stock price volatility is estimated using a weighted average of P10 and a group of similar publicly traded companies determined to be most reflective of the expected volatility of the Company due to the nature of operations of these entities. The risk-free rates are based on the U.S. Treasury yield in effect at the time of grant. The dividend yield is based on the quarterly dividend as of the grant date. The stock-based compensation expense for stock options was $1.8 million and $7.1 million for the three and nine months ended September 30, 2024, respectively, and $1.9 million and $5.3 million for the three and nine months ended September 30, 2023, respectively. Unrecognized stock-based compensation expense related to outstanding unvested stock options as of September 30, 2024 was $11.6 million and is expected to be recognized over a weighted average period of 2.83 years. Any future forfeitures will impact this amount.</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weighted average assumptions used in calculating the fair value of stock options granted during the nine months ended September 30,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2023 were as follows:</w:t>
      </w:r>
    </w:p>
    <w:p>
      <w:pPr>
        <w:spacing w:after="0" w:line="228" w:lineRule="exact"/>
        <w:rPr>
          <w:sz w:val="20"/>
          <w:szCs w:val="20"/>
          <w:color w:val="auto"/>
        </w:rPr>
      </w:pPr>
    </w:p>
    <w:tbl>
      <w:tblPr>
        <w:tblLayout w:type="fixed"/>
        <w:tblInd w:w="182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2420" w:type="dxa"/>
            <w:vAlign w:val="bottom"/>
            <w:gridSpan w:val="6"/>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187"/>
        </w:trPr>
        <w:tc>
          <w:tcPr>
            <w:tcW w:w="5220" w:type="dxa"/>
            <w:vAlign w:val="bottom"/>
          </w:tcPr>
          <w:p>
            <w:pPr>
              <w:spacing w:after="0"/>
              <w:rPr>
                <w:sz w:val="16"/>
                <w:szCs w:val="16"/>
                <w:color w:val="auto"/>
              </w:rPr>
            </w:pPr>
          </w:p>
        </w:tc>
        <w:tc>
          <w:tcPr>
            <w:tcW w:w="1580" w:type="dxa"/>
            <w:vAlign w:val="bottom"/>
            <w:tcBorders>
              <w:bottom w:val="single" w:sz="8" w:color="auto"/>
            </w:tcBorders>
            <w:gridSpan w:val="3"/>
          </w:tcPr>
          <w:p>
            <w:pPr>
              <w:jc w:val="center"/>
              <w:ind w:left="57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69"/>
        </w:trPr>
        <w:tc>
          <w:tcPr>
            <w:tcW w:w="5220" w:type="dxa"/>
            <w:vAlign w:val="bottom"/>
          </w:tcPr>
          <w:p>
            <w:pPr>
              <w:spacing w:after="0"/>
              <w:rPr>
                <w:sz w:val="14"/>
                <w:szCs w:val="14"/>
                <w:color w:val="auto"/>
              </w:rPr>
            </w:pPr>
          </w:p>
        </w:tc>
        <w:tc>
          <w:tcPr>
            <w:tcW w:w="1020" w:type="dxa"/>
            <w:vAlign w:val="bottom"/>
            <w:tcBorders>
              <w:bottom w:val="single" w:sz="8" w:color="auto"/>
            </w:tcBorders>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37"/>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4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34"/>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37.50 %</w:t>
            </w:r>
          </w:p>
        </w:tc>
        <w:tc>
          <w:tcPr>
            <w:tcW w:w="32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38.33 %</w:t>
            </w:r>
          </w:p>
        </w:tc>
        <w:tc>
          <w:tcPr>
            <w:tcW w:w="20" w:type="dxa"/>
            <w:vAlign w:val="bottom"/>
          </w:tcPr>
          <w:p>
            <w:pPr>
              <w:spacing w:after="0"/>
              <w:rPr>
                <w:sz w:val="20"/>
                <w:szCs w:val="20"/>
                <w:color w:val="auto"/>
              </w:rPr>
            </w:pPr>
          </w:p>
        </w:tc>
      </w:tr>
      <w:tr>
        <w:trPr>
          <w:trHeight w:val="252"/>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4.23 %</w:t>
            </w:r>
          </w:p>
        </w:tc>
        <w:tc>
          <w:tcPr>
            <w:tcW w:w="32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4.09 %</w:t>
            </w:r>
          </w:p>
        </w:tc>
        <w:tc>
          <w:tcPr>
            <w:tcW w:w="20" w:type="dxa"/>
            <w:vAlign w:val="bottom"/>
          </w:tcPr>
          <w:p>
            <w:pPr>
              <w:spacing w:after="0"/>
              <w:rPr>
                <w:sz w:val="21"/>
                <w:szCs w:val="21"/>
                <w:color w:val="auto"/>
              </w:rPr>
            </w:pPr>
          </w:p>
        </w:tc>
      </w:tr>
      <w:tr>
        <w:trPr>
          <w:trHeight w:val="234"/>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1.63 %</w:t>
            </w:r>
          </w:p>
        </w:tc>
        <w:tc>
          <w:tcPr>
            <w:tcW w:w="32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20" w:type="dxa"/>
            <w:vAlign w:val="bottom"/>
          </w:tcPr>
          <w:p>
            <w:pPr>
              <w:spacing w:after="0"/>
              <w:rPr>
                <w:sz w:val="20"/>
                <w:szCs w:val="20"/>
                <w:color w:val="auto"/>
              </w:rPr>
            </w:pPr>
          </w:p>
        </w:tc>
      </w:tr>
    </w:tbl>
    <w:p>
      <w:pPr>
        <w:spacing w:after="0" w:line="206"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Company has granted restricted stock awards ("RSAs") to certain non-employee directors. Holders of RSAs have no voting rights and accrue dividends until vesting with payment being made once they vest. All of the shares currently vest one year from the grant date.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580" w:type="dxa"/>
            <w:vAlign w:val="bottom"/>
          </w:tcPr>
          <w:p>
            <w:pPr>
              <w:spacing w:after="0"/>
              <w:rPr>
                <w:sz w:val="15"/>
                <w:szCs w:val="15"/>
                <w:color w:val="auto"/>
              </w:rPr>
            </w:pPr>
          </w:p>
        </w:tc>
        <w:tc>
          <w:tcPr>
            <w:tcW w:w="1900" w:type="dxa"/>
            <w:vAlign w:val="bottom"/>
          </w:tcPr>
          <w:p>
            <w:pPr>
              <w:jc w:val="center"/>
              <w:ind w:left="70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3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Weighted-Average Grant</w:t>
            </w:r>
          </w:p>
        </w:tc>
      </w:tr>
      <w:tr>
        <w:trPr>
          <w:trHeight w:val="187"/>
        </w:trPr>
        <w:tc>
          <w:tcPr>
            <w:tcW w:w="5580" w:type="dxa"/>
            <w:vAlign w:val="bottom"/>
          </w:tcPr>
          <w:p>
            <w:pPr>
              <w:spacing w:after="0"/>
              <w:rPr>
                <w:sz w:val="16"/>
                <w:szCs w:val="16"/>
                <w:color w:val="auto"/>
              </w:rPr>
            </w:pPr>
          </w:p>
        </w:tc>
        <w:tc>
          <w:tcPr>
            <w:tcW w:w="1900" w:type="dxa"/>
            <w:vAlign w:val="bottom"/>
            <w:tcBorders>
              <w:bottom w:val="single" w:sz="8" w:color="auto"/>
            </w:tcBorders>
          </w:tcPr>
          <w:p>
            <w:pPr>
              <w:jc w:val="center"/>
              <w:ind w:left="708"/>
              <w:spacing w:after="0"/>
              <w:rPr>
                <w:sz w:val="20"/>
                <w:szCs w:val="20"/>
                <w:color w:val="auto"/>
              </w:rPr>
            </w:pPr>
            <w:r>
              <w:rPr>
                <w:rFonts w:ascii="Times New Roman" w:cs="Times New Roman" w:eastAsia="Times New Roman" w:hAnsi="Times New Roman"/>
                <w:sz w:val="14"/>
                <w:szCs w:val="14"/>
                <w:b w:val="1"/>
                <w:bCs w:val="1"/>
                <w:color w:val="auto"/>
              </w:rPr>
              <w:t>RSAs</w:t>
            </w:r>
          </w:p>
        </w:tc>
        <w:tc>
          <w:tcPr>
            <w:tcW w:w="78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Date Fair Value Per RSA</w:t>
            </w:r>
          </w:p>
        </w:tc>
        <w:tc>
          <w:tcPr>
            <w:tcW w:w="100" w:type="dxa"/>
            <w:vAlign w:val="bottom"/>
          </w:tcPr>
          <w:p>
            <w:pPr>
              <w:spacing w:after="0"/>
              <w:rPr>
                <w:sz w:val="16"/>
                <w:szCs w:val="16"/>
                <w:color w:val="auto"/>
              </w:rPr>
            </w:pPr>
          </w:p>
        </w:tc>
      </w:tr>
      <w:tr>
        <w:trPr>
          <w:trHeight w:val="236"/>
        </w:trPr>
        <w:tc>
          <w:tcPr>
            <w:tcW w:w="74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32,722</w:t>
            </w:r>
          </w:p>
        </w:tc>
        <w:tc>
          <w:tcPr>
            <w:tcW w:w="34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00" w:type="dxa"/>
            <w:vAlign w:val="bottom"/>
            <w:shd w:val="clear" w:color="auto" w:fill="CFF0FC"/>
          </w:tcPr>
          <w:p>
            <w:pPr>
              <w:spacing w:after="0"/>
              <w:rPr>
                <w:sz w:val="20"/>
                <w:szCs w:val="20"/>
                <w:color w:val="auto"/>
              </w:rPr>
            </w:pPr>
          </w:p>
        </w:tc>
      </w:tr>
      <w:tr>
        <w:trPr>
          <w:trHeight w:val="239"/>
        </w:trPr>
        <w:tc>
          <w:tcPr>
            <w:tcW w:w="7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93,473</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tcPr>
          <w:p>
            <w:pPr>
              <w:spacing w:after="0"/>
              <w:rPr>
                <w:sz w:val="20"/>
                <w:szCs w:val="20"/>
                <w:color w:val="auto"/>
              </w:rPr>
            </w:pPr>
          </w:p>
        </w:tc>
      </w:tr>
      <w:tr>
        <w:trPr>
          <w:trHeight w:val="247"/>
        </w:trPr>
        <w:tc>
          <w:tcPr>
            <w:tcW w:w="74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1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(32,722 )</w:t>
            </w:r>
          </w:p>
        </w:tc>
        <w:tc>
          <w:tcPr>
            <w:tcW w:w="300" w:type="dxa"/>
            <w:vAlign w:val="bottom"/>
            <w:shd w:val="clear" w:color="auto" w:fill="CFF0FC"/>
          </w:tcPr>
          <w:p>
            <w:pPr>
              <w:spacing w:after="0"/>
              <w:rPr>
                <w:sz w:val="21"/>
                <w:szCs w:val="21"/>
                <w:color w:val="auto"/>
              </w:rPr>
            </w:pP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00" w:type="dxa"/>
            <w:vAlign w:val="bottom"/>
            <w:shd w:val="clear" w:color="auto" w:fill="CFF0FC"/>
          </w:tcPr>
          <w:p>
            <w:pPr>
              <w:spacing w:after="0"/>
              <w:rPr>
                <w:sz w:val="21"/>
                <w:szCs w:val="21"/>
                <w:color w:val="auto"/>
              </w:rPr>
            </w:pPr>
          </w:p>
        </w:tc>
      </w:tr>
      <w:tr>
        <w:trPr>
          <w:trHeight w:val="243"/>
        </w:trPr>
        <w:tc>
          <w:tcPr>
            <w:tcW w:w="5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9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r>
      <w:tr>
        <w:trPr>
          <w:trHeight w:val="276"/>
        </w:trPr>
        <w:tc>
          <w:tcPr>
            <w:tcW w:w="5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as of September 30, 2024</w:t>
            </w:r>
          </w:p>
        </w:tc>
        <w:tc>
          <w:tcPr>
            <w:tcW w:w="1900" w:type="dxa"/>
            <w:vAlign w:val="bottom"/>
            <w:tcBorders>
              <w:bottom w:val="single" w:sz="8" w:color="auto"/>
            </w:tcBorders>
            <w:shd w:val="clear" w:color="auto" w:fill="CFF0FC"/>
          </w:tcPr>
          <w:p>
            <w:pPr>
              <w:spacing w:after="0"/>
              <w:rPr>
                <w:sz w:val="24"/>
                <w:szCs w:val="2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93,473</w:t>
            </w:r>
          </w:p>
        </w:tc>
        <w:tc>
          <w:tcPr>
            <w:tcW w:w="3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520"/>
        </w:trPr>
        <w:tc>
          <w:tcPr>
            <w:tcW w:w="7480" w:type="dxa"/>
            <w:vAlign w:val="bottom"/>
            <w:gridSpan w:val="2"/>
          </w:tcPr>
          <w:p>
            <w:pPr>
              <w:ind w:left="5540"/>
              <w:spacing w:after="0"/>
              <w:rPr>
                <w:sz w:val="20"/>
                <w:szCs w:val="20"/>
                <w:color w:val="auto"/>
              </w:rPr>
            </w:pPr>
            <w:r>
              <w:rPr>
                <w:rFonts w:ascii="Times New Roman" w:cs="Times New Roman" w:eastAsia="Times New Roman" w:hAnsi="Times New Roman"/>
                <w:sz w:val="18"/>
                <w:szCs w:val="18"/>
                <w:color w:val="auto"/>
              </w:rPr>
              <w:t>31</w:t>
            </w: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558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-864870</wp:posOffset>
            </wp:positionV>
            <wp:extent cx="7747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-847725</wp:posOffset>
            </wp:positionV>
            <wp:extent cx="7747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-847725</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223"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Company has granted restricted stock units ("RSUs") to certain employees. Holders of RSUs have no voting rights but generally are eligible to receive dividends or other distributions paid with respect to any RSUs that have not vested. Most of the shares currently vest one year from the grant date excluding the Hark, Bonaccord, and Executive Market Units, which are discussed in more detail below.</w:t>
      </w:r>
    </w:p>
    <w:p>
      <w:pPr>
        <w:spacing w:after="0" w:line="176" w:lineRule="exact"/>
        <w:rPr>
          <w:sz w:val="20"/>
          <w:szCs w:val="20"/>
          <w:color w:val="auto"/>
        </w:rPr>
      </w:pPr>
    </w:p>
    <w:p>
      <w:pPr>
        <w:ind w:right="160" w:firstLine="509"/>
        <w:spacing w:after="0" w:line="253" w:lineRule="auto"/>
        <w:rPr>
          <w:sz w:val="20"/>
          <w:szCs w:val="20"/>
          <w:color w:val="auto"/>
        </w:rPr>
      </w:pPr>
      <w:r>
        <w:rPr>
          <w:rFonts w:ascii="Times New Roman" w:cs="Times New Roman" w:eastAsia="Times New Roman" w:hAnsi="Times New Roman"/>
          <w:sz w:val="18"/>
          <w:szCs w:val="18"/>
          <w:color w:val="auto"/>
        </w:rPr>
        <w:t>At the time of the Bonaccord acquisition, the Company entered into a Notice of Restricted Stock Units with certain employees of Bonaccord for grants of Restricted Stock Units ("Bonaccord Units") to be allocated to employees at a later date for meeting certain performance metrics. The Bonaccord Units may not be transferred, sold, pledged, exchanged, assigned or otherwise encumbered or disposed of by any grantee until it has become vested. On August 16, 2022, allocations were finalized pursuant to which an aggregate value of $17.5 million of units may vest at each future achievement of performance metrics. As of September 30, 2024, certain performance metrics have been met and specific employees have earned $11.3 million in value, which $6.6 million was issued in shares and $4.7 million was issued in cash. The Company evaluates whether it is probable that the Bonaccord Units will vest and applies the tranche method to determine the amount of expense to recognize during the period. Future vested tranches will be settled in cash. An expense of $3.1 million and $3.2 million has been recorded for the three and nine months ended September 30, 2024, respectively, and $0.4 million and $5.6 million for the three and nine months ended September 30, 2023 on the Consolidated Statements of Operations. As of September 30, 2024, the Company deemed $16.1 million probable and $0.3 million is unrecognized expense.</w:t>
      </w:r>
    </w:p>
    <w:p>
      <w:pPr>
        <w:spacing w:after="0" w:line="19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At the time of the Hark acquisition, the Company entered into a Notice of Restricted Stock Units with an employee, which grants Restricted Stock Units ("Hark Units") for meeting a certain performance metric. The Hark Units may not be transferred, sold, pledged, exchanged, assigned or otherwise encumbered or disposed of by any grantee until they have become vested. All Hark Units have vested and been issued. An expense of $0 has been recorded for the three and nine months ended September 30, 2024, and $0 and $0.3 million for the three and nine months ended September 30, 2023, respectively, on the Consolidated Statements of Operations.</w:t>
      </w:r>
    </w:p>
    <w:p>
      <w:pPr>
        <w:spacing w:after="0" w:line="183" w:lineRule="exact"/>
        <w:rPr>
          <w:sz w:val="20"/>
          <w:szCs w:val="20"/>
          <w:color w:val="auto"/>
        </w:rPr>
      </w:pPr>
    </w:p>
    <w:p>
      <w:pPr>
        <w:ind w:right="40" w:firstLine="509"/>
        <w:spacing w:after="0" w:line="268" w:lineRule="auto"/>
        <w:rPr>
          <w:sz w:val="20"/>
          <w:szCs w:val="20"/>
          <w:color w:val="auto"/>
        </w:rPr>
      </w:pPr>
      <w:r>
        <w:rPr>
          <w:rFonts w:ascii="Times New Roman" w:cs="Times New Roman" w:eastAsia="Times New Roman" w:hAnsi="Times New Roman"/>
          <w:sz w:val="17"/>
          <w:szCs w:val="17"/>
          <w:color w:val="auto"/>
        </w:rPr>
        <w:t>At the time of Executive Transition, the Company entered into an Executive Transition Agreement with a certain former executive, which granted Restricted Stock Units ("Executive Transition Units") for meeting a service requirement. The Executive Transition Units may not be transferred, sold, pledged, exchanged, assigned, or otherwise encumbered or disposed of by any grantee until they have become vested. The award has a stated value of $4.0 million and will be issued in $1.0 million increments quarterly beginning on October 20, 2023, and at the start of each of the following three quarters. Each $1.0 million increment will vest one year following issuance. Attributes of this award include graded vesting and service conditions; therefore, the expense recognition of this award is recognized on straight-line basis over the requisite service period of the award in line with the policy election discussed in Note</w:t>
      </w:r>
    </w:p>
    <w:p>
      <w:pPr>
        <w:spacing w:after="0" w:line="5" w:lineRule="exact"/>
        <w:rPr>
          <w:sz w:val="20"/>
          <w:szCs w:val="20"/>
          <w:color w:val="auto"/>
        </w:rPr>
      </w:pPr>
    </w:p>
    <w:p>
      <w:pPr>
        <w:ind w:firstLine="8"/>
        <w:spacing w:after="0" w:line="253" w:lineRule="auto"/>
        <w:tabs>
          <w:tab w:leader="none" w:pos="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30, 2024, $4.0 million has been issued. For the three and nine months ended September 30, 2024, $1.8 million and $3.0 million of stock compensation expense, respectively, was recognized on the Consolidated Statements of Operations. No stock compensation expense for these units was incurred for the three and nine months ended September 30, 2023. The unrecognized expense associated with the Executive Transition Units was $0.5 million as of September 30, 2024.</w:t>
      </w:r>
    </w:p>
    <w:p>
      <w:pPr>
        <w:spacing w:after="0" w:line="18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At the time of Executive Transition, the Company entered into an Employment Agreement with a certain executive, which granted Restricted Stock Units ("Executive Market Units") for meeting a service requirement and achieving certain share price performance hurdles based on the thirty-day volume-weighted average price ("VWAP"). The executive is entitled to receive RSUs upon the thirty-day VWAP of the Company's common stock reaching certain per share prices at any time prior to the fifth anniversary of the start date. There are five price per share performance hurdles for the executive to meet with each hurdle achievement allowing for the issuance of $8.0 million of units, with the number of shares determined by dividing $8.0 million by the applicable stock price performance hurdle, for a total of up to $40.0 million of units or approximately 2 million shares. The Executive Market Units may not be transferred, sold, pledged, exchanged, assigned, or otherwise encumbered or disposed of by any grantee until they have become vested. The RSUs shall vest ratably on the third, fourth, and fifth anniversaries of the executive's start date, provided that no such units shall vest earlier than the first anniversary of the applicable issuance date of such units. The fair value was determined using a Monte Carlo simulation as of the executive's start date of October 23, 2023, and was determined to be $10.8 million. As of September 30, 2024, none of the Executive Market Units have vested. For the three and nine months ended September 30, 2024, $0.6 million and $2.0 million of stock compensation expense was recognized on the Consolidated Statements of Operations. No stock compensation expense for these units was incurred for the three and nine months ended September 30, 2023. The unrecognized expense associated with the Executive Market Units was $8.3 million as of September 30, 2024.</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below table shows the assumptions used in the Monte Carlo simulation for the Executive Market Units' fair value.</w:t>
      </w:r>
    </w:p>
    <w:p>
      <w:pPr>
        <w:spacing w:after="0" w:line="286" w:lineRule="exact"/>
        <w:rPr>
          <w:sz w:val="20"/>
          <w:szCs w:val="20"/>
          <w:color w:val="auto"/>
        </w:rPr>
      </w:pPr>
    </w:p>
    <w:tbl>
      <w:tblPr>
        <w:tblLayout w:type="fixed"/>
        <w:tblInd w:w="1820" w:type="dxa"/>
        <w:tblCellMar>
          <w:top w:w="0" w:type="dxa"/>
          <w:left w:w="0" w:type="dxa"/>
          <w:bottom w:w="0" w:type="dxa"/>
          <w:right w:w="0" w:type="dxa"/>
        </w:tblCellMar>
      </w:tblPr>
      <w:tr>
        <w:trPr>
          <w:trHeight w:val="190"/>
        </w:trPr>
        <w:tc>
          <w:tcPr>
            <w:tcW w:w="624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23"/>
        </w:trPr>
        <w:tc>
          <w:tcPr>
            <w:tcW w:w="624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624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October 23, 2023</w:t>
            </w:r>
          </w:p>
        </w:tc>
        <w:tc>
          <w:tcPr>
            <w:tcW w:w="0" w:type="dxa"/>
            <w:vAlign w:val="bottom"/>
          </w:tcPr>
          <w:p>
            <w:pPr>
              <w:spacing w:after="0"/>
              <w:rPr>
                <w:sz w:val="1"/>
                <w:szCs w:val="1"/>
                <w:color w:val="auto"/>
              </w:rPr>
            </w:pPr>
          </w:p>
        </w:tc>
      </w:tr>
      <w:tr>
        <w:trPr>
          <w:trHeight w:val="23"/>
        </w:trPr>
        <w:tc>
          <w:tcPr>
            <w:tcW w:w="6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6240" w:type="dxa"/>
            <w:vAlign w:val="bottom"/>
            <w:vMerge w:val="continue"/>
          </w:tcPr>
          <w:p>
            <w:pPr>
              <w:spacing w:after="0"/>
              <w:rPr>
                <w:sz w:val="20"/>
                <w:szCs w:val="20"/>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247"/>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3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r>
        <w:trPr>
          <w:trHeight w:val="239"/>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4.81%</w:t>
            </w:r>
          </w:p>
        </w:tc>
        <w:tc>
          <w:tcPr>
            <w:tcW w:w="0" w:type="dxa"/>
            <w:vAlign w:val="bottom"/>
          </w:tcPr>
          <w:p>
            <w:pPr>
              <w:spacing w:after="0"/>
              <w:rPr>
                <w:sz w:val="1"/>
                <w:szCs w:val="1"/>
                <w:color w:val="auto"/>
              </w:rPr>
            </w:pPr>
          </w:p>
        </w:tc>
      </w:tr>
      <w:tr>
        <w:trPr>
          <w:trHeight w:val="247"/>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3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1.42%</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below table excludes Executive Market Units that the market conditions have not been satisfied, Executive Transition Units that have not vested and are recorded as a liability, and Bonaccord or Hark Units that were issued outside of the Plan, that have not vested and are recorded as a liability or vested and settled in cash.</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580" w:type="dxa"/>
            <w:vAlign w:val="bottom"/>
          </w:tcPr>
          <w:p>
            <w:pPr>
              <w:spacing w:after="0"/>
              <w:rPr>
                <w:sz w:val="15"/>
                <w:szCs w:val="15"/>
                <w:color w:val="auto"/>
              </w:rPr>
            </w:pPr>
          </w:p>
        </w:tc>
        <w:tc>
          <w:tcPr>
            <w:tcW w:w="1800" w:type="dxa"/>
            <w:vAlign w:val="bottom"/>
          </w:tcPr>
          <w:p>
            <w:pPr>
              <w:jc w:val="center"/>
              <w:ind w:left="80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3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Weighted-Average Grant</w:t>
            </w:r>
          </w:p>
        </w:tc>
      </w:tr>
      <w:tr>
        <w:trPr>
          <w:trHeight w:val="187"/>
        </w:trPr>
        <w:tc>
          <w:tcPr>
            <w:tcW w:w="5580" w:type="dxa"/>
            <w:vAlign w:val="bottom"/>
          </w:tcPr>
          <w:p>
            <w:pPr>
              <w:spacing w:after="0"/>
              <w:rPr>
                <w:sz w:val="16"/>
                <w:szCs w:val="16"/>
                <w:color w:val="auto"/>
              </w:rPr>
            </w:pPr>
          </w:p>
        </w:tc>
        <w:tc>
          <w:tcPr>
            <w:tcW w:w="1800" w:type="dxa"/>
            <w:vAlign w:val="bottom"/>
          </w:tcPr>
          <w:p>
            <w:pPr>
              <w:jc w:val="center"/>
              <w:ind w:left="808"/>
              <w:spacing w:after="0"/>
              <w:rPr>
                <w:sz w:val="20"/>
                <w:szCs w:val="20"/>
                <w:color w:val="auto"/>
              </w:rPr>
            </w:pPr>
            <w:r>
              <w:rPr>
                <w:rFonts w:ascii="Times New Roman" w:cs="Times New Roman" w:eastAsia="Times New Roman" w:hAnsi="Times New Roman"/>
                <w:sz w:val="14"/>
                <w:szCs w:val="14"/>
                <w:b w:val="1"/>
                <w:bCs w:val="1"/>
                <w:color w:val="auto"/>
              </w:rPr>
              <w:t>RSUs</w:t>
            </w: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Date Fair Value Per RSU</w:t>
            </w:r>
          </w:p>
        </w:tc>
      </w:tr>
      <w:tr>
        <w:trPr>
          <w:trHeight w:val="232"/>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8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1,418,094</w:t>
            </w:r>
          </w:p>
        </w:tc>
        <w:tc>
          <w:tcPr>
            <w:tcW w:w="34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00" w:type="dxa"/>
            <w:vAlign w:val="bottom"/>
          </w:tcPr>
          <w:p>
            <w:pPr>
              <w:spacing w:after="0"/>
              <w:rPr>
                <w:sz w:val="20"/>
                <w:szCs w:val="20"/>
                <w:color w:val="auto"/>
              </w:rPr>
            </w:pPr>
          </w:p>
        </w:tc>
      </w:tr>
      <w:tr>
        <w:trPr>
          <w:trHeight w:val="247"/>
        </w:trPr>
        <w:tc>
          <w:tcPr>
            <w:tcW w:w="73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1,241,344</w:t>
            </w:r>
          </w:p>
        </w:tc>
        <w:tc>
          <w:tcPr>
            <w:tcW w:w="3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00" w:type="dxa"/>
            <w:vAlign w:val="bottom"/>
            <w:shd w:val="clear" w:color="auto" w:fill="CFF0FC"/>
          </w:tcPr>
          <w:p>
            <w:pPr>
              <w:spacing w:after="0"/>
              <w:rPr>
                <w:sz w:val="21"/>
                <w:szCs w:val="21"/>
                <w:color w:val="auto"/>
              </w:rPr>
            </w:pPr>
          </w:p>
        </w:tc>
      </w:tr>
      <w:tr>
        <w:trPr>
          <w:trHeight w:val="239"/>
        </w:trPr>
        <w:tc>
          <w:tcPr>
            <w:tcW w:w="7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(750,714 )</w:t>
            </w:r>
          </w:p>
        </w:tc>
        <w:tc>
          <w:tcPr>
            <w:tcW w:w="300" w:type="dxa"/>
            <w:vAlign w:val="bottom"/>
          </w:tcPr>
          <w:p>
            <w:pPr>
              <w:spacing w:after="0"/>
              <w:rPr>
                <w:sz w:val="20"/>
                <w:szCs w:val="20"/>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00" w:type="dxa"/>
            <w:vAlign w:val="bottom"/>
          </w:tcPr>
          <w:p>
            <w:pPr>
              <w:spacing w:after="0"/>
              <w:rPr>
                <w:sz w:val="20"/>
                <w:szCs w:val="20"/>
                <w:color w:val="auto"/>
              </w:rPr>
            </w:pPr>
          </w:p>
        </w:tc>
      </w:tr>
      <w:tr>
        <w:trPr>
          <w:trHeight w:val="247"/>
        </w:trPr>
        <w:tc>
          <w:tcPr>
            <w:tcW w:w="55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80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(3,819 )</w:t>
            </w:r>
          </w:p>
        </w:tc>
        <w:tc>
          <w:tcPr>
            <w:tcW w:w="300" w:type="dxa"/>
            <w:vAlign w:val="bottom"/>
            <w:shd w:val="clear" w:color="auto" w:fill="CFF0FC"/>
          </w:tcPr>
          <w:p>
            <w:pPr>
              <w:spacing w:after="0"/>
              <w:rPr>
                <w:sz w:val="21"/>
                <w:szCs w:val="21"/>
                <w:color w:val="auto"/>
              </w:rPr>
            </w:pP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00" w:type="dxa"/>
            <w:vAlign w:val="bottom"/>
            <w:shd w:val="clear" w:color="auto" w:fill="CFF0FC"/>
          </w:tcPr>
          <w:p>
            <w:pPr>
              <w:spacing w:after="0"/>
              <w:rPr>
                <w:sz w:val="21"/>
                <w:szCs w:val="21"/>
                <w:color w:val="auto"/>
              </w:rPr>
            </w:pPr>
          </w:p>
        </w:tc>
      </w:tr>
      <w:tr>
        <w:trPr>
          <w:trHeight w:val="237"/>
        </w:trPr>
        <w:tc>
          <w:tcPr>
            <w:tcW w:w="55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Outstanding as of September 30, 2024</w:t>
            </w:r>
          </w:p>
        </w:tc>
        <w:tc>
          <w:tcPr>
            <w:tcW w:w="18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1,904,905</w:t>
            </w:r>
          </w:p>
        </w:tc>
        <w:tc>
          <w:tcPr>
            <w:tcW w:w="34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00" w:type="dxa"/>
            <w:vAlign w:val="bottom"/>
            <w:tcBorders>
              <w:top w:val="single" w:sz="8" w:color="CFF0FC"/>
            </w:tcBorders>
          </w:tcPr>
          <w:p>
            <w:pPr>
              <w:spacing w:after="0"/>
              <w:rPr>
                <w:sz w:val="20"/>
                <w:szCs w:val="20"/>
                <w:color w:val="auto"/>
              </w:rPr>
            </w:pPr>
          </w:p>
        </w:tc>
      </w:tr>
      <w:tr>
        <w:trPr>
          <w:trHeight w:val="20"/>
        </w:trPr>
        <w:tc>
          <w:tcPr>
            <w:tcW w:w="558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-187960</wp:posOffset>
            </wp:positionV>
            <wp:extent cx="7747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Earnings Per Share</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Company presents basic EPS and diluted EPS for our common stock. Basic EPS excludes potential dilution and is computed by dividing net income by the weighted-average number of common shares outstanding for the period. Diluted EPS reflects the potential dilution that could occur if shares of common stock were issued pursuant to our stock-based compensation awards. For the three and nine months ended September 30, 2024, diluted EPS also reflects the potential dilution that could occur assuming that all units in P10 Intermediate that were granted as a result of the WTI acquisition are converted to shares of Class A common stock. Because the impact of these items is generally anti-dilutive during periods of net loss, there is no difference between basic and diluted loss per common share for periods with net losses.</w:t>
      </w:r>
    </w:p>
    <w:p>
      <w:pPr>
        <w:spacing w:after="0" w:line="187"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The Company has Class A and Class B shares outstanding, therefore follows the two-class method. However, the shares are entitled to the same amount of the Company's earnings therefore the earnings per share calculation for Class A and Class B shares will always be equivalent.</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3" w:name="page34"/>
    <w:bookmarkEnd w:id="3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a reconciliation of the numerators and denominators used in the computation of basic and diluted EPS:</w:t>
      </w:r>
    </w:p>
    <w:p>
      <w:pPr>
        <w:spacing w:after="0" w:line="24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8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260" w:type="dxa"/>
            <w:vAlign w:val="bottom"/>
          </w:tcPr>
          <w:p>
            <w:pPr>
              <w:spacing w:after="0"/>
              <w:rPr>
                <w:sz w:val="13"/>
                <w:szCs w:val="13"/>
                <w:color w:val="auto"/>
              </w:rPr>
            </w:pPr>
          </w:p>
        </w:tc>
        <w:tc>
          <w:tcPr>
            <w:tcW w:w="226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0" w:type="dxa"/>
            <w:vAlign w:val="bottom"/>
          </w:tcPr>
          <w:p>
            <w:pPr>
              <w:spacing w:after="0"/>
              <w:rPr>
                <w:sz w:val="1"/>
                <w:szCs w:val="1"/>
                <w:color w:val="auto"/>
              </w:rPr>
            </w:pPr>
          </w:p>
        </w:tc>
      </w:tr>
      <w:tr>
        <w:trPr>
          <w:trHeight w:val="190"/>
        </w:trPr>
        <w:tc>
          <w:tcPr>
            <w:tcW w:w="5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8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260" w:type="dxa"/>
            <w:vAlign w:val="bottom"/>
          </w:tcPr>
          <w:p>
            <w:pPr>
              <w:spacing w:after="0"/>
              <w:rPr>
                <w:sz w:val="16"/>
                <w:szCs w:val="16"/>
                <w:color w:val="auto"/>
              </w:rPr>
            </w:pPr>
          </w:p>
        </w:tc>
        <w:tc>
          <w:tcPr>
            <w:tcW w:w="226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0" w:type="dxa"/>
            <w:vAlign w:val="bottom"/>
          </w:tcPr>
          <w:p>
            <w:pPr>
              <w:spacing w:after="0"/>
              <w:rPr>
                <w:sz w:val="1"/>
                <w:szCs w:val="1"/>
                <w:color w:val="auto"/>
              </w:rPr>
            </w:pPr>
          </w:p>
        </w:tc>
      </w:tr>
      <w:tr>
        <w:trPr>
          <w:trHeight w:val="172"/>
        </w:trPr>
        <w:tc>
          <w:tcPr>
            <w:tcW w:w="55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5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Numerator for basic calculation—Net income/(loss)</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5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Numerator for basic calculation—Net income/(loss)</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5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attributable to P10</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(8,416 )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13,420</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(6,048 )</w:t>
            </w:r>
          </w:p>
        </w:tc>
        <w:tc>
          <w:tcPr>
            <w:tcW w:w="0" w:type="dxa"/>
            <w:vAlign w:val="bottom"/>
          </w:tcPr>
          <w:p>
            <w:pPr>
              <w:spacing w:after="0"/>
              <w:rPr>
                <w:sz w:val="1"/>
                <w:szCs w:val="1"/>
                <w:color w:val="auto"/>
              </w:rPr>
            </w:pPr>
          </w:p>
        </w:tc>
      </w:tr>
      <w:tr>
        <w:trPr>
          <w:trHeight w:val="239"/>
        </w:trPr>
        <w:tc>
          <w:tcPr>
            <w:tcW w:w="5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Adjustment for:</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income/(loss) attributable to noncontrolling interests in P10</w:t>
            </w:r>
          </w:p>
        </w:tc>
        <w:tc>
          <w:tcPr>
            <w:tcW w:w="260" w:type="dxa"/>
            <w:vAlign w:val="bottom"/>
            <w:shd w:val="clear" w:color="auto" w:fill="CFF0FC"/>
          </w:tcPr>
          <w:p>
            <w:pPr>
              <w:spacing w:after="0"/>
              <w:rPr>
                <w:sz w:val="18"/>
                <w:szCs w:val="18"/>
                <w:color w:val="auto"/>
              </w:rPr>
            </w:pPr>
          </w:p>
        </w:tc>
        <w:tc>
          <w:tcPr>
            <w:tcW w:w="108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(73 )</w:t>
            </w:r>
          </w:p>
        </w:tc>
        <w:tc>
          <w:tcPr>
            <w:tcW w:w="240" w:type="dxa"/>
            <w:vAlign w:val="bottom"/>
            <w:shd w:val="clear" w:color="auto" w:fill="CFF0FC"/>
          </w:tcPr>
          <w:p>
            <w:pPr>
              <w:spacing w:after="0"/>
              <w:rPr>
                <w:sz w:val="18"/>
                <w:szCs w:val="18"/>
                <w:color w:val="auto"/>
              </w:rPr>
            </w:pPr>
          </w:p>
        </w:tc>
        <w:tc>
          <w:tcPr>
            <w:tcW w:w="10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(334 )</w:t>
            </w:r>
          </w:p>
        </w:tc>
        <w:tc>
          <w:tcPr>
            <w:tcW w:w="260" w:type="dxa"/>
            <w:vAlign w:val="bottom"/>
            <w:shd w:val="clear" w:color="auto" w:fill="CFF0FC"/>
          </w:tcPr>
          <w:p>
            <w:pPr>
              <w:spacing w:after="0"/>
              <w:rPr>
                <w:sz w:val="18"/>
                <w:szCs w:val="18"/>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Intermediate</w:t>
            </w:r>
          </w:p>
        </w:tc>
        <w:tc>
          <w:tcPr>
            <w:tcW w:w="260" w:type="dxa"/>
            <w:vAlign w:val="bottom"/>
            <w:shd w:val="clear" w:color="auto" w:fill="CFF0FC"/>
          </w:tcPr>
          <w:p>
            <w:pPr>
              <w:spacing w:after="0"/>
              <w:rPr>
                <w:sz w:val="20"/>
                <w:szCs w:val="20"/>
                <w:color w:val="auto"/>
              </w:rPr>
            </w:pPr>
          </w:p>
        </w:tc>
        <w:tc>
          <w:tcPr>
            <w:tcW w:w="1080" w:type="dxa"/>
            <w:vAlign w:val="bottom"/>
            <w:gridSpan w:val="2"/>
            <w:vMerge w:val="continue"/>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60" w:type="dxa"/>
            <w:vAlign w:val="bottom"/>
            <w:gridSpan w:val="2"/>
            <w:vMerge w:val="continue"/>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5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Numerator for earnings/(loss) per share</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87"/>
        </w:trPr>
        <w:tc>
          <w:tcPr>
            <w:tcW w:w="55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Numerator for earnings/(loss) per share assuming dilution</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220" w:type="dxa"/>
            <w:vAlign w:val="bottom"/>
            <w:shd w:val="clear" w:color="auto" w:fill="CFF0FC"/>
          </w:tcPr>
          <w:p>
            <w:pPr>
              <w:spacing w:after="0"/>
              <w:rPr>
                <w:sz w:val="24"/>
                <w:szCs w:val="24"/>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(8,750 )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13,966</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(5,879 )</w:t>
            </w:r>
          </w:p>
        </w:tc>
        <w:tc>
          <w:tcPr>
            <w:tcW w:w="0" w:type="dxa"/>
            <w:vAlign w:val="bottom"/>
          </w:tcPr>
          <w:p>
            <w:pPr>
              <w:spacing w:after="0"/>
              <w:rPr>
                <w:sz w:val="1"/>
                <w:szCs w:val="1"/>
                <w:color w:val="auto"/>
              </w:rPr>
            </w:pPr>
          </w:p>
        </w:tc>
      </w:tr>
      <w:tr>
        <w:trPr>
          <w:trHeight w:val="219"/>
        </w:trPr>
        <w:tc>
          <w:tcPr>
            <w:tcW w:w="55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5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Denominator for basic calculation—Weighted-</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5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average shares outstanding, basic attributable to P10</w:t>
            </w: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111,374</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116,235</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112,954</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116,134</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Weighted shares assumed upon exercise of partnership units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3,917</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3,917</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5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Weighted shares assumed upon exercise of stock</w:t>
            </w:r>
          </w:p>
        </w:tc>
        <w:tc>
          <w:tcPr>
            <w:tcW w:w="260" w:type="dxa"/>
            <w:vAlign w:val="bottom"/>
            <w:shd w:val="clear" w:color="auto" w:fill="CFF0FC"/>
          </w:tcPr>
          <w:p>
            <w:pPr>
              <w:spacing w:after="0"/>
              <w:rPr>
                <w:sz w:val="18"/>
                <w:szCs w:val="18"/>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3,985</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3,867</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50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options and vesting of restricted stock units</w:t>
            </w:r>
          </w:p>
        </w:tc>
        <w:tc>
          <w:tcPr>
            <w:tcW w:w="26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vMerge w:val="continue"/>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vMerge w:val="continue"/>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vMerge w:val="continue"/>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Denominator for earnings/(loss) per share assuming dilution</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119,276</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116,235</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120,738</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116,134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Earnings/(loss) per Class A share—basic</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(0.07 )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(0.05 )</w:t>
            </w:r>
          </w:p>
        </w:tc>
        <w:tc>
          <w:tcPr>
            <w:tcW w:w="0" w:type="dxa"/>
            <w:vAlign w:val="bottom"/>
          </w:tcPr>
          <w:p>
            <w:pPr>
              <w:spacing w:after="0"/>
              <w:rPr>
                <w:sz w:val="1"/>
                <w:szCs w:val="1"/>
                <w:color w:val="auto"/>
              </w:rPr>
            </w:pPr>
          </w:p>
        </w:tc>
      </w:tr>
      <w:tr>
        <w:trPr>
          <w:trHeight w:val="239"/>
        </w:trPr>
        <w:tc>
          <w:tcPr>
            <w:tcW w:w="5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Earnings/(loss) per Class A share—diluted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(0.07 )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(0.05 )</w:t>
            </w:r>
          </w:p>
        </w:tc>
        <w:tc>
          <w:tcPr>
            <w:tcW w:w="0" w:type="dxa"/>
            <w:vAlign w:val="bottom"/>
          </w:tcPr>
          <w:p>
            <w:pPr>
              <w:spacing w:after="0"/>
              <w:rPr>
                <w:sz w:val="1"/>
                <w:szCs w:val="1"/>
                <w:color w:val="auto"/>
              </w:rPr>
            </w:pPr>
          </w:p>
        </w:tc>
      </w:tr>
      <w:tr>
        <w:trPr>
          <w:trHeight w:val="247"/>
        </w:trPr>
        <w:tc>
          <w:tcPr>
            <w:tcW w:w="55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Earnings/(loss) per Class B share—basic</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(0.07 )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(0.05 )</w:t>
            </w:r>
          </w:p>
        </w:tc>
        <w:tc>
          <w:tcPr>
            <w:tcW w:w="0" w:type="dxa"/>
            <w:vAlign w:val="bottom"/>
          </w:tcPr>
          <w:p>
            <w:pPr>
              <w:spacing w:after="0"/>
              <w:rPr>
                <w:sz w:val="1"/>
                <w:szCs w:val="1"/>
                <w:color w:val="auto"/>
              </w:rPr>
            </w:pPr>
          </w:p>
        </w:tc>
      </w:tr>
      <w:tr>
        <w:trPr>
          <w:trHeight w:val="234"/>
        </w:trPr>
        <w:tc>
          <w:tcPr>
            <w:tcW w:w="5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Earnings/(loss) per Class B share—diluted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(0.07 )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-2025650</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-2025650</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-2025650</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-2025650</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-1708150</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-1691005</wp:posOffset>
            </wp:positionV>
            <wp:extent cx="6858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-1708150</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-1691005</wp:posOffset>
            </wp:positionV>
            <wp:extent cx="6858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-1708150</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-1691005</wp:posOffset>
            </wp:positionV>
            <wp:extent cx="6858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-1708150</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-1691005</wp:posOffset>
            </wp:positionV>
            <wp:extent cx="6858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-799465</wp:posOffset>
            </wp:positionV>
            <wp:extent cx="6858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-799465</wp:posOffset>
            </wp:positionV>
            <wp:extent cx="6858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-799465</wp:posOffset>
            </wp:positionV>
            <wp:extent cx="6858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-799465</wp:posOffset>
            </wp:positionV>
            <wp:extent cx="6858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6"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computations of diluted earnings per share on a weighted average basis would exclude 8.1 million and 10.1 million options for the three and nine months ended September 30, 2024, respectively, because the options were anti-dilutive. The computations of diluted earnings per share on a weighted average basis exclude 1.8 million and 3.2 million options for the three and nine months ended September 30, 2023, respectively, because the options were anti-dilutive.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Subsequent Events</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Board of Directors of the Company has declared a quarterly cash dividend of $0.035 per share of Class A and Class B common stock, payable on December 20, 2024, to the holders of record as of the close of business on November 29, 2024.</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Robert Alpert and C. Clark Webb resigned from the Company's Board of Directors, effective November 7, 2024.</w:t>
      </w:r>
    </w:p>
    <w:p>
      <w:pPr>
        <w:spacing w:after="0" w:line="223" w:lineRule="exact"/>
        <w:rPr>
          <w:sz w:val="20"/>
          <w:szCs w:val="20"/>
          <w:color w:val="auto"/>
        </w:rPr>
      </w:pPr>
    </w:p>
    <w:p>
      <w:pPr>
        <w:ind w:firstLine="509"/>
        <w:spacing w:after="0" w:line="267" w:lineRule="auto"/>
        <w:rPr>
          <w:sz w:val="20"/>
          <w:szCs w:val="20"/>
          <w:color w:val="auto"/>
        </w:rPr>
      </w:pPr>
      <w:r>
        <w:rPr>
          <w:rFonts w:ascii="Times New Roman" w:cs="Times New Roman" w:eastAsia="Times New Roman" w:hAnsi="Times New Roman"/>
          <w:sz w:val="18"/>
          <w:szCs w:val="18"/>
          <w:color w:val="auto"/>
        </w:rPr>
        <w:t xml:space="preserve">In accordance with ASC 855,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the Company evaluated all material events or transactions that occurred after September 30, 2024, the Consolidated Balance Sheets date, through the date the Consolidated Financial Statements were issued, and determined there have been no additional events or transactions that would materially impact the Consolidated Financial Statements.</w:t>
      </w:r>
    </w:p>
    <w:p>
      <w:pPr>
        <w:spacing w:after="0" w:line="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5" w:right="3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relates to the activities and operations of P10. As used in this section, “P10,” the “Company”, “we” or “our” includes P10 and only its consolidated subsidiaries. The following information should be read in conjunction with our selected financial and operating data and the accompanying consolidated financial statements and related notes contained elsewhere in this quarterly report on Form 10-Q. Our historical results discussed below, and the way we evaluate our results, may differ significantly from the descriptions of our business and key metrics used elsewhere in this quarterly report on Form 10-Q. The following discussion may contain forward-looking statements that reflects our plans, estimates and beliefs. Our actual results could differ materially from those discussed in these forward-looking statements. Factors that could cause or contribute to these differences include, but are not limited to, those discussed below and elsewhere in this Form 10-Q, and in our annual report on Form 10-K for the year ended December 31, 2023, particularly in "Risk Factors" and the "Forward-Looking Information." Unless otherwise indicated, references in this Quarterly Report on Form 10-Q to fiscal 2024 and 2023 are to our fiscal years ended December 31, 2024 and 2023, respectively.</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02"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We are a leading multi-asset class private market solutions provider in the alternative asset management industry. Our mission is to provide our investors differentiated access to a broad set of solutions and investment vehicles across highly attractive asset classes and geographies that generate superior risk-adjusted returns. Our success and growth have been driven by our position in the private markets’ ecosystem, providing investors with specialized private market solutions across a comprehensive set of investment strategies, including primary investment funds, secondary investment, direct investment and co-investments and advisory solutions. As investors entrust us with additional capital, our relationships with our fund managers are strengthened, which drives additional investment opportunities, sources more data, enables portfolio optimization and enhances returns, and in turn attracts new investors.</w:t>
      </w:r>
    </w:p>
    <w:p>
      <w:pPr>
        <w:spacing w:after="0" w:line="18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On October 20, 2023, the Company entered into an executive transition agreement with each of Mr. Alpert and Mr. Webb (each, a "Transition Agreement"). Pursuant to the Transition Agreements, Mr. Alpert and Mr. Webb ceased to serve as Co-Chief Executive Officer, and Mr. Alpert and Mr. Webb were appointed as Executive Chairman and Executive Vice Chairman, respectively, for a one-year period. Additionally, Mr. Webb's Transition Agreement provides a one-year transition period to continue servicing the Company in a mergers and acquisitions capacity. Effective October 23, 2023, the board of the Company appointed Luke A. Sarsfield III as Chief Executive Officer ("CEO") of the Company. In connection with his appointment as CEO, the Company entered into an employment agreement with Mr. Sarsfield (the "Employment Agreement") setting forth the terms of his employment and compensation. In connection with both the Transition Agreements and the Employment Agreement, provisions were made for severance and sign-on compensation, respectively. Effective June 14, 2024, Mr. Alpert resigned as Executive Chairman and the board of the Company appointed CEO and President Mr. Sarsfield to Chairman of the Board. In connection with Mr. Alpert's resignation as Executive Chairman, the Company and Mr. Alpert agreed to the early termination of Mr. Alpert's Transition Agreement. The associated expenses were recorded in compensation and benefits on the Consolidated Statements of Operations. Mr. Webb's Transition Agreement terminated in accordance with its terms on October 23, 2024.</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September 30, 2024, our private market solutions were comprised of the following:</w:t>
      </w:r>
    </w:p>
    <w:p>
      <w:pPr>
        <w:spacing w:after="0" w:line="115" w:lineRule="exact"/>
        <w:rPr>
          <w:sz w:val="20"/>
          <w:szCs w:val="20"/>
          <w:color w:val="auto"/>
        </w:rPr>
      </w:pPr>
    </w:p>
    <w:p>
      <w:pPr>
        <w:ind w:left="1020" w:right="20" w:hanging="503"/>
        <w:spacing w:after="0" w:line="253"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Private Equity Solutions (PES)</w:t>
      </w:r>
      <w:r>
        <w:rPr>
          <w:rFonts w:ascii="Times New Roman" w:cs="Times New Roman" w:eastAsia="Times New Roman" w:hAnsi="Times New Roman"/>
          <w:sz w:val="18"/>
          <w:szCs w:val="18"/>
          <w:color w:val="auto"/>
        </w:rPr>
        <w:t>. Under PES, we make direct and indirect investments in middle and lower- middle market private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across North America. PES also makes minority equity investments in a diversified portfolio of mid-sized managers across private equity, private credit, real estate and real assets. The PES investment team, which is comprised of 43 investment professionals with an average of 26+ years of experience, has deep and long-standing investor and fund manager relationships in the middle and lower-middle market which it has cultivated over the past 20 years, including over 2,120+ investors, 285+ fund managers, 550+ private market funds and 5,100+ portfolio companies. We have 57 active investment vehicles. PES occupies a differentiated position within the private markets ecosystem helping our investors access, perform due diligence, analyze and invest in what we believe are attractive middle and lower-middle market private equity opportunities. We are further differentiated by the scale, depth, diversity, and accuracy of our constantly expanding proprietary private markets database that contains comprehensive information on more than 5,880 investment firms, 10,700 funds, 48,000 individual transactions, 32,000 private companies and 334,000 financial metrics. As of September 30, 2024, PES managed $13.4 billion of Fee-Paying Assets Under Management ("FPAUM").</w:t>
      </w:r>
    </w:p>
    <w:p>
      <w:pPr>
        <w:spacing w:after="0" w:line="83" w:lineRule="exact"/>
        <w:rPr>
          <w:rFonts w:ascii="Times New Roman" w:cs="Times New Roman" w:eastAsia="Times New Roman" w:hAnsi="Times New Roman"/>
          <w:sz w:val="18"/>
          <w:szCs w:val="18"/>
          <w:color w:val="auto"/>
        </w:rPr>
      </w:pPr>
    </w:p>
    <w:p>
      <w:pPr>
        <w:ind w:left="1020" w:right="20" w:hanging="503"/>
        <w:spacing w:after="0" w:line="267"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Venture Capital Solutions (VCS). </w:t>
      </w:r>
      <w:r>
        <w:rPr>
          <w:rFonts w:ascii="Times New Roman" w:cs="Times New Roman" w:eastAsia="Times New Roman" w:hAnsi="Times New Roman"/>
          <w:sz w:val="18"/>
          <w:szCs w:val="18"/>
          <w:color w:val="auto"/>
        </w:rPr>
        <w:t>Under VCS, we make investments in venture capital funds across North America and specialize in targeting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high-performing, access-constrained opportunities. The VCS investment team, which is comprised of 15 investment professionals with an average of 24+ years of experience, has deep</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5" w:name="page36"/>
    <w:bookmarkEnd w:id="35"/>
    <w:p>
      <w:pPr>
        <w:ind w:left="1020"/>
        <w:spacing w:after="0" w:line="256" w:lineRule="auto"/>
        <w:rPr>
          <w:sz w:val="20"/>
          <w:szCs w:val="20"/>
          <w:color w:val="auto"/>
        </w:rPr>
      </w:pPr>
      <w:r>
        <w:rPr>
          <w:rFonts w:ascii="Times New Roman" w:cs="Times New Roman" w:eastAsia="Times New Roman" w:hAnsi="Times New Roman"/>
          <w:sz w:val="18"/>
          <w:szCs w:val="18"/>
          <w:color w:val="auto"/>
        </w:rPr>
        <w:t>and long-standing investor and fund manager relationships in the venture market which it has cultivated over the past 14+ years, including over 1,900+ investors, 90+ fund managers, 95+ direct investments, 385+ private market funds and 13,100+ portfolio companies. We have 20 active investment vehicles. Our VCS solution is differentiated by our innovative strategic partnerships and our vantage point within the venture capital and technology ecosystems, maximizing advantages for our investors. In addition, since 2011, we have partnered with Forbes to publish the Midas List, a ranking of the top value-creating venture capitalists. As of September 30, 2024, VCS managed $6.4 billion of FPAUM.</w:t>
      </w:r>
    </w:p>
    <w:p>
      <w:pPr>
        <w:spacing w:after="0" w:line="77" w:lineRule="exact"/>
        <w:rPr>
          <w:sz w:val="20"/>
          <w:szCs w:val="20"/>
          <w:color w:val="auto"/>
        </w:rPr>
      </w:pPr>
    </w:p>
    <w:p>
      <w:pPr>
        <w:ind w:left="1020" w:hanging="503"/>
        <w:spacing w:after="0" w:line="25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Private Credit Solutions (PCS). </w:t>
      </w:r>
      <w:r>
        <w:rPr>
          <w:rFonts w:ascii="Times New Roman" w:cs="Times New Roman" w:eastAsia="Times New Roman" w:hAnsi="Times New Roman"/>
          <w:sz w:val="18"/>
          <w:szCs w:val="18"/>
          <w:color w:val="auto"/>
        </w:rPr>
        <w:t>Under PCS, we primarily make debt investments across North America, targeting lower middle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owned by leading financial sponsors and also offer certain private equity solutions. PCS also provides loans to mid-life, growth equity, venture and other funds backed by the unrealized investments at the fund level and provide financing for companies that would otherwise require equity. The PCS investment team, which is comprised of 55 investment professionals with an average of 25+ years of experience, has deep and long-standing relationships in the private credit market which it has cultivated over the past 22 years, including 420+ investors across 50 active investment vehicles and 1,800+ portfolio companies with $9.8+ billion capital deployed. Our PCS is differentiated by our relationship-driven sourcing approach providing capital solutions for growth-oriented companies. We are further synergistically strengthened by our PES network of fund managers, characterized by more than 655 credit opportunities annually. We currently maintain 80+ active sponsor relationships and have 120+ platform investments. Within PCS, the Company has investments that target renewable energy development and historic building renovation projects, as well as providing capital to small businesses that are women or minority owned or operating in underserved communities. These investments are differentiated in both the breadth of impact areas served, the type of capital deployed and the duration of the impact investing track record. From the impact investing inception in 1999 through September 30, 2024, inclusive of proprietary assets and assets managed by affiliates, Enhanced Capital has raised a total of $6.3 billion. Of the total AUM, impact assets represent $4.2 billion invested in over 950 projects and businesses across 40 states, Washington DC, and Puerto Rico and does not include investments made by non-impact affiliates. Investments in clean energy have generated an estimate of over 2,229 GWh of renewable energy from inception to December 31, 2023. As of September 30, 2024, PCS managed approximately $5.1 billion of FPAUM.</w:t>
      </w:r>
    </w:p>
    <w:p>
      <w:pPr>
        <w:spacing w:after="0" w:line="19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During 2022, the Board approved a program to repurchase up to $40.0 million of outstanding shares of our Class A and Class B common stock. Upon completion of purchases under the prior authorizations, on February 27, 2024, the Board of Directors authorized an additional $40.0 million for repurchases under the Stock Repurchase Program. On August 6, 2024, the Board of Directors authorized an additional $12.0 million for repurchases under the Stock Repurchase Program. These shares may be repurchased from time to time in the open market at prevailing market prices, in privately negotiated transactions, in block trades, in accordance with Rule 10b5-1 trading plans and/or through other legally permissible means. The timing and amount of any repurchases pursuant to the program will depend on various factors including, the market price of our Class A Common Stock, trading volume, ongoing assessment of our working capital needs, general market conditions, and other factors. As of September 30, 2024, $78.1 million has been spent to buy back shares under this program.</w:t>
      </w:r>
    </w:p>
    <w:p>
      <w:pPr>
        <w:spacing w:after="0" w:line="1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Sources of Revenue</w:t>
      </w:r>
    </w:p>
    <w:p>
      <w:pPr>
        <w:spacing w:after="0" w:line="202"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Our sources of revenue currently include fund management fee contracts, advisory service fee contracts, consulting agreements, referral fees, subscriptions and other services. The majority of our revenues are generated through long-term, fixed fee management and advisory contracts with our investors for providing investment solutions in the following vehicles for our investors:</w:t>
      </w:r>
    </w:p>
    <w:p>
      <w:pPr>
        <w:spacing w:after="0" w:line="66" w:lineRule="exact"/>
        <w:rPr>
          <w:sz w:val="20"/>
          <w:szCs w:val="20"/>
          <w:color w:val="auto"/>
        </w:rPr>
      </w:pPr>
    </w:p>
    <w:p>
      <w:pPr>
        <w:ind w:left="1020" w:right="80" w:hanging="503"/>
        <w:spacing w:after="0" w:line="255"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Primary Investment Funds. </w:t>
      </w:r>
      <w:r>
        <w:rPr>
          <w:rFonts w:ascii="Times New Roman" w:cs="Times New Roman" w:eastAsia="Times New Roman" w:hAnsi="Times New Roman"/>
          <w:sz w:val="18"/>
          <w:szCs w:val="18"/>
          <w:color w:val="auto"/>
        </w:rPr>
        <w:t>Primary investment funds refer to investment vehicles which target investments in new private markets funds,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in turn invest directly in portfolio companies. P10’s primary investment funds include both commingled investment vehicles with multiple investors as well as customizable separate accounts, which typically include one investor. Primary investments are made during a fundraising period in the form of capital commitments, which are called upon by the fund manager and utilized to finance its investments in portfolio companies during a predefined investment period. We receive a fee stream that is typically based on our investor’s committed, locked-in capital; capital commitments that typically average ten to fifteen years, though they may vary by fund and strategy. We offer primary investment funds across private equity and venture capital solutions. Often, the fees are structured such that they step down, or decrease, over the life of the fund. Our primary funds comprise approximately $13.7 billion of our FPAUM as of September 30, 2024.</w:t>
      </w:r>
    </w:p>
    <w:p>
      <w:pPr>
        <w:spacing w:after="0" w:line="76" w:lineRule="exact"/>
        <w:rPr>
          <w:rFonts w:ascii="Times New Roman" w:cs="Times New Roman" w:eastAsia="Times New Roman" w:hAnsi="Times New Roman"/>
          <w:sz w:val="18"/>
          <w:szCs w:val="18"/>
          <w:color w:val="auto"/>
        </w:rPr>
      </w:pPr>
    </w:p>
    <w:p>
      <w:pPr>
        <w:ind w:left="1020" w:right="660" w:hanging="503"/>
        <w:spacing w:after="0" w:line="284"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Direct and Co-Investment Funds. </w:t>
      </w:r>
      <w:r>
        <w:rPr>
          <w:rFonts w:ascii="Times New Roman" w:cs="Times New Roman" w:eastAsia="Times New Roman" w:hAnsi="Times New Roman"/>
          <w:sz w:val="18"/>
          <w:szCs w:val="18"/>
          <w:color w:val="auto"/>
        </w:rPr>
        <w:t>Direct and co-investments involve acquiring an equity interest in or making a loan to an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project, property, alternative asset manager, or asset, typically by co-investing</w:t>
      </w:r>
    </w:p>
    <w:p>
      <w:pPr>
        <w:spacing w:after="0" w:line="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36" w:name="page37"/>
    <w:bookmarkEnd w:id="36"/>
    <w:p>
      <w:pPr>
        <w:ind w:left="1020"/>
        <w:spacing w:after="0" w:line="254" w:lineRule="auto"/>
        <w:rPr>
          <w:sz w:val="20"/>
          <w:szCs w:val="20"/>
          <w:color w:val="auto"/>
        </w:rPr>
      </w:pPr>
      <w:r>
        <w:rPr>
          <w:rFonts w:ascii="Times New Roman" w:cs="Times New Roman" w:eastAsia="Times New Roman" w:hAnsi="Times New Roman"/>
          <w:sz w:val="18"/>
          <w:szCs w:val="18"/>
          <w:color w:val="auto"/>
        </w:rPr>
        <w:t>alongside an investment by a fund manager or by investing directly in the underlying asset. P10’s direct and co- investment funds include both commingled investment vehicles with multiple investors as well as customizable separate accounts, which typically include one investor. Capital committed to direct investments and co-investments is typically invested immediately, thereby advancing the timing of expected returns on investment. We typically receive fees from investors based upon committed capital, with some funds receiving fees based on invested capital; capital commitments, typically average ten to fifteen years, though they may vary by fund. We offer direct and co-investment funds across our private equity, venture capital, impact investing and private credit solutions. Often, the fees are structured such that they step down, or decrease, over the life of the fund. Our direct investing platform comprises approximately $9.6 billion of our FPAUM as of September 30, 2024.</w:t>
      </w:r>
    </w:p>
    <w:p>
      <w:pPr>
        <w:spacing w:after="0" w:line="82" w:lineRule="exact"/>
        <w:rPr>
          <w:sz w:val="20"/>
          <w:szCs w:val="20"/>
          <w:color w:val="auto"/>
        </w:rPr>
      </w:pPr>
    </w:p>
    <w:p>
      <w:pPr>
        <w:ind w:left="1020" w:right="80" w:hanging="503"/>
        <w:spacing w:after="0" w:line="25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Secondaries. </w:t>
      </w:r>
      <w:r>
        <w:rPr>
          <w:rFonts w:ascii="Times New Roman" w:cs="Times New Roman" w:eastAsia="Times New Roman" w:hAnsi="Times New Roman"/>
          <w:sz w:val="18"/>
          <w:szCs w:val="18"/>
          <w:color w:val="auto"/>
        </w:rPr>
        <w:t>Secondaries refer to investments in existing private markets funds through the acquisition of an existing interest in a private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markets fund by one investor from another in a negotiated transaction. In so doing, the buyer agrees to take on future funding obligations in exchange for future returns and distributions. Because secondary investments are generally made when a primary investment fund is three to seven years into its investment period and has deployed a significant portion of its capital into portfolio companies, these investments are viewed as more mature. We typically receive fees from investors on committed capital for a decade, the typical life of the fund. We currently offer secondaries funds across our private equity solutions. Often, the fees are structured such that they step down, or decrease, over the life of the fund. Our secondary funds comprise approximately $1.6 billion of our FPAUM as of September 30, 2024.</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Operating Segments</w:t>
      </w:r>
    </w:p>
    <w:p>
      <w:pPr>
        <w:spacing w:after="0" w:line="229"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We operate our business as a single operating segment, which is how our chief operating decision maker evaluates financial performance and makes decisions regarding the allocation of resources.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Trends Affecting Our Business</w:t>
      </w:r>
    </w:p>
    <w:p>
      <w:pPr>
        <w:spacing w:after="0" w:line="22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Our business is affected by a variety of factors, including conditions in the financial markets and economic and political conditions in the North American markets in which we operate, as well as changes in global economic conditions, and regulatory or other governmental policies or actions, which can materially affect the values of the funds our platforms manage, as well as our ability to effectively manage investments and attract capital. Despite high interest rates and the global economy outlook remaining uncertain, we continue to see investors turning towards alternative investments to achieve consistent and higher yields with our contractually guaranteed fee rate.</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continued growth of our business may be influenced by several factors, including the following market trends:</w:t>
      </w:r>
    </w:p>
    <w:p>
      <w:pPr>
        <w:spacing w:after="0" w:line="115" w:lineRule="exact"/>
        <w:rPr>
          <w:sz w:val="20"/>
          <w:szCs w:val="20"/>
          <w:color w:val="auto"/>
        </w:rPr>
      </w:pPr>
    </w:p>
    <w:p>
      <w:pPr>
        <w:ind w:left="1020" w:right="20" w:hanging="503"/>
        <w:spacing w:after="0" w:line="269" w:lineRule="auto"/>
        <w:tabs>
          <w:tab w:leader="none" w:pos="10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Accelerating demand for private markets solutions. </w:t>
      </w:r>
      <w:r>
        <w:rPr>
          <w:rFonts w:ascii="Times New Roman" w:cs="Times New Roman" w:eastAsia="Times New Roman" w:hAnsi="Times New Roman"/>
          <w:sz w:val="17"/>
          <w:szCs w:val="17"/>
          <w:color w:val="auto"/>
        </w:rPr>
        <w:t>Our ability to attract new capital is dependent on investor demand for private markets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solutions. We believe the composition of public markets is fundamentally shifting and will drive growth in private markets investing as fewer companies elect to become public corporations, while more companies are choosing to stay privately held or return to being privately held. Furthermore, investors continue to increase their exposure to passive strategies in search for lower fee alternatives as relative returns in active public market strategies have compressed. We believe the continued move away from active public market strategies into passive strategies will support growth in private market solutions as investors seek higher risk-adjusted returns. Additional trends driving investor demand are</w:t>
      </w:r>
    </w:p>
    <w:p>
      <w:pPr>
        <w:spacing w:after="0" w:line="1" w:lineRule="exact"/>
        <w:rPr>
          <w:rFonts w:ascii="Times New Roman" w:cs="Times New Roman" w:eastAsia="Times New Roman" w:hAnsi="Times New Roman"/>
          <w:sz w:val="17"/>
          <w:szCs w:val="17"/>
          <w:color w:val="auto"/>
        </w:rPr>
      </w:pPr>
    </w:p>
    <w:p>
      <w:pPr>
        <w:ind w:left="1020" w:right="22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increasing long-term investor allocations towards private market asset classes, (b) legislation that allows retirement plans to add private equity vehicles as an investment option, and (c) the adoption of Environmental, Social, and Corporate Governance (“ESG”) and impact investing by the institutional and high net worth investor community.</w:t>
      </w:r>
    </w:p>
    <w:p>
      <w:pPr>
        <w:spacing w:after="0" w:line="75" w:lineRule="exact"/>
        <w:rPr>
          <w:rFonts w:ascii="Times New Roman" w:cs="Times New Roman" w:eastAsia="Times New Roman" w:hAnsi="Times New Roman"/>
          <w:sz w:val="17"/>
          <w:szCs w:val="17"/>
          <w:color w:val="auto"/>
        </w:rPr>
      </w:pPr>
    </w:p>
    <w:p>
      <w:pPr>
        <w:ind w:left="1020" w:right="60" w:hanging="503"/>
        <w:spacing w:after="0" w:line="254"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Favorable lower and lower-middle market dynamics, and data driven sourcing. </w:t>
      </w:r>
      <w:r>
        <w:rPr>
          <w:rFonts w:ascii="Times New Roman" w:cs="Times New Roman" w:eastAsia="Times New Roman" w:hAnsi="Times New Roman"/>
          <w:sz w:val="18"/>
          <w:szCs w:val="18"/>
          <w:color w:val="auto"/>
        </w:rPr>
        <w:t>We attribute our strong investment performance track record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several factors, including: our broad private market relationships and access to fund managers and investments, our diligent and responsible investment process, our tenured investing experience and our premier data, technology, and analytic capabilities. Our ability to continue generating strong returns will be impacted by lower and lower-middle market dynamics and our ability to source deals efficiently and effectively using data analytics. As more companies choose to remain private, we believe smaller companies will continue to dominate market supply, with significantly less capital in pursuit. This favorable lower and lower-middle market dynamic implies a larger pool of opportunities at compelling purchase price valuations with significant return potential. In addition, our premier data and analytic capabilities, driven by our proprietary database, support our robust and disciplined sourcing criteria, which fuels our highly selective investment process. Our database stores and organizes a universe of managers and opportunities with powerful tracking metrics that we believe drive optimal portfolio construction, management, and monitoring and enable a portfolio</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7" w:name="page38"/>
    <w:bookmarkEnd w:id="37"/>
    <w:p>
      <w:pPr>
        <w:ind w:left="503" w:right="60"/>
        <w:spacing w:after="0" w:line="282" w:lineRule="auto"/>
        <w:rPr>
          <w:sz w:val="20"/>
          <w:szCs w:val="20"/>
          <w:color w:val="auto"/>
        </w:rPr>
      </w:pPr>
      <w:r>
        <w:rPr>
          <w:rFonts w:ascii="Times New Roman" w:cs="Times New Roman" w:eastAsia="Times New Roman" w:hAnsi="Times New Roman"/>
          <w:sz w:val="18"/>
          <w:szCs w:val="18"/>
          <w:color w:val="auto"/>
        </w:rPr>
        <w:t>grading system, as well as repository of investment evaluation scorecards. Our ability to maintain our data advantage is dependent on several factors, including our continued access to a broad set of private market information on an on-going basis.</w:t>
      </w:r>
    </w:p>
    <w:p>
      <w:pPr>
        <w:spacing w:after="0" w:line="52" w:lineRule="exact"/>
        <w:rPr>
          <w:sz w:val="20"/>
          <w:szCs w:val="20"/>
          <w:color w:val="auto"/>
        </w:rPr>
      </w:pPr>
    </w:p>
    <w:p>
      <w:pPr>
        <w:ind w:left="503" w:right="80" w:hanging="503"/>
        <w:spacing w:after="0" w:line="253"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Expanding asset class solutions, broaden geographic reach and grow private markets network effect. </w:t>
      </w:r>
      <w:r>
        <w:rPr>
          <w:rFonts w:ascii="Times New Roman" w:cs="Times New Roman" w:eastAsia="Times New Roman" w:hAnsi="Times New Roman"/>
          <w:sz w:val="18"/>
          <w:szCs w:val="18"/>
          <w:color w:val="auto"/>
        </w:rPr>
        <w:t>Our ability to continue growing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impacted by our scalability and ability to maximize investor relationships. The purview of private markets has meaningfully broadened over the last decade. As investors increase their allocations to private markets investments, we believe the demand for asset class diversification will rise. Furthermore, as part of this evolution we believe investors will seek out private market solutions providers with scale and an ability to deliver multiple asset classes and vehicle solutions to streamline relationships and pursue cost efficiency. Our scalable business model is well positioned to expand and grow our footprint as we develop our position within the private markets ecosystem to further leverage our synergistic solutions offering. We currently have a leading presence in North America but believe that expanding our investor presence into international markets can be a significant growth driver for our business as investors continue to seek geographically diverse private market exposure. Further, expanding into additional asset class solutions can enable us to further enhance our integrated network effect across private markets by, among other benefits, fostering deeper manager relationships. We believe that the growing number of private markets focused fund managers increases the operational burden on investors and will lead to a greater reliance on highly trusted advisors to help investors navigate the complexity associated with multi- asset class manager selection.</w:t>
      </w:r>
    </w:p>
    <w:p>
      <w:pPr>
        <w:spacing w:after="0" w:line="81" w:lineRule="exact"/>
        <w:rPr>
          <w:rFonts w:ascii="Times New Roman" w:cs="Times New Roman" w:eastAsia="Times New Roman" w:hAnsi="Times New Roman"/>
          <w:sz w:val="18"/>
          <w:szCs w:val="18"/>
          <w:color w:val="auto"/>
        </w:rPr>
      </w:pPr>
    </w:p>
    <w:p>
      <w:pPr>
        <w:ind w:left="503" w:right="140" w:hanging="503"/>
        <w:spacing w:after="0" w:line="256"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Increasing regulatory requirements and political uncertainty. </w:t>
      </w:r>
      <w:r>
        <w:rPr>
          <w:rFonts w:ascii="Times New Roman" w:cs="Times New Roman" w:eastAsia="Times New Roman" w:hAnsi="Times New Roman"/>
          <w:sz w:val="18"/>
          <w:szCs w:val="18"/>
          <w:color w:val="auto"/>
        </w:rPr>
        <w:t>The complex regulatory and tax environment could restrict our operations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us to increased compliance costs and administrative burdens, as well as restrictions on our business activities. The SEC recently adopted new rules and rule amendments to enhance the regulation of private fund advisers and update the existing compliance rule that applies to all investment advisers. Compliance with these new rules is expected to increase our compliance costs and further restrict certain business activities. In addition, the SEC recently adopted significant new compliance requirements for investment advisers related to cybersecurity matters that are expected to increase compliance costs. There is additional uncertainty around potential legal, regulatory, and tax changes, which may impact our profitability or impact our ability to operate and grow our business.</w:t>
      </w:r>
    </w:p>
    <w:p>
      <w:pPr>
        <w:spacing w:after="0" w:line="74" w:lineRule="exact"/>
        <w:rPr>
          <w:rFonts w:ascii="Times New Roman" w:cs="Times New Roman" w:eastAsia="Times New Roman" w:hAnsi="Times New Roman"/>
          <w:sz w:val="18"/>
          <w:szCs w:val="18"/>
          <w:color w:val="auto"/>
        </w:rPr>
      </w:pPr>
    </w:p>
    <w:p>
      <w:pPr>
        <w:ind w:left="503" w:right="100" w:hanging="503"/>
        <w:spacing w:after="0" w:line="256"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Our ability to raise capital in order to fund acquisitions and strategic growth initiatives. </w:t>
      </w:r>
      <w:r>
        <w:rPr>
          <w:rFonts w:ascii="Times New Roman" w:cs="Times New Roman" w:eastAsia="Times New Roman" w:hAnsi="Times New Roman"/>
          <w:sz w:val="18"/>
          <w:szCs w:val="18"/>
          <w:color w:val="auto"/>
        </w:rPr>
        <w:t>In addition to organic growth of our existing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solutions and services, our growth will continue to depend, in part, on our ability to identify, evaluate and acquire high performing and high-quality asset management businesses to expand our team of asset managers and advisors, as well as expand the industries and end markets which we serve. These acquisitions may require us to raise additional capital through debt financing or the issuance of equity securities. Our ability to obtain debt with acceptable terms will be influenced by the corporate debt markets and prevailing interest rates, as well as our current credit worthiness. The funding available through the issuance of equity securities will be determined in part by the market price of our shares.</w:t>
      </w:r>
    </w:p>
    <w:p>
      <w:pPr>
        <w:spacing w:after="0" w:line="74" w:lineRule="exact"/>
        <w:rPr>
          <w:rFonts w:ascii="Times New Roman" w:cs="Times New Roman" w:eastAsia="Times New Roman" w:hAnsi="Times New Roman"/>
          <w:sz w:val="18"/>
          <w:szCs w:val="18"/>
          <w:color w:val="auto"/>
        </w:rPr>
      </w:pPr>
    </w:p>
    <w:p>
      <w:pPr>
        <w:ind w:left="503" w:right="60" w:hanging="503"/>
        <w:spacing w:after="0" w:line="258"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Increased competition to work with top private equity fund managers. </w:t>
      </w:r>
      <w:r>
        <w:rPr>
          <w:rFonts w:ascii="Times New Roman" w:cs="Times New Roman" w:eastAsia="Times New Roman" w:hAnsi="Times New Roman"/>
          <w:sz w:val="18"/>
          <w:szCs w:val="18"/>
          <w:color w:val="auto"/>
        </w:rPr>
        <w:t>There has been a trend amongst larger private markets investors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 the number of general partners in which they invest and work with. At times, this has led to certain funds being oversubscribed due to the increasing flow of capital. This has resulted in some investors, primarily smaller investors or less strategically important investors, not being able to gain access to certain funds. Our ability to invest and maintain our sphere of influence with these high-performing fund managers is critical to our investors’ success and our ability to maintain our competitive position and grow our revenue.</w:t>
      </w:r>
    </w:p>
    <w:p>
      <w:pPr>
        <w:spacing w:after="0" w:line="75" w:lineRule="exact"/>
        <w:rPr>
          <w:rFonts w:ascii="Times New Roman" w:cs="Times New Roman" w:eastAsia="Times New Roman" w:hAnsi="Times New Roman"/>
          <w:sz w:val="18"/>
          <w:szCs w:val="18"/>
          <w:color w:val="auto"/>
        </w:rPr>
      </w:pPr>
    </w:p>
    <w:p>
      <w:pPr>
        <w:ind w:left="503" w:right="40" w:hanging="503"/>
        <w:spacing w:after="0" w:line="256"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Data advantage relative to competitors. </w:t>
      </w:r>
      <w:r>
        <w:rPr>
          <w:rFonts w:ascii="Times New Roman" w:cs="Times New Roman" w:eastAsia="Times New Roman" w:hAnsi="Times New Roman"/>
          <w:sz w:val="18"/>
          <w:szCs w:val="18"/>
          <w:color w:val="auto"/>
        </w:rPr>
        <w:t>We believe that the general trend towards transparency and consistency in private markets reporting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create new opportunities for us to leverage our databases and analytical capabilities. We intend to use these advantages afforded to us by our proprietary databases, analytical tools and deep industry knowledge to drive our performance, provide our clients with customized solutions across private markets asset classes and continue to differentiate our products and services from those of our competitors. Our ability to maintain our data advantage is dependent on several factors, including our continued access to a broad set of private market information on an on-going basis, as well as our ability to maintain our investment scale, considering the evolving competitive landscape and potential industry consolidation.</w:t>
      </w:r>
    </w:p>
    <w:p>
      <w:pPr>
        <w:spacing w:after="0" w:line="74" w:lineRule="exact"/>
        <w:rPr>
          <w:rFonts w:ascii="Times New Roman" w:cs="Times New Roman" w:eastAsia="Times New Roman" w:hAnsi="Times New Roman"/>
          <w:sz w:val="18"/>
          <w:szCs w:val="18"/>
          <w:color w:val="auto"/>
        </w:rPr>
      </w:pPr>
    </w:p>
    <w:p>
      <w:pPr>
        <w:ind w:left="503" w:hanging="503"/>
        <w:spacing w:after="0" w:line="261"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Consolidation of Manager relationships and flight to quality. </w:t>
      </w:r>
      <w:r>
        <w:rPr>
          <w:rFonts w:ascii="Times New Roman" w:cs="Times New Roman" w:eastAsia="Times New Roman" w:hAnsi="Times New Roman"/>
          <w:sz w:val="18"/>
          <w:szCs w:val="18"/>
          <w:color w:val="auto"/>
        </w:rPr>
        <w:t>As global financial markets continue to remain uncertain and private markets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investors evaluate their exposure and allocation to private markets, a trend of consolidating managers has emerged. Our strategies, with long-track records of success, deep industry experience, well-established relationships, and high-quality investment opportunities, can benefit from a trend toward reducing the number of managers to which capital is allocated. Furthermore, we believe that by offering</w:t>
      </w:r>
    </w:p>
    <w:p>
      <w:pPr>
        <w:spacing w:after="0" w:line="74"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201" w:right="339" w:bottom="1440" w:gutter="0" w:footer="0" w:header="0"/>
        </w:sectPr>
      </w:pPr>
    </w:p>
    <w:bookmarkStart w:id="38" w:name="page39"/>
    <w:bookmarkEnd w:id="38"/>
    <w:p>
      <w:pPr>
        <w:ind w:left="1020" w:right="640"/>
        <w:spacing w:after="0" w:line="282" w:lineRule="auto"/>
        <w:rPr>
          <w:sz w:val="20"/>
          <w:szCs w:val="20"/>
          <w:color w:val="auto"/>
        </w:rPr>
      </w:pPr>
      <w:r>
        <w:rPr>
          <w:rFonts w:ascii="Times New Roman" w:cs="Times New Roman" w:eastAsia="Times New Roman" w:hAnsi="Times New Roman"/>
          <w:sz w:val="18"/>
          <w:szCs w:val="18"/>
          <w:color w:val="auto"/>
        </w:rPr>
        <w:t>investors access to access-constrained investment opportunities, investors may favor our strategies as they make decisions on market exposure and allocation levels.</w:t>
      </w:r>
    </w:p>
    <w:p>
      <w:pPr>
        <w:spacing w:after="0" w:line="52" w:lineRule="exact"/>
        <w:rPr>
          <w:sz w:val="20"/>
          <w:szCs w:val="20"/>
          <w:color w:val="auto"/>
        </w:rPr>
      </w:pPr>
    </w:p>
    <w:p>
      <w:pPr>
        <w:jc w:val="both"/>
        <w:ind w:left="1020" w:hanging="503"/>
        <w:spacing w:after="0" w:line="261"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Counter-cyclical strategies can thrive in a higher-rate environment. </w:t>
      </w:r>
      <w:r>
        <w:rPr>
          <w:rFonts w:ascii="Times New Roman" w:cs="Times New Roman" w:eastAsia="Times New Roman" w:hAnsi="Times New Roman"/>
          <w:sz w:val="18"/>
          <w:szCs w:val="18"/>
          <w:color w:val="auto"/>
        </w:rPr>
        <w:t>Some strategies are counter-cyclical in nature and can take advantage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higher rate environment. Specifically, private credit products, including our NAV lending strategy, with floating rate terms, benefit from the current environment, with floating rates and longer duration. The higher rate environment also benefits our venture debt strategy as rates float throughout the investment period.</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Key Financial &amp; Operating Metrics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We generate revenues primarily from management fees and advisory contracts, and to a lesser extent, other consulting arrangements and services. See Significant Accounting Policies in Note 2 of our Consolidated Financial Statements for additional information regarding the way revenues are recognized.</w:t>
      </w:r>
    </w:p>
    <w:p>
      <w:pPr>
        <w:spacing w:after="0" w:line="176" w:lineRule="exact"/>
        <w:rPr>
          <w:sz w:val="20"/>
          <w:szCs w:val="20"/>
          <w:color w:val="auto"/>
        </w:rPr>
      </w:pPr>
    </w:p>
    <w:p>
      <w:pPr>
        <w:ind w:firstLine="509"/>
        <w:spacing w:after="0" w:line="271" w:lineRule="auto"/>
        <w:rPr>
          <w:sz w:val="20"/>
          <w:szCs w:val="20"/>
          <w:color w:val="auto"/>
        </w:rPr>
      </w:pPr>
      <w:r>
        <w:rPr>
          <w:rFonts w:ascii="Times New Roman" w:cs="Times New Roman" w:eastAsia="Times New Roman" w:hAnsi="Times New Roman"/>
          <w:sz w:val="17"/>
          <w:szCs w:val="17"/>
          <w:color w:val="auto"/>
        </w:rPr>
        <w:t>We earn management and advisory fees based on a percentage of investors’ capital commitments in or, in select cases, deployed to our investment funds. Management and advisory fees during the commitment period are charged on capital commitments and after the commitment period (or a defined anniversary of the fund’s initial closing) is reduced by a percentage of the management and advisory fees for the preceding years or charged on net invested capital or NAV, in selected cases. Fee schedules are generally fixed and set for the expected life of the funds, which typically are between ten to fifteen years. These fees are typically staged to decrease over the life of the contract due to built-in declines in contractual rates and/or as a result of lower net invested capital balances as capital is returned to investors. We also earn revenues through catch-up fees on the funds we manage. Catch-up fees are earned from investors that make commitments to the fund after the first fund closing occurs during the fundraising period of funds originally launched in prior periods, and as such the investors are required to pay a catch-up fee as if they had committed to the fund at the first closing. While catch-up fees are not a significant component of our overall revenue stream, they may result in a temporary increase in our revenues in the period in which they are recognized.</w:t>
      </w:r>
    </w:p>
    <w:p>
      <w:pPr>
        <w:spacing w:after="0" w:line="173"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Other revenue consists of subscription and consulting agreements and referral fees that we offer in certain cases. Subscription and consulting agreements provide advisory and/or reporting services to our investors such as monitoring and reporting on an investor’s existing private markets investments. The subscription and consulting agreements typically have renewable one-year lives, and revenue is recognized ratably over the current term of the subscription or the agreement. If subscriptions or fees have been paid in advance, these fees are recorded as deferred revenue on our Consolidated Balance Sheets. Referral fee revenue is recognized upon closing of opportunities where we have referred credit opportunities that do not match our investment criteria.</w:t>
      </w:r>
    </w:p>
    <w:p>
      <w:pPr>
        <w:spacing w:after="0" w:line="187"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The Company recognizes an accrued contingent liability and contingent payments to customers in our Consolidated Balance Sheets for agreements between ECG and third parties. The agreements require ECG to share in certain revenues earned with the third party and also includes an option for the third party to sell back the revenue share to ECG at a set multiple. Additionally, ECG holds the option to buy back 50% of the revenue share at a set multiple. Both options are not exercisable until a certain period of time has lapsed per the agreements. The Company believes it is probable that the third parties will exercise their options to sell back the revenue share and has recognized liabilities on the Consolidated Balance Sheets. The Company has also recognized contingent payments to customers assets associated with the agreements and will amortize the assets against revenue over the length of the management contracts. The amortization is reported in management and advisory fees on the Consolidated Statements of Operations.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Compensation and benefits are our largest expense and consists of salaries, bonuses, severance, stock-based compensation, earnout and bonus payments related to the acquisition of WTI, employee benefits and employer-related payroll taxes. Despite our general operating leverage that exists, we expect to continue to experience an incremental rise in compensation and benefits expense commensurate with expected growth in headcount and with the need to maintain competitive compensation levels as we expand into new markets to create new products and services. In substantially all instances, the Company does not hold carried interests in the funds that we manage. Carried interest is typically structured to stay with the investment professionals. As such, while this does not impact the compensation we pay to our employees, it allows our investment professionals to receive additional benefit and provides economic incentive for them to outperform on behalf of our investors. This structure differs from that of most of our competitors, which we believe better aligns the objectives of our stockholders, investors and investment professionals.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9" w:name="page40"/>
    <w:bookmarkEnd w:id="39"/>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Professional fees primarily consist of legal, advisory, accounting and tax fees which may include services related to our strategic development opportunities such as due diligence performed in connection with potential acquisitions. As our Company is an SEC registrant, our professional fees will fluctuate commensurate with our strategic objectives and potential acquisitions, and certain recurring accounting advisory, audit and tax expenses will increase to comply with additional regulatory requirements.</w:t>
      </w:r>
    </w:p>
    <w:p>
      <w:pPr>
        <w:spacing w:after="0" w:line="180"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General, administrative, and other includes rent, travel and entertainment, technology, insurance and other general costs associated with operating our business.</w:t>
      </w:r>
    </w:p>
    <w:p>
      <w:pPr>
        <w:spacing w:after="0" w:line="16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Strategic alliance expense is included in operating expenses. This expense is driven by the Strategic Alliance Agreement that Bonaccord entered into with an investor at the time Bonaccord was acquired in exchange for a portion of net management fee earnings.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w:t>
      </w:r>
    </w:p>
    <w:p>
      <w:pPr>
        <w:spacing w:after="0" w:line="121" w:lineRule="exact"/>
        <w:rPr>
          <w:sz w:val="20"/>
          <w:szCs w:val="20"/>
          <w:color w:val="auto"/>
        </w:rPr>
      </w:pPr>
    </w:p>
    <w:p>
      <w:pPr>
        <w:ind w:right="120" w:firstLine="509"/>
        <w:spacing w:after="0" w:line="289" w:lineRule="auto"/>
        <w:rPr>
          <w:sz w:val="20"/>
          <w:szCs w:val="20"/>
          <w:color w:val="auto"/>
        </w:rPr>
      </w:pPr>
      <w:r>
        <w:rPr>
          <w:rFonts w:ascii="Times New Roman" w:cs="Times New Roman" w:eastAsia="Times New Roman" w:hAnsi="Times New Roman"/>
          <w:sz w:val="17"/>
          <w:szCs w:val="17"/>
          <w:color w:val="auto"/>
        </w:rPr>
        <w:t>Interest expense, net includes interest paid and accrued on our outstanding debt, along with the amortization of deferred financing costs. Other income (loss) includes any income from unconsolidated subsidiaries, interest income earned from bank accounts across management companies, and any accrued expenses related to litigation and regulatory activity as necessary, which would be discussed in Note 13 of our Consolidated Financial Statements.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Income tax (expense) is comprised of current and deferred tax (expense). Current income tax (expense) represents our estimated taxes to be paid or refunded for the current period. In accordance with ASC 740, Income Taxes (“ASC 740”), we recognize deferred tax assets and liabilities for the expected future tax consequences of temporary differences between the financial reporting and tax basis of assets and liabilities, as well as for operating loss and tax credit carryforwards. Deferred tax assets and liabilities are measured using enacted tax rates in effect for the year in which the differences are expected to reverse. Valuation allowances are recorded to reduce deferred tax assets to the amount we believe is more likely than not to be realized.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Fee-Paying Assets Under Management, or FPAUM</w:t>
      </w:r>
    </w:p>
    <w:p>
      <w:pPr>
        <w:spacing w:after="0" w:line="121"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FPAUM reflects the assets from which we earn management and advisory fees. Our vehicles typically earn management and advisory fees based on committed capital, and in certain cases, net invested capital, depending on the fee terms. Management and advisory fees based on committed capital are not affected by market appreciation or depreciation.</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0" w:name="page41"/>
    <w:bookmarkEnd w:id="40"/>
    <w:p>
      <w:pPr>
        <w:ind w:left="480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three and nine months ended September 30, 2024 and September 30, 2023.</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60" w:type="dxa"/>
            <w:vAlign w:val="bottom"/>
            <w:gridSpan w:val="5"/>
          </w:tcPr>
          <w:p>
            <w:pPr>
              <w:jc w:val="right"/>
              <w:ind w:right="620"/>
              <w:spacing w:after="0"/>
              <w:rPr>
                <w:sz w:val="20"/>
                <w:szCs w:val="20"/>
                <w:color w:val="auto"/>
              </w:rPr>
            </w:pPr>
            <w:r>
              <w:rPr>
                <w:rFonts w:ascii="Times New Roman" w:cs="Times New Roman" w:eastAsia="Times New Roman" w:hAnsi="Times New Roman"/>
                <w:sz w:val="13"/>
                <w:szCs w:val="13"/>
                <w:b w:val="1"/>
                <w:bCs w:val="1"/>
                <w:color w:val="auto"/>
              </w:rPr>
              <w:t>For the three months</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60" w:type="dxa"/>
            <w:vAlign w:val="bottom"/>
            <w:gridSpan w:val="5"/>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For the nine months</w:t>
            </w:r>
          </w:p>
        </w:tc>
        <w:tc>
          <w:tcPr>
            <w:tcW w:w="920" w:type="dxa"/>
            <w:vAlign w:val="bottom"/>
          </w:tcPr>
          <w:p>
            <w:pPr>
              <w:spacing w:after="0"/>
              <w:rPr>
                <w:sz w:val="12"/>
                <w:szCs w:val="12"/>
                <w:color w:val="auto"/>
              </w:rPr>
            </w:pPr>
          </w:p>
        </w:tc>
      </w:tr>
      <w:tr>
        <w:trPr>
          <w:trHeight w:val="166"/>
        </w:trPr>
        <w:tc>
          <w:tcPr>
            <w:tcW w:w="3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60" w:type="dxa"/>
            <w:vAlign w:val="bottom"/>
            <w:gridSpan w:val="5"/>
          </w:tcPr>
          <w:p>
            <w:pPr>
              <w:jc w:val="right"/>
              <w:ind w:right="640"/>
              <w:spacing w:after="0"/>
              <w:rPr>
                <w:sz w:val="20"/>
                <w:szCs w:val="20"/>
                <w:color w:val="auto"/>
              </w:rPr>
            </w:pPr>
            <w:r>
              <w:rPr>
                <w:rFonts w:ascii="Times New Roman" w:cs="Times New Roman" w:eastAsia="Times New Roman" w:hAnsi="Times New Roman"/>
                <w:sz w:val="13"/>
                <w:szCs w:val="13"/>
                <w:b w:val="1"/>
                <w:bCs w:val="1"/>
                <w:color w:val="auto"/>
              </w:rPr>
              <w:t>ended September 30,</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60" w:type="dxa"/>
            <w:vAlign w:val="bottom"/>
            <w:gridSpan w:val="5"/>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ended September 30,</w:t>
            </w:r>
          </w:p>
        </w:tc>
        <w:tc>
          <w:tcPr>
            <w:tcW w:w="920" w:type="dxa"/>
            <w:vAlign w:val="bottom"/>
          </w:tcPr>
          <w:p>
            <w:pPr>
              <w:spacing w:after="0"/>
              <w:rPr>
                <w:sz w:val="14"/>
                <w:szCs w:val="14"/>
                <w:color w:val="auto"/>
              </w:rPr>
            </w:pPr>
          </w:p>
        </w:tc>
      </w:tr>
      <w:tr>
        <w:trPr>
          <w:trHeight w:val="164"/>
        </w:trPr>
        <w:tc>
          <w:tcPr>
            <w:tcW w:w="3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155"/>
        </w:trPr>
        <w:tc>
          <w:tcPr>
            <w:tcW w:w="31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2024</w:t>
            </w:r>
          </w:p>
        </w:tc>
        <w:tc>
          <w:tcPr>
            <w:tcW w:w="2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w w:val="92"/>
              </w:rPr>
              <w:t>2023</w:t>
            </w:r>
          </w:p>
        </w:tc>
        <w:tc>
          <w:tcPr>
            <w:tcW w:w="2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w w:val="99"/>
              </w:rPr>
              <w:t>$ Change</w:t>
            </w:r>
          </w:p>
        </w:tc>
        <w:tc>
          <w:tcPr>
            <w:tcW w:w="240" w:type="dxa"/>
            <w:vAlign w:val="bottom"/>
          </w:tcPr>
          <w:p>
            <w:pPr>
              <w:spacing w:after="0"/>
              <w:rPr>
                <w:sz w:val="13"/>
                <w:szCs w:val="13"/>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 Change</w:t>
            </w: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2024</w:t>
            </w:r>
          </w:p>
        </w:tc>
        <w:tc>
          <w:tcPr>
            <w:tcW w:w="2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w w:val="92"/>
              </w:rPr>
              <w:t>2023</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w w:val="99"/>
              </w:rPr>
              <w:t>$ Change</w:t>
            </w:r>
          </w:p>
        </w:tc>
        <w:tc>
          <w:tcPr>
            <w:tcW w:w="220" w:type="dxa"/>
            <w:vAlign w:val="bottom"/>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 Change</w:t>
            </w:r>
          </w:p>
        </w:tc>
      </w:tr>
      <w:tr>
        <w:trPr>
          <w:trHeight w:val="156"/>
        </w:trPr>
        <w:tc>
          <w:tcPr>
            <w:tcW w:w="31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180" w:type="dxa"/>
            <w:vAlign w:val="bottom"/>
          </w:tcPr>
          <w:p>
            <w:pPr>
              <w:spacing w:after="0"/>
              <w:rPr>
                <w:sz w:val="13"/>
                <w:szCs w:val="13"/>
                <w:color w:val="auto"/>
              </w:rPr>
            </w:pPr>
          </w:p>
        </w:tc>
        <w:tc>
          <w:tcPr>
            <w:tcW w:w="64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(in</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79"/>
              </w:rPr>
              <w:t>thousands)</w:t>
            </w: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(in</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75"/>
              </w:rPr>
              <w:t>thousands)</w:t>
            </w: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62"/>
        </w:trPr>
        <w:tc>
          <w:tcPr>
            <w:tcW w:w="31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Management and advisory fees</w:t>
            </w: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72,595</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58,078</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14,517</w:t>
            </w: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25%</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206,192</w:t>
            </w: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176,322</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29,870</w:t>
            </w:r>
          </w:p>
        </w:tc>
        <w:tc>
          <w:tcPr>
            <w:tcW w:w="220" w:type="dxa"/>
            <w:vAlign w:val="bottom"/>
            <w:shd w:val="clear" w:color="auto" w:fill="CFF0FC"/>
          </w:tcPr>
          <w:p>
            <w:pPr>
              <w:spacing w:after="0"/>
              <w:rPr>
                <w:sz w:val="14"/>
                <w:szCs w:val="14"/>
                <w:color w:val="auto"/>
              </w:rPr>
            </w:pP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17%</w:t>
            </w:r>
          </w:p>
        </w:tc>
      </w:tr>
      <w:tr>
        <w:trPr>
          <w:trHeight w:val="162"/>
        </w:trPr>
        <w:tc>
          <w:tcPr>
            <w:tcW w:w="31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Other revenue</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1,648</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864</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784</w:t>
            </w:r>
          </w:p>
        </w:tc>
        <w:tc>
          <w:tcPr>
            <w:tcW w:w="2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91%</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5,242</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2,345</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2,897</w:t>
            </w:r>
          </w:p>
        </w:tc>
        <w:tc>
          <w:tcPr>
            <w:tcW w:w="2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124%</w:t>
            </w:r>
          </w:p>
        </w:tc>
      </w:tr>
      <w:tr>
        <w:trPr>
          <w:trHeight w:val="155"/>
        </w:trPr>
        <w:tc>
          <w:tcPr>
            <w:tcW w:w="3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Total revenues</w:t>
            </w: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74,243</w:t>
            </w:r>
          </w:p>
        </w:tc>
        <w:tc>
          <w:tcPr>
            <w:tcW w:w="2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58,942</w:t>
            </w:r>
          </w:p>
        </w:tc>
        <w:tc>
          <w:tcPr>
            <w:tcW w:w="2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15,301</w:t>
            </w:r>
          </w:p>
        </w:tc>
        <w:tc>
          <w:tcPr>
            <w:tcW w:w="240" w:type="dxa"/>
            <w:vAlign w:val="bottom"/>
            <w:shd w:val="clear" w:color="auto" w:fill="CFF0FC"/>
          </w:tcPr>
          <w:p>
            <w:pPr>
              <w:spacing w:after="0"/>
              <w:rPr>
                <w:sz w:val="13"/>
                <w:szCs w:val="13"/>
                <w:color w:val="auto"/>
              </w:rPr>
            </w:pP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26%</w:t>
            </w: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211,434</w:t>
            </w:r>
          </w:p>
        </w:tc>
        <w:tc>
          <w:tcPr>
            <w:tcW w:w="2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178,667</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32,767</w:t>
            </w:r>
          </w:p>
        </w:tc>
        <w:tc>
          <w:tcPr>
            <w:tcW w:w="220" w:type="dxa"/>
            <w:vAlign w:val="bottom"/>
            <w:shd w:val="clear" w:color="auto" w:fill="CFF0FC"/>
          </w:tcPr>
          <w:p>
            <w:pPr>
              <w:spacing w:after="0"/>
              <w:rPr>
                <w:sz w:val="13"/>
                <w:szCs w:val="13"/>
                <w:color w:val="auto"/>
              </w:rPr>
            </w:pP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18%</w:t>
            </w:r>
          </w:p>
        </w:tc>
      </w:tr>
      <w:tr>
        <w:trPr>
          <w:trHeight w:val="162"/>
        </w:trPr>
        <w:tc>
          <w:tcPr>
            <w:tcW w:w="31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OPERATING EXPENSES</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2"/>
        </w:trPr>
        <w:tc>
          <w:tcPr>
            <w:tcW w:w="31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Compensation and benefits</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42,531</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42,175</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356</w:t>
            </w: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2"/>
              </w:rPr>
              <w:t>1%</w:t>
            </w: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115,893</w:t>
            </w: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114,128</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1,765</w:t>
            </w:r>
          </w:p>
        </w:tc>
        <w:tc>
          <w:tcPr>
            <w:tcW w:w="220" w:type="dxa"/>
            <w:vAlign w:val="bottom"/>
            <w:shd w:val="clear" w:color="auto" w:fill="CFF0FC"/>
          </w:tcPr>
          <w:p>
            <w:pPr>
              <w:spacing w:after="0"/>
              <w:rPr>
                <w:sz w:val="14"/>
                <w:szCs w:val="14"/>
                <w:color w:val="auto"/>
              </w:rPr>
            </w:pP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2"/>
              </w:rPr>
              <w:t>2%</w:t>
            </w:r>
          </w:p>
        </w:tc>
      </w:tr>
      <w:tr>
        <w:trPr>
          <w:trHeight w:val="162"/>
        </w:trPr>
        <w:tc>
          <w:tcPr>
            <w:tcW w:w="31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Professional fees</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9,169</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3,357</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5,812</w:t>
            </w:r>
          </w:p>
        </w:tc>
        <w:tc>
          <w:tcPr>
            <w:tcW w:w="2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173%</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16,472</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10,191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6,281</w:t>
            </w:r>
          </w:p>
        </w:tc>
        <w:tc>
          <w:tcPr>
            <w:tcW w:w="2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62%</w:t>
            </w:r>
          </w:p>
        </w:tc>
      </w:tr>
      <w:tr>
        <w:trPr>
          <w:trHeight w:val="162"/>
        </w:trPr>
        <w:tc>
          <w:tcPr>
            <w:tcW w:w="31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General, administrative and other</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6,606</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5,315</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1,291</w:t>
            </w: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24%</w:t>
            </w: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19,680</w:t>
            </w: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15,209</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4,471</w:t>
            </w:r>
          </w:p>
        </w:tc>
        <w:tc>
          <w:tcPr>
            <w:tcW w:w="220" w:type="dxa"/>
            <w:vAlign w:val="bottom"/>
            <w:shd w:val="clear" w:color="auto" w:fill="CFF0FC"/>
          </w:tcPr>
          <w:p>
            <w:pPr>
              <w:spacing w:after="0"/>
              <w:rPr>
                <w:sz w:val="14"/>
                <w:szCs w:val="14"/>
                <w:color w:val="auto"/>
              </w:rPr>
            </w:pP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29%</w:t>
            </w:r>
          </w:p>
        </w:tc>
      </w:tr>
      <w:tr>
        <w:trPr>
          <w:trHeight w:val="162"/>
        </w:trPr>
        <w:tc>
          <w:tcPr>
            <w:tcW w:w="31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Contingent consideration expense</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(41 )</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(51)%</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(390 )</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(71)%</w:t>
            </w:r>
          </w:p>
        </w:tc>
      </w:tr>
      <w:tr>
        <w:trPr>
          <w:trHeight w:val="162"/>
        </w:trPr>
        <w:tc>
          <w:tcPr>
            <w:tcW w:w="31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Amortization of intangibles</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6,437</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7,319</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(882 )</w:t>
            </w: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8"/>
              </w:rPr>
              <w:t>(12)%</w:t>
            </w: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19,312</w:t>
            </w: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21,893</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(2,581 )</w:t>
            </w: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8"/>
              </w:rPr>
              <w:t>(12)%</w:t>
            </w:r>
          </w:p>
        </w:tc>
      </w:tr>
      <w:tr>
        <w:trPr>
          <w:trHeight w:val="162"/>
        </w:trPr>
        <w:tc>
          <w:tcPr>
            <w:tcW w:w="31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Strategic alliance expense</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635</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313</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322</w:t>
            </w:r>
          </w:p>
        </w:tc>
        <w:tc>
          <w:tcPr>
            <w:tcW w:w="2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103%</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2,153</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1,118</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1,035</w:t>
            </w:r>
          </w:p>
        </w:tc>
        <w:tc>
          <w:tcPr>
            <w:tcW w:w="2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93%</w:t>
            </w:r>
          </w:p>
        </w:tc>
      </w:tr>
      <w:tr>
        <w:trPr>
          <w:trHeight w:val="156"/>
        </w:trPr>
        <w:tc>
          <w:tcPr>
            <w:tcW w:w="31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Total operating expenses</w:t>
            </w:r>
          </w:p>
        </w:tc>
        <w:tc>
          <w:tcPr>
            <w:tcW w:w="180" w:type="dxa"/>
            <w:vAlign w:val="bottom"/>
            <w:tcBorders>
              <w:bottom w:val="single" w:sz="8" w:color="auto"/>
            </w:tcBorders>
            <w:shd w:val="clear" w:color="auto" w:fill="CFF0FC"/>
          </w:tcPr>
          <w:p>
            <w:pPr>
              <w:spacing w:after="0"/>
              <w:rPr>
                <w:sz w:val="13"/>
                <w:szCs w:val="13"/>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65,417</w:t>
            </w:r>
          </w:p>
        </w:tc>
        <w:tc>
          <w:tcPr>
            <w:tcW w:w="240" w:type="dxa"/>
            <w:vAlign w:val="bottom"/>
            <w:tcBorders>
              <w:bottom w:val="single" w:sz="8" w:color="CFF0FC"/>
            </w:tcBorders>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spacing w:after="0"/>
              <w:rPr>
                <w:sz w:val="13"/>
                <w:szCs w:val="13"/>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58,559</w:t>
            </w:r>
          </w:p>
        </w:tc>
        <w:tc>
          <w:tcPr>
            <w:tcW w:w="26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6,858</w:t>
            </w:r>
          </w:p>
        </w:tc>
        <w:tc>
          <w:tcPr>
            <w:tcW w:w="240" w:type="dxa"/>
            <w:vAlign w:val="bottom"/>
            <w:tcBorders>
              <w:bottom w:val="single" w:sz="8" w:color="CFF0FC"/>
            </w:tcBorders>
            <w:shd w:val="clear" w:color="auto" w:fill="CFF0FC"/>
          </w:tcPr>
          <w:p>
            <w:pPr>
              <w:spacing w:after="0"/>
              <w:rPr>
                <w:sz w:val="13"/>
                <w:szCs w:val="13"/>
                <w:color w:val="auto"/>
              </w:rPr>
            </w:pPr>
          </w:p>
        </w:tc>
        <w:tc>
          <w:tcPr>
            <w:tcW w:w="80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12%</w:t>
            </w:r>
          </w:p>
        </w:tc>
        <w:tc>
          <w:tcPr>
            <w:tcW w:w="14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173,670</w:t>
            </w:r>
          </w:p>
        </w:tc>
        <w:tc>
          <w:tcPr>
            <w:tcW w:w="22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163,089</w:t>
            </w:r>
          </w:p>
        </w:tc>
        <w:tc>
          <w:tcPr>
            <w:tcW w:w="20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10,581</w:t>
            </w:r>
          </w:p>
        </w:tc>
        <w:tc>
          <w:tcPr>
            <w:tcW w:w="220" w:type="dxa"/>
            <w:vAlign w:val="bottom"/>
            <w:tcBorders>
              <w:bottom w:val="single" w:sz="8" w:color="CFF0FC"/>
            </w:tcBorders>
            <w:shd w:val="clear" w:color="auto" w:fill="CFF0FC"/>
          </w:tcPr>
          <w:p>
            <w:pPr>
              <w:spacing w:after="0"/>
              <w:rPr>
                <w:sz w:val="13"/>
                <w:szCs w:val="13"/>
                <w:color w:val="auto"/>
              </w:rPr>
            </w:pPr>
          </w:p>
        </w:tc>
        <w:tc>
          <w:tcPr>
            <w:tcW w:w="9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2"/>
              </w:rPr>
              <w:t>6%</w:t>
            </w:r>
          </w:p>
        </w:tc>
      </w:tr>
      <w:tr>
        <w:trPr>
          <w:trHeight w:val="315"/>
        </w:trPr>
        <w:tc>
          <w:tcPr>
            <w:tcW w:w="31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INCOME FROM OPERATIONS</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8,826</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383</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8,443</w:t>
            </w:r>
          </w:p>
        </w:tc>
        <w:tc>
          <w:tcPr>
            <w:tcW w:w="24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2,204%</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37,764</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15,578</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22,186</w:t>
            </w:r>
          </w:p>
        </w:tc>
        <w:tc>
          <w:tcPr>
            <w:tcW w:w="2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142%</w:t>
            </w:r>
          </w:p>
        </w:tc>
      </w:tr>
      <w:tr>
        <w:trPr>
          <w:trHeight w:val="164"/>
        </w:trPr>
        <w:tc>
          <w:tcPr>
            <w:tcW w:w="3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2"/>
        </w:trPr>
        <w:tc>
          <w:tcPr>
            <w:tcW w:w="3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OTHER (EXPENSE)/ INCOME</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r>
      <w:tr>
        <w:trPr>
          <w:trHeight w:val="323"/>
        </w:trPr>
        <w:tc>
          <w:tcPr>
            <w:tcW w:w="31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Interest expense, net</w:t>
            </w:r>
          </w:p>
        </w:tc>
        <w:tc>
          <w:tcPr>
            <w:tcW w:w="180" w:type="dxa"/>
            <w:vAlign w:val="bottom"/>
          </w:tcPr>
          <w:p>
            <w:pPr>
              <w:spacing w:after="0"/>
              <w:rPr>
                <w:sz w:val="24"/>
                <w:szCs w:val="24"/>
                <w:color w:val="auto"/>
              </w:rPr>
            </w:pPr>
          </w:p>
        </w:tc>
        <w:tc>
          <w:tcPr>
            <w:tcW w:w="880" w:type="dxa"/>
            <w:vAlign w:val="bottom"/>
            <w:gridSpan w:val="2"/>
          </w:tcPr>
          <w:p>
            <w:pPr>
              <w:jc w:val="right"/>
              <w:ind w:right="117"/>
              <w:spacing w:after="0"/>
              <w:rPr>
                <w:sz w:val="20"/>
                <w:szCs w:val="20"/>
                <w:color w:val="auto"/>
              </w:rPr>
            </w:pPr>
            <w:r>
              <w:rPr>
                <w:rFonts w:ascii="Times New Roman" w:cs="Times New Roman" w:eastAsia="Times New Roman" w:hAnsi="Times New Roman"/>
                <w:sz w:val="13"/>
                <w:szCs w:val="13"/>
                <w:color w:val="auto"/>
              </w:rPr>
              <w:t>(6,692 )</w:t>
            </w:r>
          </w:p>
        </w:tc>
        <w:tc>
          <w:tcPr>
            <w:tcW w:w="280" w:type="dxa"/>
            <w:vAlign w:val="bottom"/>
          </w:tcPr>
          <w:p>
            <w:pPr>
              <w:spacing w:after="0"/>
              <w:rPr>
                <w:sz w:val="24"/>
                <w:szCs w:val="24"/>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(5,482 )</w:t>
            </w:r>
          </w:p>
        </w:tc>
        <w:tc>
          <w:tcPr>
            <w:tcW w:w="120" w:type="dxa"/>
            <w:vAlign w:val="bottom"/>
          </w:tcPr>
          <w:p>
            <w:pPr>
              <w:spacing w:after="0"/>
              <w:rPr>
                <w:sz w:val="24"/>
                <w:szCs w:val="24"/>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(1,210 )</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22%</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(18,583 )</w:t>
            </w:r>
          </w:p>
        </w:tc>
        <w:tc>
          <w:tcPr>
            <w:tcW w:w="26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(16,080 )</w:t>
            </w:r>
          </w:p>
        </w:tc>
        <w:tc>
          <w:tcPr>
            <w:tcW w:w="12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(2,503 )</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16%</w:t>
            </w:r>
          </w:p>
        </w:tc>
      </w:tr>
      <w:tr>
        <w:trPr>
          <w:trHeight w:val="163"/>
        </w:trPr>
        <w:tc>
          <w:tcPr>
            <w:tcW w:w="31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Other income/(loss)</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454</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(1,851 )</w:t>
            </w: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2,305</w:t>
            </w: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1,516</w:t>
            </w: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(2,570 )</w:t>
            </w: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4,086</w:t>
            </w:r>
          </w:p>
        </w:tc>
        <w:tc>
          <w:tcPr>
            <w:tcW w:w="220" w:type="dxa"/>
            <w:vAlign w:val="bottom"/>
            <w:shd w:val="clear" w:color="auto" w:fill="CFF0FC"/>
          </w:tcPr>
          <w:p>
            <w:pPr>
              <w:spacing w:after="0"/>
              <w:rPr>
                <w:sz w:val="14"/>
                <w:szCs w:val="14"/>
                <w:color w:val="auto"/>
              </w:rPr>
            </w:pP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89"/>
              </w:rPr>
              <w:t>N/A</w:t>
            </w:r>
          </w:p>
        </w:tc>
      </w:tr>
      <w:tr>
        <w:trPr>
          <w:trHeight w:val="20"/>
        </w:trPr>
        <w:tc>
          <w:tcPr>
            <w:tcW w:w="31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r>
      <w:tr>
        <w:trPr>
          <w:trHeight w:val="156"/>
        </w:trPr>
        <w:tc>
          <w:tcPr>
            <w:tcW w:w="31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Total other (expense)</w:t>
            </w:r>
          </w:p>
        </w:tc>
        <w:tc>
          <w:tcPr>
            <w:tcW w:w="180" w:type="dxa"/>
            <w:vAlign w:val="bottom"/>
          </w:tcPr>
          <w:p>
            <w:pPr>
              <w:spacing w:after="0"/>
              <w:rPr>
                <w:sz w:val="13"/>
                <w:szCs w:val="13"/>
                <w:color w:val="auto"/>
              </w:rPr>
            </w:pPr>
          </w:p>
        </w:tc>
        <w:tc>
          <w:tcPr>
            <w:tcW w:w="880" w:type="dxa"/>
            <w:vAlign w:val="bottom"/>
            <w:gridSpan w:val="2"/>
          </w:tcPr>
          <w:p>
            <w:pPr>
              <w:jc w:val="right"/>
              <w:ind w:right="117"/>
              <w:spacing w:after="0"/>
              <w:rPr>
                <w:sz w:val="20"/>
                <w:szCs w:val="20"/>
                <w:color w:val="auto"/>
              </w:rPr>
            </w:pPr>
            <w:r>
              <w:rPr>
                <w:rFonts w:ascii="Times New Roman" w:cs="Times New Roman" w:eastAsia="Times New Roman" w:hAnsi="Times New Roman"/>
                <w:sz w:val="13"/>
                <w:szCs w:val="13"/>
                <w:color w:val="auto"/>
              </w:rPr>
              <w:t>(6,238 )</w:t>
            </w:r>
          </w:p>
        </w:tc>
        <w:tc>
          <w:tcPr>
            <w:tcW w:w="280" w:type="dxa"/>
            <w:vAlign w:val="bottom"/>
          </w:tcPr>
          <w:p>
            <w:pPr>
              <w:spacing w:after="0"/>
              <w:rPr>
                <w:sz w:val="13"/>
                <w:szCs w:val="13"/>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(7,333 )</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1,095</w:t>
            </w:r>
          </w:p>
        </w:tc>
        <w:tc>
          <w:tcPr>
            <w:tcW w:w="24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(15)%</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(17,067 )</w:t>
            </w:r>
          </w:p>
        </w:tc>
        <w:tc>
          <w:tcPr>
            <w:tcW w:w="26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(18,650 )</w:t>
            </w: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1,583</w:t>
            </w:r>
          </w:p>
        </w:tc>
        <w:tc>
          <w:tcPr>
            <w:tcW w:w="22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(8)%</w:t>
            </w:r>
          </w:p>
        </w:tc>
      </w:tr>
      <w:tr>
        <w:trPr>
          <w:trHeight w:val="20"/>
        </w:trPr>
        <w:tc>
          <w:tcPr>
            <w:tcW w:w="3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56"/>
        </w:trPr>
        <w:tc>
          <w:tcPr>
            <w:tcW w:w="31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Net income/(losses) before income taxes</w:t>
            </w: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2,588</w:t>
            </w:r>
          </w:p>
        </w:tc>
        <w:tc>
          <w:tcPr>
            <w:tcW w:w="2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(6,950 )</w:t>
            </w: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9,538</w:t>
            </w:r>
          </w:p>
        </w:tc>
        <w:tc>
          <w:tcPr>
            <w:tcW w:w="240" w:type="dxa"/>
            <w:vAlign w:val="bottom"/>
            <w:shd w:val="clear" w:color="auto" w:fill="CFF0FC"/>
          </w:tcPr>
          <w:p>
            <w:pPr>
              <w:spacing w:after="0"/>
              <w:rPr>
                <w:sz w:val="13"/>
                <w:szCs w:val="13"/>
                <w:color w:val="auto"/>
              </w:rPr>
            </w:pP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20,697</w:t>
            </w:r>
          </w:p>
        </w:tc>
        <w:tc>
          <w:tcPr>
            <w:tcW w:w="2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(3,072 )</w:t>
            </w: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23,769</w:t>
            </w:r>
          </w:p>
        </w:tc>
        <w:tc>
          <w:tcPr>
            <w:tcW w:w="220" w:type="dxa"/>
            <w:vAlign w:val="bottom"/>
            <w:shd w:val="clear" w:color="auto" w:fill="CFF0FC"/>
          </w:tcPr>
          <w:p>
            <w:pPr>
              <w:spacing w:after="0"/>
              <w:rPr>
                <w:sz w:val="13"/>
                <w:szCs w:val="13"/>
                <w:color w:val="auto"/>
              </w:rPr>
            </w:pP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89"/>
              </w:rPr>
              <w:t>N/A</w:t>
            </w:r>
          </w:p>
        </w:tc>
      </w:tr>
      <w:tr>
        <w:trPr>
          <w:trHeight w:val="162"/>
        </w:trPr>
        <w:tc>
          <w:tcPr>
            <w:tcW w:w="31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Income tax (expense)</w:t>
            </w:r>
          </w:p>
        </w:tc>
        <w:tc>
          <w:tcPr>
            <w:tcW w:w="180" w:type="dxa"/>
            <w:vAlign w:val="bottom"/>
          </w:tcPr>
          <w:p>
            <w:pPr>
              <w:spacing w:after="0"/>
              <w:rPr>
                <w:sz w:val="14"/>
                <w:szCs w:val="14"/>
                <w:color w:val="auto"/>
              </w:rPr>
            </w:pPr>
          </w:p>
        </w:tc>
        <w:tc>
          <w:tcPr>
            <w:tcW w:w="880" w:type="dxa"/>
            <w:vAlign w:val="bottom"/>
            <w:gridSpan w:val="2"/>
          </w:tcPr>
          <w:p>
            <w:pPr>
              <w:jc w:val="right"/>
              <w:ind w:right="117"/>
              <w:spacing w:after="0"/>
              <w:rPr>
                <w:sz w:val="20"/>
                <w:szCs w:val="20"/>
                <w:color w:val="auto"/>
              </w:rPr>
            </w:pPr>
            <w:r>
              <w:rPr>
                <w:rFonts w:ascii="Times New Roman" w:cs="Times New Roman" w:eastAsia="Times New Roman" w:hAnsi="Times New Roman"/>
                <w:sz w:val="13"/>
                <w:szCs w:val="13"/>
                <w:color w:val="auto"/>
              </w:rPr>
              <w:t>(1,255 )</w:t>
            </w:r>
          </w:p>
        </w:tc>
        <w:tc>
          <w:tcPr>
            <w:tcW w:w="28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(1,800 )</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545</w:t>
            </w:r>
          </w:p>
        </w:tc>
        <w:tc>
          <w:tcPr>
            <w:tcW w:w="2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(30)%</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(6,731 )</w:t>
            </w:r>
          </w:p>
        </w:tc>
        <w:tc>
          <w:tcPr>
            <w:tcW w:w="26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(2,807 )</w:t>
            </w:r>
          </w:p>
        </w:tc>
        <w:tc>
          <w:tcPr>
            <w:tcW w:w="1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(3,924 )</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140%</w:t>
            </w:r>
          </w:p>
        </w:tc>
      </w:tr>
      <w:tr>
        <w:trPr>
          <w:trHeight w:val="20"/>
        </w:trPr>
        <w:tc>
          <w:tcPr>
            <w:tcW w:w="3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75"/>
        </w:trPr>
        <w:tc>
          <w:tcPr>
            <w:tcW w:w="314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NET INCOME/(LOSS)</w:t>
            </w:r>
          </w:p>
        </w:tc>
        <w:tc>
          <w:tcPr>
            <w:tcW w:w="180" w:type="dxa"/>
            <w:vAlign w:val="bottom"/>
            <w:shd w:val="clear" w:color="auto" w:fill="CFF0FC"/>
          </w:tcPr>
          <w:p>
            <w:pPr>
              <w:jc w:val="right"/>
              <w:ind w:right="3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1,333</w:t>
            </w: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jc w:val="right"/>
              <w:ind w:right="13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FF0FC"/>
          </w:tcPr>
          <w:p>
            <w:pPr>
              <w:jc w:val="right"/>
              <w:ind w:right="200"/>
              <w:spacing w:after="0" w:line="142" w:lineRule="exact"/>
              <w:rPr>
                <w:sz w:val="20"/>
                <w:szCs w:val="20"/>
                <w:color w:val="auto"/>
              </w:rPr>
            </w:pPr>
            <w:r>
              <w:rPr>
                <w:rFonts w:ascii="Times New Roman" w:cs="Times New Roman" w:eastAsia="Times New Roman" w:hAnsi="Times New Roman"/>
                <w:sz w:val="13"/>
                <w:szCs w:val="13"/>
                <w:color w:val="auto"/>
              </w:rPr>
              <w:t>(8,750 )</w:t>
            </w:r>
          </w:p>
        </w:tc>
        <w:tc>
          <w:tcPr>
            <w:tcW w:w="1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10,083</w:t>
            </w: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jc w:val="center"/>
              <w:spacing w:after="0" w:line="142" w:lineRule="exact"/>
              <w:rPr>
                <w:sz w:val="20"/>
                <w:szCs w:val="20"/>
                <w:color w:val="auto"/>
              </w:rPr>
            </w:pPr>
            <w:r>
              <w:rPr>
                <w:rFonts w:ascii="Times New Roman" w:cs="Times New Roman" w:eastAsia="Times New Roman" w:hAnsi="Times New Roman"/>
                <w:sz w:val="13"/>
                <w:szCs w:val="13"/>
                <w:color w:val="auto"/>
                <w:w w:val="98"/>
              </w:rPr>
              <w:t>N/A</w:t>
            </w:r>
          </w:p>
        </w:tc>
        <w:tc>
          <w:tcPr>
            <w:tcW w:w="30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13,966</w:t>
            </w: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11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3"/>
                <w:szCs w:val="13"/>
                <w:color w:val="auto"/>
              </w:rPr>
              <w:t>(5,879 )</w:t>
            </w: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19,845</w:t>
            </w: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jc w:val="center"/>
              <w:spacing w:after="0" w:line="142" w:lineRule="exact"/>
              <w:rPr>
                <w:sz w:val="20"/>
                <w:szCs w:val="20"/>
                <w:color w:val="auto"/>
              </w:rPr>
            </w:pPr>
            <w:r>
              <w:rPr>
                <w:rFonts w:ascii="Times New Roman" w:cs="Times New Roman" w:eastAsia="Times New Roman" w:hAnsi="Times New Roman"/>
                <w:sz w:val="13"/>
                <w:szCs w:val="13"/>
                <w:color w:val="auto"/>
                <w:w w:val="89"/>
              </w:rPr>
              <w:t>N/A</w:t>
            </w:r>
          </w:p>
        </w:tc>
      </w:tr>
      <w:tr>
        <w:trPr>
          <w:trHeight w:val="20"/>
        </w:trPr>
        <w:tc>
          <w:tcPr>
            <w:tcW w:w="3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2516505</wp:posOffset>
            </wp:positionH>
            <wp:positionV relativeFrom="paragraph">
              <wp:posOffset>-1190625</wp:posOffset>
            </wp:positionV>
            <wp:extent cx="7683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-1190625</wp:posOffset>
            </wp:positionV>
            <wp:extent cx="7747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-1190625</wp:posOffset>
            </wp:positionV>
            <wp:extent cx="7747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-1190625</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-1190625</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-1190625</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-462280</wp:posOffset>
            </wp:positionV>
            <wp:extent cx="7683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-462280</wp:posOffset>
            </wp:positionV>
            <wp:extent cx="7747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-462280</wp:posOffset>
            </wp:positionV>
            <wp:extent cx="7747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-462280</wp:posOffset>
            </wp:positionV>
            <wp:extent cx="6858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-462280</wp:posOffset>
            </wp:positionV>
            <wp:extent cx="6858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-462280</wp:posOffset>
            </wp:positionV>
            <wp:extent cx="6858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-24765</wp:posOffset>
            </wp:positionV>
            <wp:extent cx="7683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-7620</wp:posOffset>
            </wp:positionV>
            <wp:extent cx="7683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-24765</wp:posOffset>
            </wp:positionV>
            <wp:extent cx="7747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-7620</wp:posOffset>
            </wp:positionV>
            <wp:extent cx="7747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-24765</wp:posOffset>
            </wp:positionV>
            <wp:extent cx="7747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-7620</wp:posOffset>
            </wp:positionV>
            <wp:extent cx="7747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-24765</wp:posOffset>
            </wp:positionV>
            <wp:extent cx="6858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-7620</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-24765</wp:posOffset>
            </wp:positionV>
            <wp:extent cx="6858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-7620</wp:posOffset>
            </wp:positionV>
            <wp:extent cx="685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-24765</wp:posOffset>
            </wp:positionV>
            <wp:extent cx="6858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-7620</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Three Months Ended September 30, 2024 and September 30, 2023</w:t>
      </w:r>
    </w:p>
    <w:p>
      <w:pPr>
        <w:spacing w:after="0" w:line="119"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Our total revenue is composed almost entirely of recurring management and advisory fees, with the vast majority of fees earned on committed capital that is typically subject to ten to fifteen year lock up agreements, therefore our average fee rates have remained stable at approximately 1% for the three months ended September 30, 2024 and September 30, 2023. For the three months ended September 30, 2024 compared to the three months ended September 30, 2023, revenues increased by $15.3 million or 26% due to organic FPAUM growth across Bonaccord, Enhanced, RCP, and WTI.</w:t>
      </w:r>
    </w:p>
    <w:p>
      <w:pPr>
        <w:spacing w:after="0" w:line="18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Management and advisory fees increased by $14.5 million, or 25%, to $72.6 million for the three months ended September 30, 2024 as compared to the three months ended September 30, 2023 due primarily to organic FPAUM growth generating revenues of $14.7 million at Bonaccord, Enhanced, RCP and WTI. Catch-up fees for the three months ended September 30, 2024 were $6.2 million of the $72.6 million in management and advisory fees associated with the fund closings at Bonaccord and RCP.</w:t>
      </w:r>
    </w:p>
    <w:p>
      <w:pPr>
        <w:spacing w:after="0" w:line="180"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Other revenues increased by $0.8 million or 91% to $1.6 million for the three months ended September 30, 2024 as compared to the three months ended September 30, 2023 driven by $0.6 million increase in ancillary elements of our business. Additionally, an increase of $0.2 million of interest income in other revenue at RCP.</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Nine Months Ended September 30, 2024 and September 30, 2023</w:t>
      </w:r>
    </w:p>
    <w:p>
      <w:pPr>
        <w:spacing w:after="0" w:line="11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revenue is composed almost entirely of recurring management and advisory fees, with the vast majority of fees earned on committed capital that is typically subject to ten to fifteen year lock up agreements, therefore our average fee rates have remained stable at approximately 1% for the nine months ended September 30, 2024 and September 30, 2023. For the nine months ended September 30, 2024 compared to the nine months ended September 30, 2023, revenues increased by $32.8 million or 18% primarily due to organic FPAUM growth across Bonaccord, Enhanced, RCP, WTI, and TrueBridge.</w:t>
      </w:r>
    </w:p>
    <w:p>
      <w:pPr>
        <w:spacing w:after="0" w:line="180"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Management and advisory fees increased by $29.9 million, or 17%, to $206.2 million for the nine months ended September 30, 2024 as compared to the nine months ended September 30, 2023 due to organic FPAUM growth at Bonaccord, Enhanced, WTI, and TrueBridge of $30.2 million offset slightly by a decrease of $0.7 million in management fees at Five Points. Catch-up fees for the nine months ended September 30, 2024 were $20.0 million associated with the fund closings at Bonaccord, TrueBridge and RCP.</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41" w:name="page42"/>
    <w:bookmarkEnd w:id="41"/>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Other revenues increased by $2.9 million or 124% to $5.2 million for the nine months ended September 30, 2024 as compared to the nine months ended September 30, 2023 primarily driven by $2.0 million of recognized carried interest income from an uncommon pre-acquisition legacy managed fund in other revenue and an increase of $0.6 million of interest income in other revenue at RCP.</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6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2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76"/>
        </w:trPr>
        <w:tc>
          <w:tcPr>
            <w:tcW w:w="3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6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0" w:type="dxa"/>
            <w:vAlign w:val="bottom"/>
            <w:gridSpan w:val="6"/>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87"/>
        </w:trPr>
        <w:tc>
          <w:tcPr>
            <w:tcW w:w="30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Pr>
          <w:p>
            <w:pPr>
              <w:spacing w:after="0"/>
              <w:rPr>
                <w:sz w:val="16"/>
                <w:szCs w:val="16"/>
                <w:color w:val="auto"/>
              </w:rPr>
            </w:pPr>
          </w:p>
        </w:tc>
        <w:tc>
          <w:tcPr>
            <w:tcW w:w="8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3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Pr>
          <w:p>
            <w:pPr>
              <w:spacing w:after="0"/>
              <w:rPr>
                <w:sz w:val="16"/>
                <w:szCs w:val="16"/>
                <w:color w:val="auto"/>
              </w:rPr>
            </w:pPr>
          </w:p>
        </w:tc>
        <w:tc>
          <w:tcPr>
            <w:tcW w:w="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6"/>
                <w:szCs w:val="16"/>
                <w:color w:val="auto"/>
              </w:rPr>
            </w:pPr>
          </w:p>
        </w:tc>
      </w:tr>
      <w:tr>
        <w:trPr>
          <w:trHeight w:val="237"/>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180" w:type="dxa"/>
            <w:vAlign w:val="bottom"/>
          </w:tcPr>
          <w:p>
            <w:pPr>
              <w:spacing w:after="0"/>
              <w:rPr>
                <w:sz w:val="20"/>
                <w:szCs w:val="20"/>
                <w:color w:val="auto"/>
              </w:rPr>
            </w:pPr>
          </w:p>
        </w:tc>
        <w:tc>
          <w:tcPr>
            <w:tcW w:w="1700" w:type="dxa"/>
            <w:vAlign w:val="bottom"/>
            <w:gridSpan w:val="4"/>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gridSpan w:val="4"/>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30"/>
        </w:trPr>
        <w:tc>
          <w:tcPr>
            <w:tcW w:w="3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42,531</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42,175</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115,893</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114,128</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1,765</w:t>
            </w: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2 %</w:t>
            </w:r>
          </w:p>
        </w:tc>
      </w:tr>
      <w:tr>
        <w:trPr>
          <w:trHeight w:val="220"/>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Professional fees</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9,169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3,357</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5,812</w:t>
            </w:r>
          </w:p>
        </w:tc>
        <w:tc>
          <w:tcPr>
            <w:tcW w:w="24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173 %</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16,472</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10,191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6,281</w:t>
            </w:r>
          </w:p>
        </w:tc>
        <w:tc>
          <w:tcPr>
            <w:tcW w:w="22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62 %</w:t>
            </w:r>
          </w:p>
        </w:tc>
      </w:tr>
      <w:tr>
        <w:trPr>
          <w:trHeight w:val="239"/>
        </w:trPr>
        <w:tc>
          <w:tcPr>
            <w:tcW w:w="3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General, administrative, and other</w:t>
            </w:r>
          </w:p>
        </w:tc>
        <w:tc>
          <w:tcPr>
            <w:tcW w:w="18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6,606</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5,315</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1,291</w:t>
            </w:r>
          </w:p>
        </w:tc>
        <w:tc>
          <w:tcPr>
            <w:tcW w:w="24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24 %</w:t>
            </w:r>
          </w:p>
        </w:tc>
        <w:tc>
          <w:tcPr>
            <w:tcW w:w="18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19,680</w:t>
            </w:r>
          </w:p>
        </w:tc>
        <w:tc>
          <w:tcPr>
            <w:tcW w:w="2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15,209</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4,471</w:t>
            </w:r>
          </w:p>
        </w:tc>
        <w:tc>
          <w:tcPr>
            <w:tcW w:w="2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29 %</w:t>
            </w:r>
          </w:p>
        </w:tc>
      </w:tr>
      <w:tr>
        <w:trPr>
          <w:trHeight w:val="220"/>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Contingent consideration expense</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(41 )</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(51 )%</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(390 )</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(71 )%</w:t>
            </w:r>
          </w:p>
        </w:tc>
      </w:tr>
      <w:tr>
        <w:trPr>
          <w:trHeight w:val="239"/>
        </w:trPr>
        <w:tc>
          <w:tcPr>
            <w:tcW w:w="3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18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6,437</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7,319</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(882 )</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(12 )%</w:t>
            </w:r>
          </w:p>
        </w:tc>
        <w:tc>
          <w:tcPr>
            <w:tcW w:w="18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19,312</w:t>
            </w:r>
          </w:p>
        </w:tc>
        <w:tc>
          <w:tcPr>
            <w:tcW w:w="2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21,893</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(2,581 )</w:t>
            </w: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(12 )%</w:t>
            </w:r>
          </w:p>
        </w:tc>
      </w:tr>
      <w:tr>
        <w:trPr>
          <w:trHeight w:val="227"/>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Strategic alliance expense</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635</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24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103 %</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2,153</w:t>
            </w: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1,118</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1,035</w:t>
            </w:r>
          </w:p>
        </w:tc>
        <w:tc>
          <w:tcPr>
            <w:tcW w:w="22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93 %</w:t>
            </w:r>
          </w:p>
        </w:tc>
      </w:tr>
      <w:tr>
        <w:trPr>
          <w:trHeight w:val="266"/>
        </w:trPr>
        <w:tc>
          <w:tcPr>
            <w:tcW w:w="3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65,417</w:t>
            </w:r>
          </w:p>
        </w:tc>
        <w:tc>
          <w:tcPr>
            <w:tcW w:w="24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58,559</w:t>
            </w:r>
          </w:p>
        </w:tc>
        <w:tc>
          <w:tcPr>
            <w:tcW w:w="26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6,858</w:t>
            </w:r>
          </w:p>
        </w:tc>
        <w:tc>
          <w:tcPr>
            <w:tcW w:w="240" w:type="dxa"/>
            <w:vAlign w:val="bottom"/>
            <w:tcBorders>
              <w:bottom w:val="single" w:sz="8" w:color="CFF0FC"/>
            </w:tcBorders>
            <w:shd w:val="clear" w:color="auto" w:fill="CFF0FC"/>
          </w:tcPr>
          <w:p>
            <w:pPr>
              <w:spacing w:after="0"/>
              <w:rPr>
                <w:sz w:val="23"/>
                <w:szCs w:val="23"/>
                <w:color w:val="auto"/>
              </w:rPr>
            </w:pPr>
          </w:p>
        </w:tc>
        <w:tc>
          <w:tcPr>
            <w:tcW w:w="118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12 %</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173,670</w:t>
            </w:r>
          </w:p>
        </w:tc>
        <w:tc>
          <w:tcPr>
            <w:tcW w:w="260" w:type="dxa"/>
            <w:vAlign w:val="bottom"/>
            <w:tcBorders>
              <w:bottom w:val="single" w:sz="8" w:color="CFF0FC"/>
            </w:tcBorders>
            <w:shd w:val="clear" w:color="auto" w:fill="CFF0FC"/>
          </w:tcPr>
          <w:p>
            <w:pPr>
              <w:spacing w:after="0"/>
              <w:rPr>
                <w:sz w:val="23"/>
                <w:szCs w:val="23"/>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163,089</w:t>
            </w:r>
          </w:p>
        </w:tc>
        <w:tc>
          <w:tcPr>
            <w:tcW w:w="12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10,581</w:t>
            </w:r>
          </w:p>
        </w:tc>
        <w:tc>
          <w:tcPr>
            <w:tcW w:w="220" w:type="dxa"/>
            <w:vAlign w:val="bottom"/>
            <w:tcBorders>
              <w:bottom w:val="single" w:sz="8" w:color="CFF0FC"/>
            </w:tcBorders>
            <w:shd w:val="clear" w:color="auto" w:fill="CFF0FC"/>
          </w:tcPr>
          <w:p>
            <w:pPr>
              <w:spacing w:after="0"/>
              <w:rPr>
                <w:sz w:val="23"/>
                <w:szCs w:val="23"/>
                <w:color w:val="auto"/>
              </w:rPr>
            </w:pPr>
          </w:p>
        </w:tc>
        <w:tc>
          <w:tcPr>
            <w:tcW w:w="9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2465070</wp:posOffset>
            </wp:positionH>
            <wp:positionV relativeFrom="paragraph">
              <wp:posOffset>-25400</wp:posOffset>
            </wp:positionV>
            <wp:extent cx="7747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-8255</wp:posOffset>
            </wp:positionV>
            <wp:extent cx="7747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-25400</wp:posOffset>
            </wp:positionV>
            <wp:extent cx="7683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-8255</wp:posOffset>
            </wp:positionV>
            <wp:extent cx="7683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-25400</wp:posOffset>
            </wp:positionV>
            <wp:extent cx="7747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-8255</wp:posOffset>
            </wp:positionV>
            <wp:extent cx="7747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-25400</wp:posOffset>
            </wp:positionV>
            <wp:extent cx="7747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-8255</wp:posOffset>
            </wp:positionV>
            <wp:extent cx="7747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-25400</wp:posOffset>
            </wp:positionV>
            <wp:extent cx="685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6858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-25400</wp:posOffset>
            </wp:positionV>
            <wp:extent cx="685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-8255</wp:posOffset>
            </wp:positionV>
            <wp:extent cx="6858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Three Months Ended September 30, 2024 and September 30, 2023</w:t>
      </w:r>
    </w:p>
    <w:p>
      <w:pPr>
        <w:spacing w:after="0" w:line="119"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Total operating expenses increased by $6.9 million, or 12%, to $65.4 million for the three months ended September 30, 2024 compared to the three months ended September 30, 2023. This increase was primarily due to an increase in professional fees as well as general, administrative, and other expenses.</w:t>
      </w:r>
    </w:p>
    <w:p>
      <w:pPr>
        <w:spacing w:after="0" w:line="176"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Compensation and benefits expense was relatively unchanged for the three months ended September 30, 2024 compared to the three months ended September 30, 2023. There was a decrease in severance expense of $2.3 million and a decrease in stock compensation of $1.3 million primarily driven by a decrease in management stock compensation expense acceleration related to the executive transition that occurred in October 2023 offset by an increase in the remeasurement for the fair value of the Bonaccord Units related to the acquisition of Bonaccord. The Bonaccord Units, which are recognized using the tranche method, had an increase in expense for the three months ended September 30, 2024 compared to the three months ended September 30, 2023. These decreases were offset by a $1.8 million increase in profit and revenue share expense at Bonaccord and $1.3 million increase related to increases in headcount and associated benefits across the Company as well as merit-based salary raises to retain and motivate talent across the Company.</w:t>
      </w:r>
    </w:p>
    <w:p>
      <w:pPr>
        <w:spacing w:after="0" w:line="18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Professional fees increased by $5.8 million, or 173%, to $9.2 million. The primary increase in professional fees for the three months ended September 30, 2024 compared to the three months ended September 30, 2023 is primarily driven by an increase in professional and legal fees associated with the Company's debt refinancing as well as the Company's transitions related to turnover at the management level, office locations, policies, as well as normal course of business such as filings and due diligence for acquisitions.</w:t>
      </w:r>
    </w:p>
    <w:p>
      <w:pPr>
        <w:spacing w:after="0" w:line="180"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General, administrative, and other increased by $1.3 million, or 24%, to $6.6 million, due primarily to $0.5 million increase of placement agent fees at Hark, $0.4 million increase in marketing efforts, as well as $0.4 million ongoing enhancements to infrastructure, technology, and security across the Company.</w:t>
      </w:r>
    </w:p>
    <w:p>
      <w:pPr>
        <w:spacing w:after="0" w:line="176" w:lineRule="exact"/>
        <w:rPr>
          <w:sz w:val="20"/>
          <w:szCs w:val="20"/>
          <w:color w:val="auto"/>
        </w:rPr>
      </w:pPr>
    </w:p>
    <w:p>
      <w:pPr>
        <w:ind w:right="160" w:firstLine="509"/>
        <w:spacing w:after="0" w:line="281" w:lineRule="auto"/>
        <w:rPr>
          <w:sz w:val="20"/>
          <w:szCs w:val="20"/>
          <w:color w:val="auto"/>
        </w:rPr>
      </w:pPr>
      <w:r>
        <w:rPr>
          <w:rFonts w:ascii="Times New Roman" w:cs="Times New Roman" w:eastAsia="Times New Roman" w:hAnsi="Times New Roman"/>
          <w:sz w:val="17"/>
          <w:szCs w:val="17"/>
          <w:color w:val="auto"/>
        </w:rPr>
        <w:t>Amortization of intangibles decreased by $0.9 million, or 12%, to $6.4 million, for the three months ended September 30, 2024 as compared to the three months ended September 30, 2023. This is due to decreases at ECG, RCP, and TrueBridge. The decrease at ECG is driven by unique syndication contracts and advisory contracts' amortization schedule, which is based on projected revenues at the time of acquisition. The decreases at RCP and TrueBridge are driven by asset management fee contracts' amortization schedule, which is based on projected revenues at the time of acquisition.</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Nine Months Ended September 30, 2024 and September 30, 2023</w:t>
      </w:r>
    </w:p>
    <w:p>
      <w:pPr>
        <w:spacing w:after="0" w:line="119"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Total operating expenses increased by $10.6 million, or 6%, to $173.7 million for the nine months ended September 30, 2024 compared to the nine months ended September 30, 2023. This increase was primarily due to increases in compensation and benefits, general, administrative and other expense, professional fees, and strategic alliance expense offset slightly by a decrease in amortization of intangibles.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2" w:name="page43"/>
    <w:bookmarkEnd w:id="42"/>
    <w:p>
      <w:pPr>
        <w:ind w:firstLine="509"/>
        <w:spacing w:after="0" w:line="253" w:lineRule="auto"/>
        <w:rPr>
          <w:sz w:val="20"/>
          <w:szCs w:val="20"/>
          <w:color w:val="auto"/>
        </w:rPr>
      </w:pPr>
      <w:r>
        <w:rPr>
          <w:rFonts w:ascii="Times New Roman" w:cs="Times New Roman" w:eastAsia="Times New Roman" w:hAnsi="Times New Roman"/>
          <w:sz w:val="18"/>
          <w:szCs w:val="18"/>
          <w:color w:val="auto"/>
        </w:rPr>
        <w:t>Compensation and benefits expense increased by $1.8 million, or 2%, to $115.9 million, for the nine months ended September 30, 2024 compared to the nine months ended September 30, 2023. The increase was driven by $15.9 million of increases in headcount and associated benefits across the Company as well as merit-based salary raises to retain and motivate talent across the Company. This increase was offset by change of estimate for timing of achieving the earnout payment related to the acquisition of WTI, which prospectively adjusted recognition of the expense and resulted in $8.6 million decrease for the nine months ended September 30, 2024 compared to the nine months ended September 30, 2023. Additionally, there was a decrease in severance expense of $3.3 million and a decrease in stock compensation of $3.1 million, of which $2.1 million decrease relates to remeasurement for the fair value of the Bonaccord Units and Hark Units related to the acquisition of Bonaccord and Hark and a decrease of $1.0 million related to management stock award accelerations in 2023 related to the Executive Transition in October 2023. In 2023, the Hark Units were fully earned and recognized, therefore, there was no correlating expense in 2024 associated with the Hark Units. Moreover, the Bonaccord Units, which are recognized using the tranche method, had a decrease in expense for the nine months ended September 30, 2024 compared to the nine months ended September 30, 2023.</w:t>
      </w:r>
    </w:p>
    <w:p>
      <w:pPr>
        <w:spacing w:after="0" w:line="194"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Professional fees increased by $6.3 million, or 62%, to $16.5 million. The primary driver for the increase in professional fees for the nine months ended September 30, 2024 compared to the nine months ended September 30, 2023 is an increase of $5.0 million in professional and legal expenses associated with the Company's debt refinancing and the Company's transitions related to turnover at the management level, office locations, policies, as well as normal course of business such as filings and due diligence for acquisitions. Additionally, a $1.1 million increase related to audit, tax, and compliance services provided to the Company.</w:t>
      </w:r>
    </w:p>
    <w:p>
      <w:pPr>
        <w:spacing w:after="0" w:line="183"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General, administrative and other increased by $4.5 million, or 29%, to $19.7 million, due to $1.1 million increase of placement agent fees, $0.3 million increase of rent, $0.9 million increase in marketing efforts, $0.6 million increase in conferences, travel, and entertainment expenses, and $1.1 million increase for ongoing enhancements to infrastructure, technology, and security across the Company.</w:t>
      </w:r>
    </w:p>
    <w:p>
      <w:pPr>
        <w:spacing w:after="0" w:line="176"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Contingent consideration expense decreased by $0.4 million, to $0.2 million, for the nine months ended September 30, 2024 as compared to the nine months ended September 30, 2023. This was driven by remeasurement of contingent consideration payable in connection with the acquisitions of Hark and Bonaccord. The Hark contingent consideration was fully earned and paid in 2023 and the Bonaccord contingent consideration is fully earned as of September 30, 2024 and has a remaining fair value is $4.3 million as of September 30, 2024.</w:t>
      </w:r>
    </w:p>
    <w:p>
      <w:pPr>
        <w:spacing w:after="0" w:line="180"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Amortization of intangibles decreased by $2.6 million, or 12%, to $19.3 million, for the nine months ended September 30, 2024 as compared to the nine months ended September 30, 2023. This is due to decreases at ECG, RCP, and TrueBridge. The decrease at ECG is driven by unique syndication contracts and advisory contracts' amortization schedule, which is based on projected revenues at the time of acquisition. The decreases at RCP and TrueBridge are driven by asset management fee contracts' amortization schedule, which is based on projected revenues at the time of acquisition.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Three Months Ended September 30, 2024 and September 30, 2023</w:t>
      </w:r>
    </w:p>
    <w:p>
      <w:pPr>
        <w:spacing w:after="0" w:line="119"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Other expenses decreased by $1.1 million, or (15)%, to $6.2 million for the three months ended September 30, 2024 compared to the three months ended September 30, 2023. This decrease was driven by $3.1 million in other income/(losses) related to legal settlements incurred in the three months ended September 30, 2023 compared to no legal settlements incurred in the three months ended September 30, 2024. This was offset by an increase in interest expense of $2.0 million on the credit facility due to higher SOFR rates and a larger outstanding debt balance in the three months ended September 30, 2024.</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Nine Months Ended September 30, 2024 and September 30, 2023</w:t>
      </w:r>
    </w:p>
    <w:p>
      <w:pPr>
        <w:spacing w:after="0" w:line="11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Other expenses decreased by $1.6 million, or 8%, to $17.1 million for the nine months ended September 30, 2024 compared to the nine months ended September 30, 2023. This decrease was driven by $2.3 million in other income/(losses) related to legal settlements incurred in the nine months ended September 30, 2023 compared to no legal settlements incurred in the nine months ended September 30, 2024 and $1.7 million increase in other income driven by interest earned for money market accounts and income from unconsolidated subsidiaries. This was offset by an increase in interest expense of $2.5 million due to higher SOFR rates and a larger average outstanding debt balance for the nine months ended September 30, 2024 compared to the nine months ended September 30, 2023.</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Three Months Ended September 30, 2024 and September 30, 2023</w:t>
      </w:r>
    </w:p>
    <w:p>
      <w:pPr>
        <w:spacing w:after="0" w:line="119"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Income tax expense decreased by $0.5 million to $1.3 million for the three months ended September 30, 2024 compared to the expense of $1.8 million for the three months ended September 30, 2023. The decrease was primarily due to discrete period recognition of windfall tax adjustments related to options exercised and RSU vesting during the period.</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Nine Months Ended September 30, 2024 and September 30, 2023</w:t>
      </w:r>
    </w:p>
    <w:p>
      <w:pPr>
        <w:spacing w:after="0" w:line="11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Income tax expense increased by $3.9 million to $6.7 million for the nine months ended September 30, 2024 compared to an expense of $2.8 million for the nine months ended September 30, 2023. The increase was primarily due to additional income during the period.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FPAUM</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a period-to-period roll-forward of our fee paying assets under management on an actual basis.</w:t>
      </w:r>
    </w:p>
    <w:p>
      <w:pPr>
        <w:spacing w:after="0" w:line="200" w:lineRule="exact"/>
        <w:rPr>
          <w:sz w:val="20"/>
          <w:szCs w:val="20"/>
          <w:color w:val="auto"/>
        </w:rPr>
      </w:pPr>
    </w:p>
    <w:p>
      <w:pPr>
        <w:spacing w:after="0" w:line="290" w:lineRule="exact"/>
        <w:rPr>
          <w:sz w:val="20"/>
          <w:szCs w:val="20"/>
          <w:color w:val="auto"/>
        </w:rPr>
      </w:pPr>
    </w:p>
    <w:tbl>
      <w:tblPr>
        <w:tblLayout w:type="fixed"/>
        <w:tblInd w:w="960" w:type="dxa"/>
        <w:tblCellMar>
          <w:top w:w="0" w:type="dxa"/>
          <w:left w:w="0" w:type="dxa"/>
          <w:bottom w:w="0" w:type="dxa"/>
          <w:right w:w="0" w:type="dxa"/>
        </w:tblCellMar>
      </w:tblPr>
      <w:tr>
        <w:trPr>
          <w:trHeight w:val="161"/>
        </w:trPr>
        <w:tc>
          <w:tcPr>
            <w:tcW w:w="3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0" w:type="dxa"/>
            <w:vAlign w:val="bottom"/>
            <w:gridSpan w:val="5"/>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180" w:type="dxa"/>
            <w:vAlign w:val="bottom"/>
          </w:tcPr>
          <w:p>
            <w:pPr>
              <w:spacing w:after="0"/>
              <w:rPr>
                <w:sz w:val="13"/>
                <w:szCs w:val="13"/>
                <w:color w:val="auto"/>
              </w:rPr>
            </w:pPr>
          </w:p>
        </w:tc>
        <w:tc>
          <w:tcPr>
            <w:tcW w:w="2580" w:type="dxa"/>
            <w:vAlign w:val="bottom"/>
            <w:gridSpan w:val="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For the nine months</w:t>
            </w:r>
          </w:p>
        </w:tc>
      </w:tr>
      <w:tr>
        <w:trPr>
          <w:trHeight w:val="175"/>
        </w:trPr>
        <w:tc>
          <w:tcPr>
            <w:tcW w:w="3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0" w:type="dxa"/>
            <w:vAlign w:val="bottom"/>
            <w:gridSpan w:val="5"/>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180" w:type="dxa"/>
            <w:vAlign w:val="bottom"/>
          </w:tcPr>
          <w:p>
            <w:pPr>
              <w:spacing w:after="0"/>
              <w:rPr>
                <w:sz w:val="15"/>
                <w:szCs w:val="15"/>
                <w:color w:val="auto"/>
              </w:rPr>
            </w:pPr>
          </w:p>
        </w:tc>
        <w:tc>
          <w:tcPr>
            <w:tcW w:w="2580" w:type="dxa"/>
            <w:vAlign w:val="bottom"/>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ended September 30,</w:t>
            </w:r>
          </w:p>
        </w:tc>
      </w:tr>
      <w:tr>
        <w:trPr>
          <w:trHeight w:val="187"/>
        </w:trPr>
        <w:tc>
          <w:tcPr>
            <w:tcW w:w="35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169"/>
        </w:trPr>
        <w:tc>
          <w:tcPr>
            <w:tcW w:w="3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4"/>
                <w:szCs w:val="14"/>
                <w:color w:val="auto"/>
              </w:rPr>
            </w:pPr>
          </w:p>
        </w:tc>
      </w:tr>
      <w:tr>
        <w:trPr>
          <w:trHeight w:val="243"/>
        </w:trPr>
        <w:tc>
          <w:tcPr>
            <w:tcW w:w="3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23,835</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22,165</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23,259</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21,206</w:t>
            </w:r>
          </w:p>
        </w:tc>
        <w:tc>
          <w:tcPr>
            <w:tcW w:w="100" w:type="dxa"/>
            <w:vAlign w:val="bottom"/>
            <w:shd w:val="clear" w:color="auto" w:fill="CFF0FC"/>
          </w:tcPr>
          <w:p>
            <w:pPr>
              <w:spacing w:after="0"/>
              <w:rPr>
                <w:sz w:val="21"/>
                <w:szCs w:val="21"/>
                <w:color w:val="auto"/>
              </w:rPr>
            </w:pPr>
          </w:p>
        </w:tc>
      </w:tr>
      <w:tr>
        <w:trPr>
          <w:trHeight w:val="239"/>
        </w:trPr>
        <w:tc>
          <w:tcPr>
            <w:tcW w:w="3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Add:</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35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Acquisitions</w:t>
            </w:r>
          </w:p>
        </w:tc>
        <w:tc>
          <w:tcPr>
            <w:tcW w:w="18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580" w:type="dxa"/>
            <w:vAlign w:val="bottom"/>
          </w:tcPr>
          <w:p>
            <w:pPr>
              <w:ind w:left="140"/>
              <w:spacing w:after="0" w:line="243" w:lineRule="exact"/>
              <w:rPr>
                <w:sz w:val="20"/>
                <w:szCs w:val="20"/>
                <w:color w:val="auto"/>
              </w:rPr>
            </w:pPr>
            <w:r>
              <w:rPr>
                <w:rFonts w:ascii="Times New Roman" w:cs="Times New Roman" w:eastAsia="Times New Roman" w:hAnsi="Times New Roman"/>
                <w:sz w:val="18"/>
                <w:szCs w:val="18"/>
                <w:color w:val="auto"/>
              </w:rPr>
              <w:t xml:space="preserve">Capital raised </w:t>
            </w:r>
            <w:r>
              <w:rPr>
                <w:rFonts w:ascii="Times New Roman" w:cs="Times New Roman" w:eastAsia="Times New Roman" w:hAnsi="Times New Roman"/>
                <w:sz w:val="24"/>
                <w:szCs w:val="24"/>
                <w:color w:val="auto"/>
                <w:vertAlign w:val="superscript"/>
              </w:rPr>
              <w:t>(1)</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2,257</w:t>
            </w:r>
          </w:p>
        </w:tc>
        <w:tc>
          <w:tcPr>
            <w:tcW w:w="100" w:type="dxa"/>
            <w:vAlign w:val="bottom"/>
          </w:tcPr>
          <w:p>
            <w:pPr>
              <w:spacing w:after="0"/>
              <w:rPr>
                <w:sz w:val="21"/>
                <w:szCs w:val="21"/>
                <w:color w:val="auto"/>
              </w:rPr>
            </w:pPr>
          </w:p>
        </w:tc>
      </w:tr>
      <w:tr>
        <w:trPr>
          <w:trHeight w:val="243"/>
        </w:trPr>
        <w:tc>
          <w:tcPr>
            <w:tcW w:w="3580" w:type="dxa"/>
            <w:vAlign w:val="bottom"/>
            <w:shd w:val="clear" w:color="auto" w:fill="CFF0FC"/>
          </w:tcPr>
          <w:p>
            <w:pPr>
              <w:ind w:left="140"/>
              <w:spacing w:after="0" w:line="243" w:lineRule="exact"/>
              <w:rPr>
                <w:sz w:val="20"/>
                <w:szCs w:val="20"/>
                <w:color w:val="auto"/>
              </w:rPr>
            </w:pPr>
            <w:r>
              <w:rPr>
                <w:rFonts w:ascii="Times New Roman" w:cs="Times New Roman" w:eastAsia="Times New Roman" w:hAnsi="Times New Roman"/>
                <w:sz w:val="18"/>
                <w:szCs w:val="18"/>
                <w:color w:val="auto"/>
              </w:rPr>
              <w:t xml:space="preserve">Capital deployed </w:t>
            </w:r>
            <w:r>
              <w:rPr>
                <w:rFonts w:ascii="Times New Roman" w:cs="Times New Roman" w:eastAsia="Times New Roman" w:hAnsi="Times New Roman"/>
                <w:sz w:val="24"/>
                <w:szCs w:val="24"/>
                <w:color w:val="auto"/>
                <w:vertAlign w:val="superscript"/>
              </w:rPr>
              <w:t>(2)</w:t>
            </w:r>
          </w:p>
        </w:tc>
        <w:tc>
          <w:tcPr>
            <w:tcW w:w="1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00" w:type="dxa"/>
            <w:vAlign w:val="bottom"/>
            <w:shd w:val="clear" w:color="auto" w:fill="CFF0FC"/>
          </w:tcPr>
          <w:p>
            <w:pPr>
              <w:spacing w:after="0"/>
              <w:rPr>
                <w:sz w:val="21"/>
                <w:szCs w:val="21"/>
                <w:color w:val="auto"/>
              </w:rPr>
            </w:pPr>
          </w:p>
        </w:tc>
      </w:tr>
      <w:tr>
        <w:trPr>
          <w:trHeight w:val="243"/>
        </w:trPr>
        <w:tc>
          <w:tcPr>
            <w:tcW w:w="3580" w:type="dxa"/>
            <w:vAlign w:val="bottom"/>
          </w:tcPr>
          <w:p>
            <w:pPr>
              <w:ind w:left="140"/>
              <w:spacing w:after="0" w:line="243" w:lineRule="exact"/>
              <w:rPr>
                <w:sz w:val="20"/>
                <w:szCs w:val="20"/>
                <w:color w:val="auto"/>
              </w:rPr>
            </w:pPr>
            <w:r>
              <w:rPr>
                <w:rFonts w:ascii="Times New Roman" w:cs="Times New Roman" w:eastAsia="Times New Roman" w:hAnsi="Times New Roman"/>
                <w:sz w:val="18"/>
                <w:szCs w:val="18"/>
                <w:color w:val="auto"/>
              </w:rPr>
              <w:t xml:space="preserve">Net Asset Value Change </w:t>
            </w:r>
            <w:r>
              <w:rPr>
                <w:rFonts w:ascii="Times New Roman" w:cs="Times New Roman" w:eastAsia="Times New Roman" w:hAnsi="Times New Roman"/>
                <w:sz w:val="24"/>
                <w:szCs w:val="24"/>
                <w:color w:val="auto"/>
                <w:vertAlign w:val="superscript"/>
              </w:rPr>
              <w:t>(3)</w:t>
            </w:r>
          </w:p>
        </w:tc>
        <w:tc>
          <w:tcPr>
            <w:tcW w:w="180" w:type="dxa"/>
            <w:vAlign w:val="bottom"/>
          </w:tcPr>
          <w:p>
            <w:pPr>
              <w:spacing w:after="0"/>
              <w:rPr>
                <w:sz w:val="21"/>
                <w:szCs w:val="21"/>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(70 )</w:t>
            </w:r>
          </w:p>
        </w:tc>
        <w:tc>
          <w:tcPr>
            <w:tcW w:w="18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(4 )</w:t>
            </w:r>
          </w:p>
        </w:tc>
        <w:tc>
          <w:tcPr>
            <w:tcW w:w="18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(117 )</w:t>
            </w:r>
          </w:p>
        </w:tc>
      </w:tr>
      <w:tr>
        <w:trPr>
          <w:trHeight w:val="243"/>
        </w:trPr>
        <w:tc>
          <w:tcPr>
            <w:tcW w:w="35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Less:</w:t>
            </w:r>
          </w:p>
        </w:tc>
        <w:tc>
          <w:tcPr>
            <w:tcW w:w="18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3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Scheduled fee base stepdowns</w:t>
            </w:r>
          </w:p>
        </w:tc>
        <w:tc>
          <w:tcPr>
            <w:tcW w:w="18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(277 )</w:t>
            </w:r>
          </w:p>
        </w:tc>
        <w:tc>
          <w:tcPr>
            <w:tcW w:w="18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(37 )</w:t>
            </w:r>
          </w:p>
        </w:tc>
        <w:tc>
          <w:tcPr>
            <w:tcW w:w="18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(439 )</w:t>
            </w:r>
          </w:p>
        </w:tc>
        <w:tc>
          <w:tcPr>
            <w:tcW w:w="18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(321 )</w:t>
            </w:r>
          </w:p>
        </w:tc>
      </w:tr>
      <w:tr>
        <w:trPr>
          <w:trHeight w:val="243"/>
        </w:trPr>
        <w:tc>
          <w:tcPr>
            <w:tcW w:w="35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Expiration of fee period</w:t>
            </w:r>
          </w:p>
        </w:tc>
        <w:tc>
          <w:tcPr>
            <w:tcW w:w="18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(8 )</w:t>
            </w:r>
          </w:p>
        </w:tc>
        <w:tc>
          <w:tcPr>
            <w:tcW w:w="18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(61 )</w:t>
            </w:r>
          </w:p>
        </w:tc>
        <w:tc>
          <w:tcPr>
            <w:tcW w:w="1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(778 )</w:t>
            </w:r>
          </w:p>
        </w:tc>
        <w:tc>
          <w:tcPr>
            <w:tcW w:w="18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(953 )</w:t>
            </w:r>
          </w:p>
        </w:tc>
      </w:tr>
      <w:tr>
        <w:trPr>
          <w:trHeight w:val="237"/>
        </w:trPr>
        <w:tc>
          <w:tcPr>
            <w:tcW w:w="35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24,923</w:t>
            </w:r>
          </w:p>
        </w:tc>
        <w:tc>
          <w:tcPr>
            <w:tcW w:w="28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22,696</w:t>
            </w:r>
          </w:p>
        </w:tc>
        <w:tc>
          <w:tcPr>
            <w:tcW w:w="20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24,923</w:t>
            </w:r>
          </w:p>
        </w:tc>
        <w:tc>
          <w:tcPr>
            <w:tcW w:w="18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22,696</w:t>
            </w:r>
          </w:p>
        </w:tc>
        <w:tc>
          <w:tcPr>
            <w:tcW w:w="100" w:type="dxa"/>
            <w:vAlign w:val="bottom"/>
            <w:tcBorders>
              <w:top w:val="single" w:sz="8" w:color="CFF0FC"/>
            </w:tcBorders>
          </w:tcPr>
          <w:p>
            <w:pPr>
              <w:spacing w:after="0"/>
              <w:rPr>
                <w:sz w:val="20"/>
                <w:szCs w:val="20"/>
                <w:color w:val="auto"/>
              </w:rPr>
            </w:pPr>
          </w:p>
        </w:tc>
      </w:tr>
      <w:tr>
        <w:trPr>
          <w:trHeight w:val="20"/>
        </w:trPr>
        <w:tc>
          <w:tcPr>
            <w:tcW w:w="3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-187960</wp:posOffset>
            </wp:positionV>
            <wp:extent cx="5969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-187960</wp:posOffset>
            </wp:positionV>
            <wp:extent cx="5969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-187960</wp:posOffset>
            </wp:positionV>
            <wp:extent cx="60325"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-187960</wp:posOffset>
            </wp:positionV>
            <wp:extent cx="60325"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5" w:lineRule="exact"/>
        <w:rPr>
          <w:sz w:val="20"/>
          <w:szCs w:val="20"/>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new commitments from funds that earn fees on a committed capital fee base.</w:t>
      </w:r>
    </w:p>
    <w:p>
      <w:pPr>
        <w:spacing w:after="0" w:line="2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certain vehicles, fees are based on capital deployed, as such increasing FPAUM.</w:t>
      </w:r>
    </w:p>
    <w:p>
      <w:pPr>
        <w:spacing w:after="0" w:line="9" w:lineRule="exact"/>
        <w:rPr>
          <w:rFonts w:ascii="Times New Roman" w:cs="Times New Roman" w:eastAsia="Times New Roman" w:hAnsi="Times New Roman"/>
          <w:sz w:val="18"/>
          <w:szCs w:val="18"/>
          <w:color w:val="auto"/>
        </w:rPr>
      </w:pPr>
    </w:p>
    <w:p>
      <w:pPr>
        <w:ind w:left="520" w:right="300" w:hanging="512"/>
        <w:spacing w:after="0" w:line="260"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asset value change consists primarily of the impact of market value appreciation (depreciation) from funds that earn fees on a net asset value basis.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FPAUM as of September 30, 2024</w:t>
      </w:r>
    </w:p>
    <w:p>
      <w:pPr>
        <w:spacing w:after="0" w:line="11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FPAUM increased by $1.1 million to $24.9 million for the three months ended September 30, 2024, due primarily to an increase in capital raised from our private equity and venture capital solutions being offset by scheduled fee stepdowns. FPAUM increased by $1.7 billion, or 7.2%, to $24.9 billion for the nine months ended September 30, 2024, due primarily to an increase in capital raised from our private equity and venture capital solutions. Our FPAUM growth and concentration across solutions and vehicles has been relatively consistent over time but can vary in particular periods due to the systematic fundraising cycles of new funds, which typically lasts 12-24 months. We expect to continue to expand our fundraising efforts and grow FPAUM with the launch of new specialized investment vehicles and asset class solutions.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0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Below is a description of our unaudited non-GAAP financial measures. These are not measures of financial performance under GAAP and should not be construed as a substitute for the most directly comparable GAAP measures, which are reconciled below. These measures have limitations as analytical tools, and when assessing our operating performance, you should not consider these measures in isolation or as a substitute for GAAP measures. Other companies may calculate these measures differently than we do, limiting their usefulness as a comparative measure.</w:t>
      </w:r>
    </w:p>
    <w:p>
      <w:pPr>
        <w:spacing w:after="0" w:line="180"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We use Fee-Related Revenue ("FRR"), Fee-Related Earnings ("FRE"), Adjusted Net Income ("ANI"), as well as Adjusted EBITDA (Earnings Before Interest, Taxes, Depreciation and Amortization) to provide additional measures of</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4" w:name="page45"/>
    <w:bookmarkEnd w:id="44"/>
    <w:p>
      <w:pPr>
        <w:ind w:right="140"/>
        <w:spacing w:after="0" w:line="258" w:lineRule="auto"/>
        <w:rPr>
          <w:sz w:val="20"/>
          <w:szCs w:val="20"/>
          <w:color w:val="auto"/>
        </w:rPr>
      </w:pPr>
      <w:r>
        <w:rPr>
          <w:rFonts w:ascii="Times New Roman" w:cs="Times New Roman" w:eastAsia="Times New Roman" w:hAnsi="Times New Roman"/>
          <w:sz w:val="18"/>
          <w:szCs w:val="18"/>
          <w:color w:val="auto"/>
        </w:rPr>
        <w:t>profitability. We use the measures to assess our performance relative to our intended strategies, expected patterns of profitability, and budgets, and use the results of that assessment to adjust our future activities to the extent we deem necessary. FRR is calculated as Total Revenues less any incentive fees. FRE is a non-GAAP performance measure used to monitor our baseline earnings less any incentive fee revenue and excluding any incentive fee-related expenses. ANI reflects our actual cash flows generated by our core operations. ANI is calculated as Adjusted EBITDA, less actual cash paid for interest and federal and state income taxes.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order to compute Adjusted EBITDA, we adjust our GAAP net (loss)/income for the following items:</w:t>
      </w:r>
    </w:p>
    <w:p>
      <w:pPr>
        <w:spacing w:after="0" w:line="117" w:lineRule="exact"/>
        <w:rPr>
          <w:sz w:val="20"/>
          <w:szCs w:val="20"/>
          <w:color w:val="auto"/>
        </w:rPr>
      </w:pPr>
    </w:p>
    <w:p>
      <w:pPr>
        <w:ind w:left="1020" w:right="58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that typically do not require us to pay them in cash in the current period (such as depreciation, amortization and stock-based compensation);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financing our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One-time expenses related to restructuring of the management team including placement/search fees;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the debt refinancing completed in August 2024;</w:t>
      </w:r>
    </w:p>
    <w:p>
      <w:pPr>
        <w:spacing w:after="0" w:line="117" w:lineRule="exact"/>
        <w:rPr>
          <w:rFonts w:ascii="Times New Roman" w:cs="Times New Roman" w:eastAsia="Times New Roman" w:hAnsi="Times New Roman"/>
          <w:sz w:val="18"/>
          <w:szCs w:val="18"/>
          <w:color w:val="auto"/>
        </w:rPr>
      </w:pPr>
    </w:p>
    <w:p>
      <w:pPr>
        <w:ind w:left="1020" w:right="6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Acquisition-related expenses which reflects the actual costs incurred during the period for the acquisition of new businesses, which primarily consists of fees for professional services including legal, accounting, and advisory, as well as bonuses paid to employees directly related to the acquisition; and</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income taxes.</w:t>
      </w:r>
    </w:p>
    <w:p>
      <w:pPr>
        <w:spacing w:after="0" w:line="225"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cash income taxes paid during the three months ended September 30, 2024 and September 30, 2023 as well as during the nine months ended September 30, 2024 and September 30, 2023 differ significantly from the net income tax expense, which is primarily comprised of deferred tax expense as described in the results of operations.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40" w:type="dxa"/>
            <w:vAlign w:val="bottom"/>
            <w:gridSpan w:val="4"/>
          </w:tcPr>
          <w:p>
            <w:pPr>
              <w:ind w:left="760"/>
              <w:spacing w:after="0"/>
              <w:rPr>
                <w:sz w:val="20"/>
                <w:szCs w:val="20"/>
                <w:color w:val="auto"/>
              </w:rPr>
            </w:pPr>
            <w:r>
              <w:rPr>
                <w:rFonts w:ascii="Times New Roman" w:cs="Times New Roman" w:eastAsia="Times New Roman" w:hAnsi="Times New Roman"/>
                <w:sz w:val="14"/>
                <w:szCs w:val="14"/>
                <w:b w:val="1"/>
                <w:bCs w:val="1"/>
                <w:color w:val="auto"/>
              </w:rPr>
              <w:t>For the Three</w:t>
            </w: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gridSpan w:val="4"/>
          </w:tcPr>
          <w:p>
            <w:pPr>
              <w:ind w:left="820"/>
              <w:spacing w:after="0"/>
              <w:rPr>
                <w:sz w:val="20"/>
                <w:szCs w:val="20"/>
                <w:color w:val="auto"/>
              </w:rPr>
            </w:pPr>
            <w:r>
              <w:rPr>
                <w:rFonts w:ascii="Times New Roman" w:cs="Times New Roman" w:eastAsia="Times New Roman" w:hAnsi="Times New Roman"/>
                <w:sz w:val="14"/>
                <w:szCs w:val="14"/>
                <w:b w:val="1"/>
                <w:bCs w:val="1"/>
                <w:color w:val="auto"/>
              </w:rPr>
              <w:t>For the Six</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4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40" w:type="dxa"/>
            <w:vAlign w:val="bottom"/>
            <w:gridSpan w:val="4"/>
          </w:tcPr>
          <w:p>
            <w:pPr>
              <w:ind w:left="720"/>
              <w:spacing w:after="0"/>
              <w:rPr>
                <w:sz w:val="20"/>
                <w:szCs w:val="20"/>
                <w:color w:val="auto"/>
              </w:rPr>
            </w:pPr>
            <w:r>
              <w:rPr>
                <w:rFonts w:ascii="Times New Roman" w:cs="Times New Roman" w:eastAsia="Times New Roman" w:hAnsi="Times New Roman"/>
                <w:sz w:val="14"/>
                <w:szCs w:val="14"/>
                <w:b w:val="1"/>
                <w:bCs w:val="1"/>
                <w:color w:val="auto"/>
              </w:rPr>
              <w:t>Months Ended</w:t>
            </w: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gridSpan w:val="4"/>
          </w:tcPr>
          <w:p>
            <w:pPr>
              <w:ind w:left="700"/>
              <w:spacing w:after="0"/>
              <w:rPr>
                <w:sz w:val="20"/>
                <w:szCs w:val="20"/>
                <w:color w:val="auto"/>
              </w:rPr>
            </w:pPr>
            <w:r>
              <w:rPr>
                <w:rFonts w:ascii="Times New Roman" w:cs="Times New Roman" w:eastAsia="Times New Roman" w:hAnsi="Times New Roman"/>
                <w:sz w:val="14"/>
                <w:szCs w:val="14"/>
                <w:b w:val="1"/>
                <w:bCs w:val="1"/>
                <w:color w:val="auto"/>
              </w:rPr>
              <w:t>Months Ended</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4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ind w:left="7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ind w:left="7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169"/>
        </w:trPr>
        <w:tc>
          <w:tcPr>
            <w:tcW w:w="4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ind w:left="740"/>
              <w:spacing w:after="0"/>
              <w:rPr>
                <w:sz w:val="20"/>
                <w:szCs w:val="20"/>
                <w:color w:val="auto"/>
              </w:rPr>
            </w:pPr>
            <w:r>
              <w:rPr>
                <w:rFonts w:ascii="Times New Roman" w:cs="Times New Roman" w:eastAsia="Times New Roman" w:hAnsi="Times New Roman"/>
                <w:sz w:val="14"/>
                <w:szCs w:val="14"/>
                <w:b w:val="1"/>
                <w:bCs w:val="1"/>
                <w:color w:val="auto"/>
              </w:rPr>
              <w:t>(in</w:t>
            </w:r>
          </w:p>
        </w:tc>
        <w:tc>
          <w:tcPr>
            <w:tcW w:w="680" w:type="dxa"/>
            <w:vAlign w:val="bottom"/>
            <w:gridSpan w:val="3"/>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85"/>
              </w:rPr>
              <w:t>thousands)</w:t>
            </w: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ind w:left="720"/>
              <w:spacing w:after="0"/>
              <w:rPr>
                <w:sz w:val="20"/>
                <w:szCs w:val="20"/>
                <w:color w:val="auto"/>
              </w:rPr>
            </w:pPr>
            <w:r>
              <w:rPr>
                <w:rFonts w:ascii="Times New Roman" w:cs="Times New Roman" w:eastAsia="Times New Roman" w:hAnsi="Times New Roman"/>
                <w:sz w:val="14"/>
                <w:szCs w:val="14"/>
                <w:b w:val="1"/>
                <w:bCs w:val="1"/>
                <w:color w:val="auto"/>
              </w:rPr>
              <w:t>(in</w:t>
            </w:r>
          </w:p>
        </w:tc>
        <w:tc>
          <w:tcPr>
            <w:tcW w:w="660" w:type="dxa"/>
            <w:vAlign w:val="bottom"/>
            <w:gridSpan w:val="3"/>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49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Income/(Loss)</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40" w:type="dxa"/>
            <w:vAlign w:val="bottom"/>
            <w:shd w:val="clear" w:color="auto" w:fill="CFF0FC"/>
          </w:tcPr>
          <w:p>
            <w:pPr>
              <w:jc w:val="center"/>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(8,750 )</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13,966</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60" w:type="dxa"/>
            <w:vAlign w:val="bottom"/>
            <w:shd w:val="clear" w:color="auto" w:fill="CFF0FC"/>
          </w:tcPr>
          <w:p>
            <w:pPr>
              <w:jc w:val="center"/>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(5,879 )</w:t>
            </w:r>
          </w:p>
        </w:tc>
      </w:tr>
      <w:tr>
        <w:trPr>
          <w:trHeight w:val="241"/>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49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3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7,254</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7,900</w:t>
            </w: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21,411</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23,526</w:t>
            </w:r>
          </w:p>
        </w:tc>
        <w:tc>
          <w:tcPr>
            <w:tcW w:w="100" w:type="dxa"/>
            <w:vAlign w:val="bottom"/>
            <w:shd w:val="clear" w:color="auto" w:fill="CFF0FC"/>
          </w:tcPr>
          <w:p>
            <w:pPr>
              <w:spacing w:after="0"/>
              <w:rPr>
                <w:sz w:val="21"/>
                <w:szCs w:val="21"/>
                <w:color w:val="auto"/>
              </w:rPr>
            </w:pPr>
          </w:p>
        </w:tc>
      </w:tr>
      <w:tr>
        <w:trPr>
          <w:trHeight w:val="239"/>
        </w:trPr>
        <w:tc>
          <w:tcPr>
            <w:tcW w:w="4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5,482</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18,584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16,080</w:t>
            </w:r>
          </w:p>
        </w:tc>
        <w:tc>
          <w:tcPr>
            <w:tcW w:w="100" w:type="dxa"/>
            <w:vAlign w:val="bottom"/>
          </w:tcPr>
          <w:p>
            <w:pPr>
              <w:spacing w:after="0"/>
              <w:rPr>
                <w:sz w:val="20"/>
                <w:szCs w:val="20"/>
                <w:color w:val="auto"/>
              </w:rPr>
            </w:pPr>
          </w:p>
        </w:tc>
      </w:tr>
      <w:tr>
        <w:trPr>
          <w:trHeight w:val="247"/>
        </w:trPr>
        <w:tc>
          <w:tcPr>
            <w:tcW w:w="49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6,731</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2,806</w:t>
            </w:r>
          </w:p>
        </w:tc>
        <w:tc>
          <w:tcPr>
            <w:tcW w:w="100" w:type="dxa"/>
            <w:vAlign w:val="bottom"/>
            <w:shd w:val="clear" w:color="auto" w:fill="CFF0FC"/>
          </w:tcPr>
          <w:p>
            <w:pPr>
              <w:spacing w:after="0"/>
              <w:rPr>
                <w:sz w:val="21"/>
                <w:szCs w:val="21"/>
                <w:color w:val="auto"/>
              </w:rPr>
            </w:pPr>
          </w:p>
        </w:tc>
      </w:tr>
      <w:tr>
        <w:trPr>
          <w:trHeight w:val="239"/>
        </w:trPr>
        <w:tc>
          <w:tcPr>
            <w:tcW w:w="4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Non-recurring expenses</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5,493</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10,668</w:t>
            </w:r>
          </w:p>
        </w:tc>
        <w:tc>
          <w:tcPr>
            <w:tcW w:w="100" w:type="dxa"/>
            <w:vAlign w:val="bottom"/>
          </w:tcPr>
          <w:p>
            <w:pPr>
              <w:spacing w:after="0"/>
              <w:rPr>
                <w:sz w:val="20"/>
                <w:szCs w:val="20"/>
                <w:color w:val="auto"/>
              </w:rPr>
            </w:pPr>
          </w:p>
        </w:tc>
      </w:tr>
      <w:tr>
        <w:trPr>
          <w:trHeight w:val="247"/>
        </w:trPr>
        <w:tc>
          <w:tcPr>
            <w:tcW w:w="49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Non-cash stock based compensation</w:t>
            </w:r>
          </w:p>
        </w:tc>
        <w:tc>
          <w:tcPr>
            <w:tcW w:w="3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5,765</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7,871</w:t>
            </w: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17,482</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16,269</w:t>
            </w:r>
          </w:p>
        </w:tc>
        <w:tc>
          <w:tcPr>
            <w:tcW w:w="100" w:type="dxa"/>
            <w:vAlign w:val="bottom"/>
            <w:shd w:val="clear" w:color="auto" w:fill="CFF0FC"/>
          </w:tcPr>
          <w:p>
            <w:pPr>
              <w:spacing w:after="0"/>
              <w:rPr>
                <w:sz w:val="21"/>
                <w:szCs w:val="21"/>
                <w:color w:val="auto"/>
              </w:rPr>
            </w:pPr>
          </w:p>
        </w:tc>
      </w:tr>
      <w:tr>
        <w:trPr>
          <w:trHeight w:val="239"/>
        </w:trPr>
        <w:tc>
          <w:tcPr>
            <w:tcW w:w="4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Non-cash stock based compensation - acquisitions</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7,895</w:t>
            </w:r>
          </w:p>
        </w:tc>
        <w:tc>
          <w:tcPr>
            <w:tcW w:w="100" w:type="dxa"/>
            <w:vAlign w:val="bottom"/>
          </w:tcPr>
          <w:p>
            <w:pPr>
              <w:spacing w:after="0"/>
              <w:rPr>
                <w:sz w:val="20"/>
                <w:szCs w:val="20"/>
                <w:color w:val="auto"/>
              </w:rPr>
            </w:pPr>
          </w:p>
        </w:tc>
      </w:tr>
      <w:tr>
        <w:trPr>
          <w:trHeight w:val="247"/>
        </w:trPr>
        <w:tc>
          <w:tcPr>
            <w:tcW w:w="49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Non-cash stock based compensation - CEO transition</w:t>
            </w:r>
          </w:p>
        </w:tc>
        <w:tc>
          <w:tcPr>
            <w:tcW w:w="340" w:type="dxa"/>
            <w:vAlign w:val="bottom"/>
            <w:shd w:val="clear" w:color="auto" w:fill="CFF0FC"/>
          </w:tcPr>
          <w:p>
            <w:pPr>
              <w:spacing w:after="0"/>
              <w:rPr>
                <w:sz w:val="21"/>
                <w:szCs w:val="21"/>
                <w:color w:val="auto"/>
              </w:rPr>
            </w:pPr>
          </w:p>
        </w:tc>
        <w:tc>
          <w:tcPr>
            <w:tcW w:w="130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100" w:type="dxa"/>
            <w:vAlign w:val="bottom"/>
            <w:shd w:val="clear" w:color="auto" w:fill="CFF0FC"/>
          </w:tcPr>
          <w:p>
            <w:pPr>
              <w:spacing w:after="0"/>
              <w:rPr>
                <w:sz w:val="21"/>
                <w:szCs w:val="21"/>
                <w:color w:val="auto"/>
              </w:rPr>
            </w:pPr>
          </w:p>
        </w:tc>
      </w:tr>
      <w:tr>
        <w:trPr>
          <w:trHeight w:val="239"/>
        </w:trPr>
        <w:tc>
          <w:tcPr>
            <w:tcW w:w="4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Earn out related compensation</w:t>
            </w: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6,607</w:t>
            </w: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10,714</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19,394</w:t>
            </w:r>
          </w:p>
        </w:tc>
        <w:tc>
          <w:tcPr>
            <w:tcW w:w="100" w:type="dxa"/>
            <w:vAlign w:val="bottom"/>
          </w:tcPr>
          <w:p>
            <w:pPr>
              <w:spacing w:after="0"/>
              <w:rPr>
                <w:sz w:val="20"/>
                <w:szCs w:val="20"/>
                <w:color w:val="auto"/>
              </w:rPr>
            </w:pPr>
          </w:p>
        </w:tc>
      </w:tr>
      <w:tr>
        <w:trPr>
          <w:trHeight w:val="241"/>
        </w:trPr>
        <w:tc>
          <w:tcPr>
            <w:tcW w:w="4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81"/>
        </w:trPr>
        <w:tc>
          <w:tcPr>
            <w:tcW w:w="49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35,334</w:t>
            </w:r>
          </w:p>
        </w:tc>
        <w:tc>
          <w:tcPr>
            <w:tcW w:w="1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center"/>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29,630</w:t>
            </w:r>
          </w:p>
        </w:tc>
        <w:tc>
          <w:tcPr>
            <w:tcW w:w="20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101,576</w:t>
            </w:r>
          </w:p>
        </w:tc>
        <w:tc>
          <w:tcPr>
            <w:tcW w:w="10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auto"/>
            </w:tcBorders>
            <w:shd w:val="clear" w:color="auto" w:fill="CFF0FC"/>
          </w:tcPr>
          <w:p>
            <w:pPr>
              <w:jc w:val="center"/>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92,865</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4"/>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Less:</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49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 interest expense, net</w:t>
            </w:r>
          </w:p>
        </w:tc>
        <w:tc>
          <w:tcPr>
            <w:tcW w:w="34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(4,189 )</w:t>
            </w:r>
          </w:p>
        </w:tc>
        <w:tc>
          <w:tcPr>
            <w:tcW w:w="1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(5,048 )</w:t>
            </w:r>
          </w:p>
        </w:tc>
        <w:tc>
          <w:tcPr>
            <w:tcW w:w="3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(15,231 )</w:t>
            </w:r>
          </w:p>
        </w:tc>
        <w:tc>
          <w:tcPr>
            <w:tcW w:w="1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(15,051 )</w:t>
            </w:r>
          </w:p>
        </w:tc>
      </w:tr>
      <w:tr>
        <w:trPr>
          <w:trHeight w:val="239"/>
        </w:trPr>
        <w:tc>
          <w:tcPr>
            <w:tcW w:w="4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Cash income taxes, net of taxes related to acquisitions</w:t>
            </w:r>
          </w:p>
        </w:tc>
        <w:tc>
          <w:tcPr>
            <w:tcW w:w="34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(388 )</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(245 )</w:t>
            </w:r>
          </w:p>
        </w:tc>
        <w:tc>
          <w:tcPr>
            <w:tcW w:w="32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(1,437 )</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(1,332 )</w:t>
            </w:r>
          </w:p>
        </w:tc>
      </w:tr>
      <w:tr>
        <w:trPr>
          <w:trHeight w:val="279"/>
        </w:trPr>
        <w:tc>
          <w:tcPr>
            <w:tcW w:w="49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34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30,757</w:t>
            </w:r>
          </w:p>
        </w:tc>
        <w:tc>
          <w:tcPr>
            <w:tcW w:w="1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top w:val="single" w:sz="8" w:color="auto"/>
              <w:bottom w:val="single" w:sz="8" w:color="auto"/>
            </w:tcBorders>
            <w:shd w:val="clear" w:color="auto" w:fill="CFF0FC"/>
          </w:tcPr>
          <w:p>
            <w:pPr>
              <w:jc w:val="center"/>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24,337</w:t>
            </w:r>
          </w:p>
        </w:tc>
        <w:tc>
          <w:tcPr>
            <w:tcW w:w="20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84,908</w:t>
            </w:r>
          </w:p>
        </w:tc>
        <w:tc>
          <w:tcPr>
            <w:tcW w:w="10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top w:val="single" w:sz="8" w:color="auto"/>
              <w:bottom w:val="single" w:sz="8" w:color="auto"/>
            </w:tcBorders>
            <w:shd w:val="clear" w:color="auto" w:fill="CFF0FC"/>
          </w:tcPr>
          <w:p>
            <w:pPr>
              <w:jc w:val="center"/>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76,482</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62"/>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74,243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58,942</w:t>
            </w:r>
          </w:p>
        </w:tc>
        <w:tc>
          <w:tcPr>
            <w:tcW w:w="20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211,434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178,667</w:t>
            </w:r>
          </w:p>
        </w:tc>
        <w:tc>
          <w:tcPr>
            <w:tcW w:w="100" w:type="dxa"/>
            <w:vAlign w:val="bottom"/>
          </w:tcPr>
          <w:p>
            <w:pPr>
              <w:spacing w:after="0"/>
              <w:rPr>
                <w:sz w:val="24"/>
                <w:szCs w:val="24"/>
                <w:color w:val="auto"/>
              </w:rPr>
            </w:pPr>
          </w:p>
        </w:tc>
      </w:tr>
      <w:tr>
        <w:trPr>
          <w:trHeight w:val="250"/>
        </w:trPr>
        <w:tc>
          <w:tcPr>
            <w:tcW w:w="49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3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Non-Fee Related Revenue</w:t>
            </w:r>
          </w:p>
        </w:tc>
        <w:tc>
          <w:tcPr>
            <w:tcW w:w="34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(1,317 )</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(1,202 )</w:t>
            </w:r>
          </w:p>
        </w:tc>
        <w:tc>
          <w:tcPr>
            <w:tcW w:w="32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(5,192 )</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(3,604 )</w:t>
            </w:r>
          </w:p>
        </w:tc>
      </w:tr>
      <w:tr>
        <w:trPr>
          <w:trHeight w:val="276"/>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Fee-Related Revenue</w:t>
            </w:r>
          </w:p>
        </w:tc>
        <w:tc>
          <w:tcPr>
            <w:tcW w:w="12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72,926</w:t>
            </w:r>
          </w:p>
        </w:tc>
        <w:tc>
          <w:tcPr>
            <w:tcW w:w="1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top w:val="single" w:sz="8" w:color="auto"/>
              <w:bottom w:val="single" w:sz="8" w:color="auto"/>
            </w:tcBorders>
            <w:shd w:val="clear" w:color="auto" w:fill="CFF0FC"/>
          </w:tcPr>
          <w:p>
            <w:pPr>
              <w:jc w:val="center"/>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57,740</w:t>
            </w:r>
          </w:p>
        </w:tc>
        <w:tc>
          <w:tcPr>
            <w:tcW w:w="20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206,242</w:t>
            </w:r>
          </w:p>
        </w:tc>
        <w:tc>
          <w:tcPr>
            <w:tcW w:w="10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top w:val="single" w:sz="8" w:color="auto"/>
              <w:bottom w:val="single" w:sz="8" w:color="auto"/>
            </w:tcBorders>
            <w:shd w:val="clear" w:color="auto" w:fill="CFF0FC"/>
          </w:tcPr>
          <w:p>
            <w:pPr>
              <w:jc w:val="center"/>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175,063</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60"/>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35,334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29,630</w:t>
            </w:r>
          </w:p>
        </w:tc>
        <w:tc>
          <w:tcPr>
            <w:tcW w:w="20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101,576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92,865</w:t>
            </w:r>
          </w:p>
        </w:tc>
        <w:tc>
          <w:tcPr>
            <w:tcW w:w="100" w:type="dxa"/>
            <w:vAlign w:val="bottom"/>
          </w:tcPr>
          <w:p>
            <w:pPr>
              <w:spacing w:after="0"/>
              <w:rPr>
                <w:sz w:val="24"/>
                <w:szCs w:val="24"/>
                <w:color w:val="auto"/>
              </w:rPr>
            </w:pPr>
          </w:p>
        </w:tc>
      </w:tr>
      <w:tr>
        <w:trPr>
          <w:trHeight w:val="250"/>
        </w:trPr>
        <w:tc>
          <w:tcPr>
            <w:tcW w:w="49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Less:</w:t>
            </w:r>
          </w:p>
        </w:tc>
        <w:tc>
          <w:tcPr>
            <w:tcW w:w="3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Non-Fee Related Income</w:t>
            </w:r>
          </w:p>
        </w:tc>
        <w:tc>
          <w:tcPr>
            <w:tcW w:w="34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(248 )</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(94 )</w:t>
            </w:r>
          </w:p>
        </w:tc>
        <w:tc>
          <w:tcPr>
            <w:tcW w:w="32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(2,182 )</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(410 )</w:t>
            </w:r>
          </w:p>
        </w:tc>
      </w:tr>
      <w:tr>
        <w:trPr>
          <w:trHeight w:val="277"/>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Fee-Related Earnings</w:t>
            </w:r>
          </w:p>
        </w:tc>
        <w:tc>
          <w:tcPr>
            <w:tcW w:w="12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35,086</w:t>
            </w:r>
          </w:p>
        </w:tc>
        <w:tc>
          <w:tcPr>
            <w:tcW w:w="1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top w:val="single" w:sz="8" w:color="auto"/>
              <w:bottom w:val="single" w:sz="8" w:color="auto"/>
            </w:tcBorders>
            <w:shd w:val="clear" w:color="auto" w:fill="CFF0FC"/>
          </w:tcPr>
          <w:p>
            <w:pPr>
              <w:jc w:val="center"/>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29,536</w:t>
            </w:r>
          </w:p>
        </w:tc>
        <w:tc>
          <w:tcPr>
            <w:tcW w:w="20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99,394</w:t>
            </w:r>
          </w:p>
        </w:tc>
        <w:tc>
          <w:tcPr>
            <w:tcW w:w="10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top w:val="single" w:sz="8" w:color="auto"/>
              <w:bottom w:val="single" w:sz="8" w:color="auto"/>
            </w:tcBorders>
            <w:shd w:val="clear" w:color="auto" w:fill="CFF0FC"/>
          </w:tcPr>
          <w:p>
            <w:pPr>
              <w:jc w:val="center"/>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92,455</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520"/>
        </w:trPr>
        <w:tc>
          <w:tcPr>
            <w:tcW w:w="4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534"/>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-3128010</wp:posOffset>
            </wp:positionV>
            <wp:extent cx="76835"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-3110865</wp:posOffset>
            </wp:positionV>
            <wp:extent cx="76835"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-3128010</wp:posOffset>
            </wp:positionV>
            <wp:extent cx="6858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-3110865</wp:posOffset>
            </wp:positionV>
            <wp:extent cx="6858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-3128010</wp:posOffset>
            </wp:positionV>
            <wp:extent cx="6858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-3110865</wp:posOffset>
            </wp:positionV>
            <wp:extent cx="6858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-3128010</wp:posOffset>
            </wp:positionV>
            <wp:extent cx="6858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-3110865</wp:posOffset>
            </wp:positionV>
            <wp:extent cx="6858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-2476500</wp:posOffset>
            </wp:positionV>
            <wp:extent cx="7683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-2459355</wp:posOffset>
            </wp:positionV>
            <wp:extent cx="76835"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-2476500</wp:posOffset>
            </wp:positionV>
            <wp:extent cx="6858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-2459355</wp:posOffset>
            </wp:positionV>
            <wp:extent cx="6858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-2476500</wp:posOffset>
            </wp:positionV>
            <wp:extent cx="685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-2459355</wp:posOffset>
            </wp:positionV>
            <wp:extent cx="6858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-2476500</wp:posOffset>
            </wp:positionV>
            <wp:extent cx="6858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-2459355</wp:posOffset>
            </wp:positionV>
            <wp:extent cx="6858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-1670685</wp:posOffset>
            </wp:positionV>
            <wp:extent cx="76835"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-1653540</wp:posOffset>
            </wp:positionV>
            <wp:extent cx="7683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-1670685</wp:posOffset>
            </wp:positionV>
            <wp:extent cx="6858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-1653540</wp:posOffset>
            </wp:positionV>
            <wp:extent cx="6858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-1670685</wp:posOffset>
            </wp:positionV>
            <wp:extent cx="6858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-1653540</wp:posOffset>
            </wp:positionV>
            <wp:extent cx="6858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-1670685</wp:posOffset>
            </wp:positionV>
            <wp:extent cx="6858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-1653540</wp:posOffset>
            </wp:positionV>
            <wp:extent cx="6858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-864870</wp:posOffset>
            </wp:positionV>
            <wp:extent cx="7683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-847725</wp:posOffset>
            </wp:positionV>
            <wp:extent cx="76835"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-864870</wp:posOffset>
            </wp:positionV>
            <wp:extent cx="6858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-847725</wp:posOffset>
            </wp:positionV>
            <wp:extent cx="6858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-864870</wp:posOffset>
            </wp:positionV>
            <wp:extent cx="6858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-847725</wp:posOffset>
            </wp:positionV>
            <wp:extent cx="6858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-847725</wp:posOffset>
            </wp:positionV>
            <wp:extent cx="6858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9" w:right="339" w:bottom="973"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Financial Position, Liquidity and Capital Resources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Selected Statements of Financial Position</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4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87"/>
        </w:trPr>
        <w:tc>
          <w:tcPr>
            <w:tcW w:w="49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6"/>
                <w:szCs w:val="16"/>
                <w:color w:val="auto"/>
              </w:rPr>
            </w:pPr>
          </w:p>
        </w:tc>
        <w:tc>
          <w:tcPr>
            <w:tcW w:w="14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69"/>
        </w:trPr>
        <w:tc>
          <w:tcPr>
            <w:tcW w:w="4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(in</w:t>
            </w:r>
          </w:p>
        </w:tc>
        <w:tc>
          <w:tcPr>
            <w:tcW w:w="1620" w:type="dxa"/>
            <w:vAlign w:val="bottom"/>
            <w:gridSpan w:val="3"/>
          </w:tcPr>
          <w:p>
            <w:pPr>
              <w:jc w:val="right"/>
              <w:ind w:right="976"/>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243"/>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(including restricted cash)</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63,268</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32,057</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31,211</w:t>
            </w:r>
          </w:p>
        </w:tc>
        <w:tc>
          <w:tcPr>
            <w:tcW w:w="220" w:type="dxa"/>
            <w:vAlign w:val="bottom"/>
            <w:shd w:val="clear" w:color="auto" w:fill="CFF0FC"/>
          </w:tcPr>
          <w:p>
            <w:pPr>
              <w:spacing w:after="0"/>
              <w:rPr>
                <w:sz w:val="21"/>
                <w:szCs w:val="21"/>
                <w:color w:val="auto"/>
              </w:rPr>
            </w:pPr>
          </w:p>
        </w:tc>
        <w:tc>
          <w:tcPr>
            <w:tcW w:w="1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97%</w:t>
            </w:r>
          </w:p>
        </w:tc>
      </w:tr>
      <w:tr>
        <w:trPr>
          <w:trHeight w:val="239"/>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and other intangibles</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609,921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629,233</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(19,312 )</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w:t>
            </w:r>
          </w:p>
        </w:tc>
      </w:tr>
      <w:tr>
        <w:trPr>
          <w:trHeight w:val="247"/>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857,033</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834,074</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22,959</w:t>
            </w:r>
          </w:p>
        </w:tc>
        <w:tc>
          <w:tcPr>
            <w:tcW w:w="220" w:type="dxa"/>
            <w:vAlign w:val="bottom"/>
            <w:shd w:val="clear" w:color="auto" w:fill="CFF0FC"/>
          </w:tcPr>
          <w:p>
            <w:pPr>
              <w:spacing w:after="0"/>
              <w:rPr>
                <w:sz w:val="21"/>
                <w:szCs w:val="21"/>
                <w:color w:val="auto"/>
              </w:rPr>
            </w:pPr>
          </w:p>
        </w:tc>
        <w:tc>
          <w:tcPr>
            <w:tcW w:w="1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3%</w:t>
            </w:r>
          </w:p>
        </w:tc>
      </w:tr>
      <w:tr>
        <w:trPr>
          <w:trHeight w:val="239"/>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63,018</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45,081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17,937</w:t>
            </w:r>
          </w:p>
        </w:tc>
        <w:tc>
          <w:tcPr>
            <w:tcW w:w="22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40%</w:t>
            </w:r>
          </w:p>
        </w:tc>
      </w:tr>
      <w:tr>
        <w:trPr>
          <w:trHeight w:val="247"/>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Debt obligations</w:t>
            </w:r>
          </w:p>
        </w:tc>
        <w:tc>
          <w:tcPr>
            <w:tcW w:w="1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319,411</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289,844</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29,567</w:t>
            </w:r>
          </w:p>
        </w:tc>
        <w:tc>
          <w:tcPr>
            <w:tcW w:w="220" w:type="dxa"/>
            <w:vAlign w:val="bottom"/>
            <w:shd w:val="clear" w:color="auto" w:fill="CFF0FC"/>
          </w:tcPr>
          <w:p>
            <w:pPr>
              <w:spacing w:after="0"/>
              <w:rPr>
                <w:sz w:val="21"/>
                <w:szCs w:val="21"/>
                <w:color w:val="auto"/>
              </w:rPr>
            </w:pPr>
          </w:p>
        </w:tc>
        <w:tc>
          <w:tcPr>
            <w:tcW w:w="1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r>
      <w:tr>
        <w:trPr>
          <w:trHeight w:val="234"/>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394,094</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425,162</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(31,068 )</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w:t>
            </w:r>
          </w:p>
        </w:tc>
      </w:tr>
    </w:tbl>
    <w:p>
      <w:pPr>
        <w:spacing w:after="0" w:line="206"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Cash and cash equivalents increased from $32.1 million as of December 31, 2023 to $63.3 million as of September 30, 2024 primarily due to the Company's debt refinancing. There was a decrease in goodwill and intangible assets of $19.3 million due to amortization of intangibles during the nine months ended September 30, 2024. Remaining total assets increased in the same period by $11.7 million. The increase is driven by an increase in accounts receivable and due from related parties which is primarily due to ECG's Advisory Agreement with Enhanced PC and Crossroads. The increase in remaining total assets was offset by a decrease in deferred tax assets, net due to utilization of the net operating losses and a decrease in prepaid expenses and other assets, which is primarily due to Enhanced's sale of state tax credits during the nine months ended September 30, 2024. Debt obligations increased by $30.4 million which is driven by the Company's debt refinancing during the nine months ended September 30, 2024.</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ind w:right="760" w:firstLine="509"/>
        <w:spacing w:after="0" w:line="266" w:lineRule="auto"/>
        <w:rPr>
          <w:sz w:val="20"/>
          <w:szCs w:val="20"/>
          <w:color w:val="auto"/>
        </w:rPr>
      </w:pPr>
      <w:r>
        <w:rPr>
          <w:rFonts w:ascii="Times New Roman" w:cs="Times New Roman" w:eastAsia="Times New Roman" w:hAnsi="Times New Roman"/>
          <w:sz w:val="18"/>
          <w:szCs w:val="18"/>
          <w:color w:val="auto"/>
        </w:rPr>
        <w:t>We have continued to support our ongoing operations through the receipt of management and advisory fee revenues. However, to fund our continued growth, we have utilized capital obtained through debt and equity raises. Our ability to continue to raise funds or issue new shares as consideration will be critical as we pursue additional business development opportunities and new acquisitions.</w:t>
      </w:r>
    </w:p>
    <w:p>
      <w:pPr>
        <w:spacing w:after="0" w:line="176"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On December 22, 2021, P10, Inc. entered into a Term Loan and Revolving Credit Facility with JP Morgan Chase Bank, N.A.. The term loan and revolving credit facility provides financing for acquisition activity. The term loan provides for a $125.0 million facility and the revolving credit facility provides for an additional $125.0 million. There is also a $125 million accordion feature available in the credit agreement, which we exercised in September 2022. The accordion was not drawn until October 2022, at which point it was divided to $87.5 million of term loan and $37.5 million of revolver. On August 1, 2024, the Company entered into the Amended and Restated Credit Agreement, which provides for a new senior secured revolving credit facility in the amount of $175 million, with a $10 million sublimit for the issuance of letters of credit, and a new senior secured loan facility in the amount of $325 million. The New Credit Facilities are to be used to refinance and replace the credit facilities under the Credit Agreement and for general corporate purposes, including acquisitions.</w:t>
      </w:r>
    </w:p>
    <w:p>
      <w:pPr>
        <w:spacing w:after="0" w:line="192" w:lineRule="exact"/>
        <w:rPr>
          <w:sz w:val="20"/>
          <w:szCs w:val="20"/>
          <w:color w:val="auto"/>
        </w:rPr>
      </w:pPr>
    </w:p>
    <w:p>
      <w:pPr>
        <w:ind w:right="200" w:firstLine="509"/>
        <w:spacing w:after="0" w:line="281" w:lineRule="auto"/>
        <w:rPr>
          <w:sz w:val="20"/>
          <w:szCs w:val="20"/>
          <w:color w:val="auto"/>
        </w:rPr>
      </w:pPr>
      <w:r>
        <w:rPr>
          <w:rFonts w:ascii="Times New Roman" w:cs="Times New Roman" w:eastAsia="Times New Roman" w:hAnsi="Times New Roman"/>
          <w:sz w:val="17"/>
          <w:szCs w:val="17"/>
          <w:color w:val="auto"/>
        </w:rPr>
        <w:t>The New Credit Facilities are Term SOFR Loans meaning loans bearing interest based upon the "Adjusted Term SOFR Rate". The Adjusted Term SOFR Rate is the Secured Overnight Financing Rate ("SOFR") at the date of election, plus 2.60%. The Company can elect one or three months for the Revolver Facility and one, three, or six months for the Term Loan. Principal is contractually repaid at a rate of 1.25% on the term loan quarterly effective December 31, 2025. The New Revolving Facility has no contractual principal repayments until maturity, which is August 1, 2028 for both facilities.</w:t>
      </w:r>
    </w:p>
    <w:p>
      <w:pPr>
        <w:spacing w:after="0" w:line="164"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As of September 30, 2024, the Term Loan with a balance of $325.0 million is incurring interest at a weighted average Adjusted Term SOFR Rate of 7.68%. As of September 30, 2024, there is no outstanding balance for the Revolver Facility. Refer to Note 11 of the Consolidated Financial Statements for further details provided on the debt and associated interest periods.</w:t>
      </w:r>
    </w:p>
    <w:p>
      <w:pPr>
        <w:spacing w:after="0" w:line="176" w:lineRule="exact"/>
        <w:rPr>
          <w:sz w:val="20"/>
          <w:szCs w:val="20"/>
          <w:color w:val="auto"/>
        </w:rPr>
      </w:pPr>
    </w:p>
    <w:p>
      <w:pPr>
        <w:ind w:right="440" w:firstLine="509"/>
        <w:spacing w:after="0" w:line="261" w:lineRule="auto"/>
        <w:rPr>
          <w:sz w:val="20"/>
          <w:szCs w:val="20"/>
          <w:color w:val="auto"/>
        </w:rPr>
      </w:pPr>
      <w:r>
        <w:rPr>
          <w:rFonts w:ascii="Times New Roman" w:cs="Times New Roman" w:eastAsia="Times New Roman" w:hAnsi="Times New Roman"/>
          <w:sz w:val="18"/>
          <w:szCs w:val="18"/>
          <w:color w:val="auto"/>
        </w:rPr>
        <w:t>The Amended and Restated Credit Agreement contains affirmative and negative covenants typical of such financing transactions, and specific financial covenants which require P10 to maintain a minimum leverage ratio of less than or equal to 3.50. As of September 30, 2024, P10 was in compliance with its financial and other covenants required under the facility. The Company has incurred $17.5 million in interest expense for the nine months ended September 30, 2024.</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2024 Compared to the Nine Months Ended September 30, 2023</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reflects our cash flows for the nine months ended September 30, 2024 and 2023:</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720" w:type="dxa"/>
            <w:vAlign w:val="bottom"/>
            <w:gridSpan w:val="6"/>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5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20" w:type="dxa"/>
            <w:vAlign w:val="bottom"/>
            <w:gridSpan w:val="6"/>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54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vMerge w:val="restart"/>
          </w:tcPr>
          <w:p>
            <w:pPr>
              <w:spacing w:after="0"/>
              <w:rPr>
                <w:sz w:val="14"/>
                <w:szCs w:val="14"/>
                <w:color w:val="auto"/>
              </w:rPr>
            </w:pPr>
          </w:p>
        </w:tc>
        <w:tc>
          <w:tcPr>
            <w:tcW w:w="136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69"/>
        </w:trPr>
        <w:tc>
          <w:tcPr>
            <w:tcW w:w="54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(in</w:t>
            </w:r>
          </w:p>
        </w:tc>
        <w:tc>
          <w:tcPr>
            <w:tcW w:w="6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thousands)</w:t>
            </w: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73,258</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0" w:type="dxa"/>
            <w:vAlign w:val="bottom"/>
            <w:shd w:val="clear" w:color="auto" w:fill="CFF0FC"/>
          </w:tcPr>
          <w:p>
            <w:pPr>
              <w:jc w:val="center"/>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45,807</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27,451</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60%</w:t>
            </w:r>
          </w:p>
        </w:tc>
        <w:tc>
          <w:tcPr>
            <w:tcW w:w="0" w:type="dxa"/>
            <w:vAlign w:val="bottom"/>
          </w:tcPr>
          <w:p>
            <w:pPr>
              <w:spacing w:after="0"/>
              <w:rPr>
                <w:sz w:val="1"/>
                <w:szCs w:val="1"/>
                <w:color w:val="auto"/>
              </w:rPr>
            </w:pPr>
          </w:p>
        </w:tc>
      </w:tr>
      <w:tr>
        <w:trPr>
          <w:trHeight w:val="23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(3,358 )</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(727 )</w:t>
            </w:r>
          </w:p>
        </w:tc>
        <w:tc>
          <w:tcPr>
            <w:tcW w:w="22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(2,631 )</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362%</w:t>
            </w:r>
          </w:p>
        </w:tc>
        <w:tc>
          <w:tcPr>
            <w:tcW w:w="0" w:type="dxa"/>
            <w:vAlign w:val="bottom"/>
          </w:tcPr>
          <w:p>
            <w:pPr>
              <w:spacing w:after="0"/>
              <w:rPr>
                <w:sz w:val="1"/>
                <w:szCs w:val="1"/>
                <w:color w:val="auto"/>
              </w:rPr>
            </w:pPr>
          </w:p>
        </w:tc>
      </w:tr>
      <w:tr>
        <w:trPr>
          <w:trHeight w:val="247"/>
        </w:trPr>
        <w:tc>
          <w:tcPr>
            <w:tcW w:w="5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0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(38,689 )</w:t>
            </w:r>
          </w:p>
        </w:tc>
        <w:tc>
          <w:tcPr>
            <w:tcW w:w="1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(52,354 )</w:t>
            </w: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13,665</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(26)%</w:t>
            </w:r>
          </w:p>
        </w:tc>
        <w:tc>
          <w:tcPr>
            <w:tcW w:w="0" w:type="dxa"/>
            <w:vAlign w:val="bottom"/>
          </w:tcPr>
          <w:p>
            <w:pPr>
              <w:spacing w:after="0"/>
              <w:rPr>
                <w:sz w:val="1"/>
                <w:szCs w:val="1"/>
                <w:color w:val="auto"/>
              </w:rPr>
            </w:pPr>
          </w:p>
        </w:tc>
      </w:tr>
      <w:tr>
        <w:trPr>
          <w:trHeight w:val="20"/>
        </w:trPr>
        <w:tc>
          <w:tcPr>
            <w:tcW w:w="54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40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Increase (Decrease) in cash, cash equivalents and</w:t>
            </w:r>
          </w:p>
        </w:tc>
        <w:tc>
          <w:tcPr>
            <w:tcW w:w="3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31,211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(7,274 )</w:t>
            </w: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38,485</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restricted cash</w:t>
            </w:r>
          </w:p>
        </w:tc>
        <w:tc>
          <w:tcPr>
            <w:tcW w:w="30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(529)%</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-299720</wp:posOffset>
            </wp:positionV>
            <wp:extent cx="7683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-299720</wp:posOffset>
            </wp:positionV>
            <wp:extent cx="7747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-299720</wp:posOffset>
            </wp:positionV>
            <wp:extent cx="6858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 Ended September 30, 2024 and September 30, 2023</w:t>
      </w:r>
    </w:p>
    <w:p>
      <w:pPr>
        <w:spacing w:after="0" w:line="11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Company’s operating activities generally reflect the Company’s earnings in the respective periods after adjusting for significant non-cash activity, including income of unconsolidated subsidiaries, stock-based compensation, depreciation, amortization, and deferred tax expense, all of which are included in net income. Cash from operating activities increased by $27.5 million, or 60%, to $73.3 million for the nine months ended September 30, 2024 compared to the nine months ended September 30, 2023. For the nine months ended September 30, 2024 and 2023, our net cash provided by operating activities was driven primarily by receipts of management fees and advisory fees, partially offset by payment of operating expenses, which includes professional fees, compensation and benefits, as well as general, administrative and other expenses. Additionally, the nine months ended September 30, 2024 was impacted by cash received for the sale of tax credits while the nine months ended September 30, 2023 was impacted by repaying deposit liabilities to third parties related to pending tax credit projects.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 Ended September 30, 2024 and September 30, 2023</w:t>
      </w:r>
    </w:p>
    <w:p>
      <w:pPr>
        <w:spacing w:after="0" w:line="11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cash used in investing activities increased by $2.6 million, or 362%, to $3.4 million, for the nine months ended September 30, 2024 as compared to the nine months ended September 30, 2023. This increase in cash used was primarily due to purchases of leasehold improvements, included in property and equipment during the nine months ended September 30, 2024.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 Ended September 30, 2024 and September 30, 2023</w:t>
      </w:r>
    </w:p>
    <w:p>
      <w:pPr>
        <w:spacing w:after="0" w:line="119"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We recorded a net $38.7 million for the nine months ended September 30, 2024 for cash used in financing activities, as compared to cash used in financing activities of $52.4 million for the nine months ended September 30, 2023. The change is driven by the cash provided by debt refinancing during the nine months ended September 30, 2024 compared to the nine months ended September 30, 2023.</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Sources and Uses of Liquidity</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We generate significant cash flows from operating activities. We believe that we will be able to continue to meet our current and long-term liquidity and capital requirements through our cash flows from operating activities, existing cash and cash equivalents, and our external financing activities which may include refinancing of existing indebtedness or the pay down of debt using proceeds of equity offerings.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 Balance Sheet Arrangements</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We do not invest in any off-balance sheet vehicles that provide liquidity, capital resources, market, or credit risk support, or engage in any activities that expose us to any liability that is not reflected in our consolidated financial statements.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7" w:name="page48"/>
    <w:bookmarkEnd w:id="4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02" w:lineRule="exact"/>
        <w:rPr>
          <w:sz w:val="20"/>
          <w:szCs w:val="20"/>
          <w:color w:val="auto"/>
        </w:rPr>
      </w:pPr>
    </w:p>
    <w:p>
      <w:pPr>
        <w:ind w:right="240" w:firstLine="509"/>
        <w:spacing w:after="0" w:line="255"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accounting principles generally accepted in the United States of America (“U.S. GAAP”) and include the accounts of the Company and its consolidated subsidiaries. The preparation of the Consolidated Financial Statements in conformity with U.S. GAAP requires management to make estimates and assumptions that affect the reported amounts of assets and liabilities and disclosure of contingent assets and liabilities at the dates of the Consolidated Financial Statements and the reported amounts of revenues and expenses during the reporting periods. Actual results could differ from those estimates. We believe the following critical accounting policies could potentially produce materially different results if we were to change the underlying assumptions, estimates, or judgments. See Note 2 of our consolidated financial statements for a summary of our significant accounting policies.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accompanying Consolidated Financial Statements are prepared in accordance with GAAP. Management believes it has made all necessary adjustments so that the Consolidated Financial Statements are presented fairly and that estimates made in preparing the Consolidated Financial Statements are reasonable and prudent. The Consolidated Financial Statements include the accounts of the Company, its wholly owned or majority-owned subsidiaries and entities in which the Company is deemed to have a direct or indirect controlling financial interest based on either a variable interest model or voting interest model. All intercompany transactions and balances have been eliminated upon consolidation. Certain entities in which the Company holds an interest are investment companies that follow specialized accounting rules under GAAP and reflect their investments at estimated fair value. Accordingly, the carrying value of the Company’s equity method investments in such entities retains the specialized accounting treatment.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Company performs the variable interest analysis for all entities in which it has a potential variable interest. If the Company has a variable interest in the entity and the entity is a variable interest entity (“VIE”), we will also analyze whether the Company is the primary beneficiary of this entity and if consolidation is required.</w:t>
      </w:r>
    </w:p>
    <w:p>
      <w:pPr>
        <w:spacing w:after="0" w:line="176"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Generally, VIEs are entities that lack sufficient equity to finance their activities without additional financial support from other parties, or whose equity holders, as a group, lack one or more of the following characteristics: (a) direct or indirect ability to make decisions, (b) obligation to absorb expected losses or (c) right to receive expected residual returns. A VIE must be evaluated quantitatively and qualitatively to determine the primary beneficiary, which is the reporting entity that has (a) the power to direct activities of a VIE that most significantly impact the VIE’s economic performance and (b) the obligation to absorb losses of the VIE that could potentially be significant to the VIE or the right to receive benefits from the VIE that could potentially be significant to the VIE. The primary beneficiary is required to consolidate the VIE for financial reporting purposes.</w:t>
      </w:r>
    </w:p>
    <w:p>
      <w:pPr>
        <w:spacing w:after="0" w:line="18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To determine a VIE’s primary beneficiary, we perform a qualitative assessment to determine which party, if any, has the power to direct activities of the VIE and the obligation to absorb losses and/or receive its benefits. This assessment involves identifying the activities that most significantly impact the VIE’s economic performance and determine whether we, or another party, has the power to direct those activities. When evaluating whether we are the primary beneficiary of a VIE, we perform a qualitative analysis that considers the design of the VIE, the nature of our involvement and the variable interests held by other parties. See Note 6 of our consolidated financial statements for further information.</w:t>
      </w:r>
    </w:p>
    <w:p>
      <w:pPr>
        <w:spacing w:after="0" w:line="18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has determined that certain of its subsidiaries are VIEs, and that the Company is the primary beneficiary of the entities, because it has the power to direct activities of the entities that most significantly impact such VIEs' economic performance and has a controlling financial interest in each entity. Accordingly, the Company consolidates these entities, which include P10 Intermediate, Holdco, RCP 2, RCP 3, TrueBridge, Hark, Bonaccord, and WTI. The assets and liabilities of the consolidated VIEs are presented gross in the Consolidated Balance Sheets. The liabilities of our consolidated VIEs' are obligations of those entities and their creditors do not generally have recourse to the assets of P10. See Note 6 of our consolidated financial statements for more information on both consolidated and unconsolidated VIEs.</w:t>
      </w:r>
    </w:p>
    <w:p>
      <w:pPr>
        <w:spacing w:after="0" w:line="187"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Entities that do not qualify as VIEs are assessed for consolidation as voting interest entities under the voting interest model. Under the voting interest model, the Company consolidates those entities it controls through a majority voting interest or other means. Five Points, P10 Holdings, and ECG are concluded to be consolidated subsidiaries of P10 under the voting interest model.</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5" w:right="3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Accounts Receivable and Due from Related Parties</w:t>
      </w:r>
    </w:p>
    <w:p>
      <w:pPr>
        <w:spacing w:after="0" w:line="121" w:lineRule="exact"/>
        <w:rPr>
          <w:sz w:val="20"/>
          <w:szCs w:val="20"/>
          <w:color w:val="auto"/>
        </w:rPr>
      </w:pPr>
    </w:p>
    <w:p>
      <w:pPr>
        <w:jc w:val="both"/>
        <w:ind w:right="400" w:firstLine="509"/>
        <w:spacing w:after="0" w:line="266" w:lineRule="auto"/>
        <w:rPr>
          <w:sz w:val="20"/>
          <w:szCs w:val="20"/>
          <w:color w:val="auto"/>
        </w:rPr>
      </w:pPr>
      <w:r>
        <w:rPr>
          <w:rFonts w:ascii="Times New Roman" w:cs="Times New Roman" w:eastAsia="Times New Roman" w:hAnsi="Times New Roman"/>
          <w:sz w:val="18"/>
          <w:szCs w:val="18"/>
          <w:color w:val="auto"/>
        </w:rPr>
        <w:t>Accounts receivable is equal to contractual amounts reduced for allowances, if applicable. Management fees are collected on a quarterly basis. Certain subsidiaries management fee contracts are collected at the beginning of the quarter, while others are collected in arrears. The management fees reflected in accounts receivable at period end are those that are collected in arrears.</w:t>
      </w:r>
    </w:p>
    <w:p>
      <w:pPr>
        <w:spacing w:after="0" w:line="176"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Due from related parties represents receivables from the Funds for reimbursable expenses, and management fees collected by a related party of RCP 2 that are owed to RCP 2. Additionally, fees owed to the Company for the advisory agreement entered into upon the closing of the acquisitions of ECG and ECP and any supplemental agreements entered into after acquisition, ("Advisory Agreements") where ECG provides advisory services to Enhanced Permanent Capital, LLC ("Enhanced PC") are reflected in due from related parties on the Consolidated Balance Sheets.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of Management Fees and Management Fees Received in Advance</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Revenue is recognized when the Company transfers promised goods or services to customers in an amount that reflects the consideration to which the Company expects to be entitled to in exchange for those goods or services.</w:t>
      </w:r>
    </w:p>
    <w:p>
      <w:pPr>
        <w:spacing w:after="0" w:line="162"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While the determination of who is the customer in a contractual arrangement will be made on a contract-by-contract basis, the customer will generally be the investment fund for the Company’s significant management and advisory contracts.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and Advisory Fees</w:t>
      </w:r>
    </w:p>
    <w:p>
      <w:pPr>
        <w:spacing w:after="0" w:line="121"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The Company earns management fees for asset management services provided to the Funds where the Company has discretion over investment decisions. The Company primarily earns fees for advisory services provided to clients where the Company does not have discretion over investment decisions. Management and advisory fees received in advance reflects the amount of fees that have been received prior to the period the fees are earned. These fees are recorded as deferred revenues on the Consolidated Balance Sheets due to the performance obligation not being satisfied at the time of collection.</w:t>
      </w:r>
    </w:p>
    <w:p>
      <w:pPr>
        <w:spacing w:after="0" w:line="183"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For asset management and advisory services, the Company typically satisfies its performance obligations over time as the services are provided as a distinct series of daily performance obligations that the customer simultaneously benefits from as they are performed. Asset management fees are based on the contractual terms of each contract which differ, such as fees calculated based on committed capital or deployed capital, fees initially calculated based on committed capital during the investment period and on net invested capital through the remainder of the fund’s term, fees that step down during specified periods of the fund's term, or in limited instances, fees based on assets under management. At contract inception, no revenue is estimated as the fees are dependent variable amounts which are susceptible to factors outside of our control. Fees are recognized for services provided during the period, which are distinct from services provided in other periods. In certain asset management and advisory agreements progress is measured using the practical expedient under the output method resulting in the recognition of revenue in the amount for which the Company has a right to invoice.</w:t>
      </w:r>
    </w:p>
    <w:p>
      <w:pPr>
        <w:spacing w:after="0" w:line="192" w:lineRule="exact"/>
        <w:rPr>
          <w:sz w:val="20"/>
          <w:szCs w:val="20"/>
          <w:color w:val="auto"/>
        </w:rPr>
      </w:pPr>
    </w:p>
    <w:p>
      <w:pPr>
        <w:ind w:right="560" w:firstLine="509"/>
        <w:spacing w:after="0" w:line="312" w:lineRule="auto"/>
        <w:rPr>
          <w:sz w:val="20"/>
          <w:szCs w:val="20"/>
          <w:color w:val="auto"/>
        </w:rPr>
      </w:pPr>
      <w:r>
        <w:rPr>
          <w:rFonts w:ascii="Times New Roman" w:cs="Times New Roman" w:eastAsia="Times New Roman" w:hAnsi="Times New Roman"/>
          <w:sz w:val="17"/>
          <w:szCs w:val="17"/>
          <w:color w:val="auto"/>
        </w:rPr>
        <w:t>Advisory service fees are determined using fixed-rate fees and are recognized over time as the related services are completed. Other advisory services include transaction and management fees associated with managing the origination and ongoing compliance of certain investments.</w:t>
      </w:r>
    </w:p>
    <w:p>
      <w:pPr>
        <w:spacing w:after="0" w:line="140"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 allocates a portion of consideration received under an arrangement to a financing component when it determines that a significant financing component exists. The Company does not adjust the promised amount of consideration for the effects of a significant financing component if, at each contract inception the Company expects that the period between services being provided and cash collection would be less than one year. To the extent the Company determines that there is a significant financing component in a contract with a customer, it determines the impact of the time value of money in adjusting the transaction price to account for the income associated with the financing component by estimating the discount rate that would be reflected in a separate financing transaction between the customer and the Company at contract inception, based upon the credit characteristics of the customer receiving financing in the contract.</w:t>
      </w:r>
    </w:p>
    <w:p>
      <w:pPr>
        <w:spacing w:after="0" w:line="189" w:lineRule="exact"/>
        <w:rPr>
          <w:sz w:val="20"/>
          <w:szCs w:val="20"/>
          <w:color w:val="auto"/>
        </w:rPr>
      </w:pPr>
    </w:p>
    <w:p>
      <w:pPr>
        <w:jc w:val="both"/>
        <w:ind w:right="420" w:firstLine="554"/>
        <w:spacing w:after="0" w:line="266" w:lineRule="auto"/>
        <w:rPr>
          <w:sz w:val="20"/>
          <w:szCs w:val="20"/>
          <w:color w:val="auto"/>
        </w:rPr>
      </w:pPr>
      <w:r>
        <w:rPr>
          <w:rFonts w:ascii="Times New Roman" w:cs="Times New Roman" w:eastAsia="Times New Roman" w:hAnsi="Times New Roman"/>
          <w:sz w:val="18"/>
          <w:szCs w:val="18"/>
          <w:color w:val="auto"/>
        </w:rPr>
        <w:t>The Company is applying the optional disclosure exemption for variable consideration for unsatisfied performance obligations, as the variable consideration relates to these unsatisfied performance obligations being fulfilled as a series. The performance obligations related to these contracts are expected to be satisfied over the next 1-10 years as services are provided to the customer.</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9" w:name="page50"/>
    <w:bookmarkEnd w:id="49"/>
    <w:p>
      <w:pPr>
        <w:ind w:firstLine="509"/>
        <w:spacing w:after="0" w:line="266" w:lineRule="auto"/>
        <w:rPr>
          <w:sz w:val="20"/>
          <w:szCs w:val="20"/>
          <w:color w:val="auto"/>
        </w:rPr>
      </w:pPr>
      <w:r>
        <w:rPr>
          <w:rFonts w:ascii="Times New Roman" w:cs="Times New Roman" w:eastAsia="Times New Roman" w:hAnsi="Times New Roman"/>
          <w:sz w:val="18"/>
          <w:szCs w:val="18"/>
          <w:color w:val="auto"/>
        </w:rPr>
        <w:t>Catch-up fees are earned from investors that make commitments to the fund after the first fund closing occurs during the fundraising period of funds originally launched in prior periods, and as such the investors are required to pay a catch-up fee as if they had committed to the fund at the first closing. Catch-up fees are recorded as revenue when such commitments are made as variable consideration.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Stock-based compensation relates to grants for shares of P10 awarded to our employees through stock options as well as RSUs awarded to employees and RSAs issued to non-employee directors as compensation for service on the Company's board. Stock compensation expense for awards that cliff-vest after a service period is recorded ratably over the vesting period at the fair market value on the grant date. For awards with graded vesting, and vesting only requires a service condition, the Company elected, in accordance with ASC 718, to treat these awards as single awards for recognition purposes and recognize compensation on a straight-line basis over the requisite service period of the entire award. For awards with graded vesting and require a market condition to vest, the Company treats each expected vesting tranche as an individual award and recognizes expense ratably over the vesting period at the fair market value of the grant date. Certain acquisition related RSUs vest after meeting certain performance metrics. For these, the Company uses the tranche method and recognizes expense for each tranche of RSUs deemed probable of vesting on a straight-line basis over the expected vesting period. The Company evaluates the probability of vesting at each reporting period. Unvested units are remeasured quarterly against performance metrics as a liability on the Consolidated Balance Sheets. Refer to Note 15 to the Consolidated Financial Statements for further discussion. Forfeitures are recognized as they occur.</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Current income tax expense represents our estimated taxes to be paid or refunded for the current period. In accordance with ASC 740, we recognize deferred tax assets and liabilities for the expected future tax consequences of temporary differences between the financial reporting and tax basis of assets and liabilities, as well as for operating loss and tax credit carryforwards. Deferred tax assets and liabilities are measured using enacted tax rates in effect for the year in which the differences are expected to reverse. Valuation allowances are recorded to reduce deferred tax assets to the amount we believe is more likely than not to be realized.</w:t>
      </w:r>
    </w:p>
    <w:p>
      <w:pPr>
        <w:spacing w:after="0" w:line="183" w:lineRule="exact"/>
        <w:rPr>
          <w:sz w:val="20"/>
          <w:szCs w:val="20"/>
          <w:color w:val="auto"/>
        </w:rPr>
      </w:pPr>
    </w:p>
    <w:p>
      <w:pPr>
        <w:ind w:right="160" w:firstLine="509"/>
        <w:spacing w:after="0" w:line="312" w:lineRule="auto"/>
        <w:rPr>
          <w:sz w:val="20"/>
          <w:szCs w:val="20"/>
          <w:color w:val="auto"/>
        </w:rPr>
      </w:pPr>
      <w:r>
        <w:rPr>
          <w:rFonts w:ascii="Times New Roman" w:cs="Times New Roman" w:eastAsia="Times New Roman" w:hAnsi="Times New Roman"/>
          <w:sz w:val="17"/>
          <w:szCs w:val="17"/>
          <w:color w:val="auto"/>
        </w:rPr>
        <w:t>Uncertain tax positions are recognized only when we believe it is more likely than not that the tax position will be upheld on examination by the taxing authorities based on the merits of the position. We recognize interest and penalties, if any, related to uncertain tax positions in income tax expense.</w:t>
      </w:r>
    </w:p>
    <w:p>
      <w:pPr>
        <w:spacing w:after="0" w:line="1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file various federal and state and local tax returns based on federal and state local consolidation and stand- alone tax rules as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Qualitative and Quantitative Disclosures about Market Risk.</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we are exposed to a broad range of risks inherent in the financial markets in which we participate, including price risk, interest-rate risk, access to and cost of financing risk, liquidity risk, and counterparty risk. Potentially negative effects of these risks may be mitigated to a certain extent by those aspects of our investment approach, investment strategies or other business activities that are designed to benefit, either in relative or absolute terms, from periods of economic weakness, tighter credit or financial market dislocations.</w:t>
      </w:r>
    </w:p>
    <w:p>
      <w:pPr>
        <w:spacing w:after="0" w:line="18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predominant exposure to market risk is related to our role as general partner or investment manager for our specialized investment vehicles and the sensitivities to movements in the fair value of their investments and overall returns for our investors. Since our management fees are generally based on commitments or net invested capital, our management fee and advisory fee revenue is not significantly impacted by changes in investment values, but unfavorable changes in the value of the assets we manage could adversely impact our ability to attract and retain our investors.</w:t>
      </w:r>
    </w:p>
    <w:p>
      <w:pPr>
        <w:spacing w:after="0" w:line="180" w:lineRule="exact"/>
        <w:rPr>
          <w:sz w:val="20"/>
          <w:szCs w:val="20"/>
          <w:color w:val="auto"/>
        </w:rPr>
      </w:pPr>
    </w:p>
    <w:p>
      <w:pPr>
        <w:ind w:right="760" w:firstLine="509"/>
        <w:spacing w:after="0" w:line="282" w:lineRule="auto"/>
        <w:rPr>
          <w:sz w:val="20"/>
          <w:szCs w:val="20"/>
          <w:color w:val="auto"/>
        </w:rPr>
      </w:pPr>
      <w:r>
        <w:rPr>
          <w:rFonts w:ascii="Times New Roman" w:cs="Times New Roman" w:eastAsia="Times New Roman" w:hAnsi="Times New Roman"/>
          <w:sz w:val="18"/>
          <w:szCs w:val="18"/>
          <w:color w:val="auto"/>
        </w:rPr>
        <w:t>Fair value of the financial assets and liabilities of our specialized investment vehicles may fluctuate in response to changes in the value of underlying assets, and interest rates.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2024, we had $325.0 million in outstanding principal in Term Loans under our Term Loan and $0 under our Revolving Credit Facility. The annual interest rate on the Term Loan is based on SOFR, subject to a floor of</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9" w:right="379" w:bottom="1440" w:gutter="0" w:footer="0" w:header="0"/>
        </w:sectPr>
      </w:pPr>
    </w:p>
    <w:bookmarkStart w:id="50" w:name="page51"/>
    <w:bookmarkEnd w:id="50"/>
    <w:p>
      <w:pPr>
        <w:ind w:right="160"/>
        <w:spacing w:after="0" w:line="261" w:lineRule="auto"/>
        <w:rPr>
          <w:sz w:val="20"/>
          <w:szCs w:val="20"/>
          <w:color w:val="auto"/>
        </w:rPr>
      </w:pPr>
      <w:r>
        <w:rPr>
          <w:rFonts w:ascii="Times New Roman" w:cs="Times New Roman" w:eastAsia="Times New Roman" w:hAnsi="Times New Roman"/>
          <w:sz w:val="18"/>
          <w:szCs w:val="18"/>
          <w:color w:val="auto"/>
        </w:rPr>
        <w:t>0.10%, plus 2.50%. On September 30, 2024, the interest rate on these borrowings was 2.6% + SOFR. Despite the current interest rate environment displaying an interest rate cut by 50-basis points, the Company is still exposed to interest rate risk if there is a shift in the environment. We estimate that a 100-basis point increase in the interest rate would result in an approximately $3.2 million increase in interest expense related to the loan over the next 12 months.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2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We are party to agreements providing for various financial services and transactions that contain an element of risk in the event that the counterparties are unable to meet the terms of such agreements. In such agreements, we depend on the respective counterparty to make payment or otherwise perform. We generally endeavor to minimize our risk of exposure by limiting the counterparties with which we enter into financial transactions to reputable financial institutions. In other circumstances, availability of financing from financial institutions may be uncertain due to market events, and we may not be able to access these financing markets.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as such term is defined in Rules 13a-15(e) and 15d-15(e) under the Securities Exchange Act of 1934 (the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likelihood of future events, and there can be no assurance that any design will succeed in achieving its stated goals under all potential future conditions. Any controls and procedures, no matter how well designed and operated, can provide only reasonable assurance of achieving the desired objectives.</w:t>
      </w:r>
    </w:p>
    <w:p>
      <w:pPr>
        <w:spacing w:after="0" w:line="18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management, under the supervision and with the participation of our Chief Executive Officer and Chief Financial Officer, evaluated the effectiveness of our disclosure controls and procedures pursuant to Rule 13a-15 under the Exchange Act as of the end of the period covered by this report. Based on that evaluation, our Chief Executive Officer and Chief Financial Officer have concluded that, as of the end of the period covered by this report, our disclosure controls and procedures (as defined in Rule 13a-15(e) under the Exchange Act) are effective to provide reasonable assurance that information that we are required to disclose in reports that we file or submit under the Exchange Act is recorded, processed, summarized and reported within the time periods specified in the Securities and Exchange Commission rules and forms, and that such information is accumulated and communicated to our management, including our Chief Executive Officer and Chief Financial Officer, as appropriate, to allow timely decisions regarding required disclosures.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Controls over Financial Reporting</w:t>
      </w:r>
    </w:p>
    <w:p>
      <w:pPr>
        <w:spacing w:after="0" w:line="121"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such term is defined in Rules 13a-15(f) and 15d-15(f) under the Exchange Act) during our most recent quarter ended September 30, 2024 that have materially affected, or are reasonably likely to materially affect, our internal control over financial reporting.</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66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with respect to this item can be found under “Contingencies” in Note 13, Commitments and Contingencies, to our consolidated financial statements included elsewhere in this annual report, and such information is incorporated by reference into this Item 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our repurchase activity with respect to shares of our common stock for the quarter ended September 30, 2024:</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6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60" w:type="dxa"/>
            <w:vAlign w:val="bottom"/>
          </w:tcPr>
          <w:p>
            <w:pPr>
              <w:jc w:val="center"/>
              <w:spacing w:after="0"/>
              <w:rPr>
                <w:sz w:val="20"/>
                <w:szCs w:val="20"/>
                <w:color w:val="auto"/>
              </w:rPr>
            </w:pPr>
            <w:r>
              <w:rPr>
                <w:rFonts w:ascii="Calibri" w:cs="Calibri" w:eastAsia="Calibri" w:hAnsi="Calibri"/>
                <w:sz w:val="13"/>
                <w:szCs w:val="13"/>
                <w:b w:val="1"/>
                <w:bCs w:val="1"/>
                <w:color w:val="auto"/>
                <w:w w:val="95"/>
              </w:rPr>
              <w:t>Total Number of Shares Purchased as</w:t>
            </w:r>
          </w:p>
        </w:tc>
        <w:tc>
          <w:tcPr>
            <w:tcW w:w="100" w:type="dxa"/>
            <w:vAlign w:val="bottom"/>
          </w:tcPr>
          <w:p>
            <w:pPr>
              <w:spacing w:after="0"/>
              <w:rPr>
                <w:sz w:val="13"/>
                <w:szCs w:val="13"/>
                <w:color w:val="auto"/>
              </w:rPr>
            </w:pPr>
          </w:p>
        </w:tc>
        <w:tc>
          <w:tcPr>
            <w:tcW w:w="2160" w:type="dxa"/>
            <w:vAlign w:val="bottom"/>
            <w:gridSpan w:val="3"/>
          </w:tcPr>
          <w:p>
            <w:pPr>
              <w:jc w:val="center"/>
              <w:ind w:right="140"/>
              <w:spacing w:after="0"/>
              <w:rPr>
                <w:sz w:val="20"/>
                <w:szCs w:val="20"/>
                <w:color w:val="auto"/>
              </w:rPr>
            </w:pPr>
            <w:r>
              <w:rPr>
                <w:rFonts w:ascii="Calibri" w:cs="Calibri" w:eastAsia="Calibri" w:hAnsi="Calibri"/>
                <w:sz w:val="13"/>
                <w:szCs w:val="13"/>
                <w:b w:val="1"/>
                <w:bCs w:val="1"/>
                <w:color w:val="auto"/>
                <w:w w:val="95"/>
              </w:rPr>
              <w:t>Maximum Approximate Dollar Value</w:t>
            </w:r>
          </w:p>
        </w:tc>
        <w:tc>
          <w:tcPr>
            <w:tcW w:w="0" w:type="dxa"/>
            <w:vAlign w:val="bottom"/>
          </w:tcPr>
          <w:p>
            <w:pPr>
              <w:spacing w:after="0"/>
              <w:rPr>
                <w:sz w:val="1"/>
                <w:szCs w:val="1"/>
                <w:color w:val="auto"/>
              </w:rPr>
            </w:pPr>
          </w:p>
        </w:tc>
      </w:tr>
      <w:tr>
        <w:trPr>
          <w:trHeight w:val="149"/>
        </w:trPr>
        <w:tc>
          <w:tcPr>
            <w:tcW w:w="3680" w:type="dxa"/>
            <w:vAlign w:val="bottom"/>
          </w:tcPr>
          <w:p>
            <w:pPr>
              <w:spacing w:after="0"/>
              <w:rPr>
                <w:sz w:val="12"/>
                <w:szCs w:val="12"/>
                <w:color w:val="auto"/>
              </w:rPr>
            </w:pPr>
          </w:p>
        </w:tc>
        <w:tc>
          <w:tcPr>
            <w:tcW w:w="1720" w:type="dxa"/>
            <w:vAlign w:val="bottom"/>
          </w:tcPr>
          <w:p>
            <w:pPr>
              <w:jc w:val="right"/>
              <w:ind w:right="197"/>
              <w:spacing w:after="0" w:line="149" w:lineRule="exact"/>
              <w:rPr>
                <w:sz w:val="20"/>
                <w:szCs w:val="20"/>
                <w:color w:val="auto"/>
              </w:rPr>
            </w:pPr>
            <w:r>
              <w:rPr>
                <w:rFonts w:ascii="Calibri" w:cs="Calibri" w:eastAsia="Calibri" w:hAnsi="Calibri"/>
                <w:sz w:val="13"/>
                <w:szCs w:val="13"/>
                <w:b w:val="1"/>
                <w:bCs w:val="1"/>
                <w:color w:val="auto"/>
              </w:rPr>
              <w:t>Total Number of Shares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right"/>
              <w:ind w:right="57"/>
              <w:spacing w:after="0" w:line="149" w:lineRule="exact"/>
              <w:rPr>
                <w:sz w:val="20"/>
                <w:szCs w:val="20"/>
                <w:color w:val="auto"/>
              </w:rPr>
            </w:pPr>
            <w:r>
              <w:rPr>
                <w:rFonts w:ascii="Calibri" w:cs="Calibri" w:eastAsia="Calibri" w:hAnsi="Calibri"/>
                <w:sz w:val="13"/>
                <w:szCs w:val="13"/>
                <w:b w:val="1"/>
                <w:bCs w:val="1"/>
                <w:color w:val="auto"/>
                <w:w w:val="94"/>
              </w:rPr>
              <w:t>Weighted Average</w:t>
            </w:r>
          </w:p>
        </w:tc>
        <w:tc>
          <w:tcPr>
            <w:tcW w:w="12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w w:val="96"/>
              </w:rPr>
              <w:t>Part of Publicly Announced Plan or</w:t>
            </w:r>
          </w:p>
        </w:tc>
        <w:tc>
          <w:tcPr>
            <w:tcW w:w="100" w:type="dxa"/>
            <w:vAlign w:val="bottom"/>
          </w:tcPr>
          <w:p>
            <w:pPr>
              <w:spacing w:after="0"/>
              <w:rPr>
                <w:sz w:val="12"/>
                <w:szCs w:val="12"/>
                <w:color w:val="auto"/>
              </w:rPr>
            </w:pPr>
          </w:p>
        </w:tc>
        <w:tc>
          <w:tcPr>
            <w:tcW w:w="2160" w:type="dxa"/>
            <w:vAlign w:val="bottom"/>
            <w:gridSpan w:val="3"/>
          </w:tcPr>
          <w:p>
            <w:pPr>
              <w:jc w:val="center"/>
              <w:ind w:right="140"/>
              <w:spacing w:after="0" w:line="149" w:lineRule="exact"/>
              <w:rPr>
                <w:sz w:val="20"/>
                <w:szCs w:val="20"/>
                <w:color w:val="auto"/>
              </w:rPr>
            </w:pPr>
            <w:r>
              <w:rPr>
                <w:rFonts w:ascii="Calibri" w:cs="Calibri" w:eastAsia="Calibri" w:hAnsi="Calibri"/>
                <w:sz w:val="13"/>
                <w:szCs w:val="13"/>
                <w:b w:val="1"/>
                <w:bCs w:val="1"/>
                <w:color w:val="auto"/>
                <w:w w:val="95"/>
              </w:rPr>
              <w:t>of Shares that May Yet Be Purchased</w:t>
            </w:r>
          </w:p>
        </w:tc>
        <w:tc>
          <w:tcPr>
            <w:tcW w:w="0" w:type="dxa"/>
            <w:vAlign w:val="bottom"/>
          </w:tcPr>
          <w:p>
            <w:pPr>
              <w:spacing w:after="0"/>
              <w:rPr>
                <w:sz w:val="1"/>
                <w:szCs w:val="1"/>
                <w:color w:val="auto"/>
              </w:rPr>
            </w:pPr>
          </w:p>
        </w:tc>
      </w:tr>
      <w:tr>
        <w:trPr>
          <w:trHeight w:val="148"/>
        </w:trPr>
        <w:tc>
          <w:tcPr>
            <w:tcW w:w="3680" w:type="dxa"/>
            <w:vAlign w:val="bottom"/>
          </w:tcPr>
          <w:p>
            <w:pPr>
              <w:ind w:left="20"/>
              <w:spacing w:after="0" w:line="149" w:lineRule="exact"/>
              <w:rPr>
                <w:sz w:val="20"/>
                <w:szCs w:val="20"/>
                <w:color w:val="auto"/>
              </w:rPr>
            </w:pPr>
            <w:r>
              <w:rPr>
                <w:rFonts w:ascii="Calibri" w:cs="Calibri" w:eastAsia="Calibri" w:hAnsi="Calibri"/>
                <w:sz w:val="13"/>
                <w:szCs w:val="13"/>
                <w:b w:val="1"/>
                <w:bCs w:val="1"/>
                <w:color w:val="auto"/>
              </w:rPr>
              <w:t>Period</w:t>
            </w:r>
          </w:p>
        </w:tc>
        <w:tc>
          <w:tcPr>
            <w:tcW w:w="1720" w:type="dxa"/>
            <w:vAlign w:val="bottom"/>
          </w:tcPr>
          <w:p>
            <w:pPr>
              <w:jc w:val="right"/>
              <w:ind w:right="517"/>
              <w:spacing w:after="0" w:line="149" w:lineRule="exact"/>
              <w:rPr>
                <w:sz w:val="20"/>
                <w:szCs w:val="20"/>
                <w:color w:val="auto"/>
              </w:rPr>
            </w:pPr>
            <w:r>
              <w:rPr>
                <w:rFonts w:ascii="Calibri" w:cs="Calibri" w:eastAsia="Calibri" w:hAnsi="Calibri"/>
                <w:sz w:val="13"/>
                <w:szCs w:val="13"/>
                <w:b w:val="1"/>
                <w:bCs w:val="1"/>
                <w:color w:val="auto"/>
              </w:rPr>
              <w:t>Purchased</w:t>
            </w:r>
          </w:p>
        </w:tc>
        <w:tc>
          <w:tcPr>
            <w:tcW w:w="120" w:type="dxa"/>
            <w:vAlign w:val="bottom"/>
          </w:tcPr>
          <w:p>
            <w:pPr>
              <w:spacing w:after="0"/>
              <w:rPr>
                <w:sz w:val="12"/>
                <w:szCs w:val="12"/>
                <w:color w:val="auto"/>
              </w:rPr>
            </w:pPr>
          </w:p>
        </w:tc>
        <w:tc>
          <w:tcPr>
            <w:tcW w:w="1180" w:type="dxa"/>
            <w:vAlign w:val="bottom"/>
            <w:gridSpan w:val="2"/>
          </w:tcPr>
          <w:p>
            <w:pPr>
              <w:jc w:val="right"/>
              <w:spacing w:after="0" w:line="149" w:lineRule="exact"/>
              <w:rPr>
                <w:sz w:val="20"/>
                <w:szCs w:val="20"/>
                <w:color w:val="auto"/>
              </w:rPr>
            </w:pPr>
            <w:r>
              <w:rPr>
                <w:rFonts w:ascii="Calibri" w:cs="Calibri" w:eastAsia="Calibri" w:hAnsi="Calibri"/>
                <w:sz w:val="13"/>
                <w:szCs w:val="13"/>
                <w:b w:val="1"/>
                <w:bCs w:val="1"/>
                <w:color w:val="auto"/>
              </w:rPr>
              <w:t>Price Paid per Share</w:t>
            </w:r>
          </w:p>
        </w:tc>
        <w:tc>
          <w:tcPr>
            <w:tcW w:w="12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w w:val="96"/>
              </w:rPr>
              <w:t>Program (1)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20" w:type="dxa"/>
            <w:vAlign w:val="bottom"/>
            <w:gridSpan w:val="2"/>
          </w:tcPr>
          <w:p>
            <w:pPr>
              <w:jc w:val="center"/>
              <w:ind w:right="240"/>
              <w:spacing w:after="0" w:line="149" w:lineRule="exact"/>
              <w:rPr>
                <w:sz w:val="20"/>
                <w:szCs w:val="20"/>
                <w:color w:val="auto"/>
              </w:rPr>
            </w:pPr>
            <w:r>
              <w:rPr>
                <w:rFonts w:ascii="Calibri" w:cs="Calibri" w:eastAsia="Calibri" w:hAnsi="Calibri"/>
                <w:sz w:val="13"/>
                <w:szCs w:val="13"/>
                <w:b w:val="1"/>
                <w:bCs w:val="1"/>
                <w:color w:val="auto"/>
                <w:w w:val="96"/>
              </w:rPr>
              <w:t>Under the Plans or Programs (1)</w:t>
            </w:r>
          </w:p>
        </w:tc>
        <w:tc>
          <w:tcPr>
            <w:tcW w:w="0" w:type="dxa"/>
            <w:vAlign w:val="bottom"/>
          </w:tcPr>
          <w:p>
            <w:pPr>
              <w:spacing w:after="0"/>
              <w:rPr>
                <w:sz w:val="1"/>
                <w:szCs w:val="1"/>
                <w:color w:val="auto"/>
              </w:rPr>
            </w:pPr>
          </w:p>
        </w:tc>
      </w:tr>
      <w:tr>
        <w:trPr>
          <w:trHeight w:val="44"/>
        </w:trPr>
        <w:tc>
          <w:tcPr>
            <w:tcW w:w="368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3680" w:type="dxa"/>
            <w:vAlign w:val="bottom"/>
            <w:tcBorders>
              <w:bottom w:val="single" w:sz="8" w:color="CFF0FC"/>
            </w:tcBorders>
            <w:shd w:val="clear" w:color="auto" w:fill="CFF0FC"/>
          </w:tcPr>
          <w:p>
            <w:pPr>
              <w:ind w:left="20"/>
              <w:spacing w:after="0" w:line="152" w:lineRule="exact"/>
              <w:rPr>
                <w:sz w:val="20"/>
                <w:szCs w:val="20"/>
                <w:color w:val="auto"/>
              </w:rPr>
            </w:pPr>
            <w:r>
              <w:rPr>
                <w:rFonts w:ascii="Calibri" w:cs="Calibri" w:eastAsia="Calibri" w:hAnsi="Calibri"/>
                <w:sz w:val="13"/>
                <w:szCs w:val="13"/>
                <w:color w:val="auto"/>
              </w:rPr>
              <w:t>July 1 - 31, 2024</w:t>
            </w:r>
          </w:p>
        </w:tc>
        <w:tc>
          <w:tcPr>
            <w:tcW w:w="172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w:t>
            </w:r>
          </w:p>
        </w:tc>
        <w:tc>
          <w:tcPr>
            <w:tcW w:w="220" w:type="dxa"/>
            <w:vAlign w:val="bottom"/>
            <w:tcBorders>
              <w:bottom w:val="single" w:sz="8" w:color="CFF0FC"/>
            </w:tcBorders>
            <w:gridSpan w:val="2"/>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w:t>
            </w:r>
          </w:p>
        </w:tc>
        <w:tc>
          <w:tcPr>
            <w:tcW w:w="108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w:t>
            </w:r>
          </w:p>
        </w:tc>
        <w:tc>
          <w:tcPr>
            <w:tcW w:w="2280" w:type="dxa"/>
            <w:vAlign w:val="bottom"/>
            <w:tcBorders>
              <w:bottom w:val="single" w:sz="8" w:color="CFF0FC"/>
            </w:tcBorders>
            <w:gridSpan w:val="2"/>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w:t>
            </w:r>
          </w:p>
        </w:tc>
        <w:tc>
          <w:tcPr>
            <w:tcW w:w="240" w:type="dxa"/>
            <w:vAlign w:val="bottom"/>
            <w:tcBorders>
              <w:bottom w:val="single" w:sz="8" w:color="CFF0FC"/>
            </w:tcBorders>
            <w:gridSpan w:val="2"/>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w:t>
            </w:r>
          </w:p>
        </w:tc>
        <w:tc>
          <w:tcPr>
            <w:tcW w:w="192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8,060,047</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680" w:type="dxa"/>
            <w:vAlign w:val="bottom"/>
          </w:tcPr>
          <w:p>
            <w:pPr>
              <w:ind w:left="20"/>
              <w:spacing w:after="0" w:line="152" w:lineRule="exact"/>
              <w:rPr>
                <w:sz w:val="20"/>
                <w:szCs w:val="20"/>
                <w:color w:val="auto"/>
              </w:rPr>
            </w:pPr>
            <w:r>
              <w:rPr>
                <w:rFonts w:ascii="Calibri" w:cs="Calibri" w:eastAsia="Calibri" w:hAnsi="Calibri"/>
                <w:sz w:val="13"/>
                <w:szCs w:val="13"/>
                <w:color w:val="auto"/>
              </w:rPr>
              <w:t>August 1 - 31, 2024</w:t>
            </w:r>
          </w:p>
        </w:tc>
        <w:tc>
          <w:tcPr>
            <w:tcW w:w="1720" w:type="dxa"/>
            <w:vAlign w:val="bottom"/>
          </w:tcPr>
          <w:p>
            <w:pPr>
              <w:jc w:val="right"/>
              <w:spacing w:after="0" w:line="152" w:lineRule="exact"/>
              <w:rPr>
                <w:sz w:val="20"/>
                <w:szCs w:val="20"/>
                <w:color w:val="auto"/>
              </w:rPr>
            </w:pPr>
            <w:r>
              <w:rPr>
                <w:rFonts w:ascii="Calibri" w:cs="Calibri" w:eastAsia="Calibri" w:hAnsi="Calibri"/>
                <w:sz w:val="13"/>
                <w:szCs w:val="13"/>
                <w:color w:val="auto"/>
              </w:rPr>
              <w:t>609,300</w:t>
            </w:r>
          </w:p>
        </w:tc>
        <w:tc>
          <w:tcPr>
            <w:tcW w:w="220" w:type="dxa"/>
            <w:vAlign w:val="bottom"/>
            <w:gridSpan w:val="2"/>
          </w:tcPr>
          <w:p>
            <w:pPr>
              <w:jc w:val="right"/>
              <w:spacing w:after="0" w:line="152" w:lineRule="exact"/>
              <w:rPr>
                <w:sz w:val="20"/>
                <w:szCs w:val="20"/>
                <w:color w:val="auto"/>
              </w:rPr>
            </w:pPr>
            <w:r>
              <w:rPr>
                <w:rFonts w:ascii="Calibri" w:cs="Calibri" w:eastAsia="Calibri" w:hAnsi="Calibri"/>
                <w:sz w:val="13"/>
                <w:szCs w:val="13"/>
                <w:color w:val="auto"/>
              </w:rPr>
              <w:t>$</w:t>
            </w:r>
          </w:p>
        </w:tc>
        <w:tc>
          <w:tcPr>
            <w:tcW w:w="1080" w:type="dxa"/>
            <w:vAlign w:val="bottom"/>
          </w:tcPr>
          <w:p>
            <w:pPr>
              <w:jc w:val="right"/>
              <w:spacing w:after="0" w:line="152" w:lineRule="exact"/>
              <w:rPr>
                <w:sz w:val="20"/>
                <w:szCs w:val="20"/>
                <w:color w:val="auto"/>
              </w:rPr>
            </w:pPr>
            <w:r>
              <w:rPr>
                <w:rFonts w:ascii="Calibri" w:cs="Calibri" w:eastAsia="Calibri" w:hAnsi="Calibri"/>
                <w:sz w:val="13"/>
                <w:szCs w:val="13"/>
                <w:color w:val="auto"/>
              </w:rPr>
              <w:t>10.15</w:t>
            </w:r>
          </w:p>
        </w:tc>
        <w:tc>
          <w:tcPr>
            <w:tcW w:w="2280" w:type="dxa"/>
            <w:vAlign w:val="bottom"/>
            <w:gridSpan w:val="2"/>
          </w:tcPr>
          <w:p>
            <w:pPr>
              <w:jc w:val="right"/>
              <w:spacing w:after="0" w:line="152" w:lineRule="exact"/>
              <w:rPr>
                <w:sz w:val="20"/>
                <w:szCs w:val="20"/>
                <w:color w:val="auto"/>
              </w:rPr>
            </w:pPr>
            <w:r>
              <w:rPr>
                <w:rFonts w:ascii="Calibri" w:cs="Calibri" w:eastAsia="Calibri" w:hAnsi="Calibri"/>
                <w:sz w:val="13"/>
                <w:szCs w:val="13"/>
                <w:color w:val="auto"/>
              </w:rPr>
              <w:t>609,300</w:t>
            </w:r>
          </w:p>
        </w:tc>
        <w:tc>
          <w:tcPr>
            <w:tcW w:w="240" w:type="dxa"/>
            <w:vAlign w:val="bottom"/>
            <w:gridSpan w:val="2"/>
          </w:tcPr>
          <w:p>
            <w:pPr>
              <w:jc w:val="right"/>
              <w:spacing w:after="0" w:line="152" w:lineRule="exact"/>
              <w:rPr>
                <w:sz w:val="20"/>
                <w:szCs w:val="20"/>
                <w:color w:val="auto"/>
              </w:rPr>
            </w:pPr>
            <w:r>
              <w:rPr>
                <w:rFonts w:ascii="Calibri" w:cs="Calibri" w:eastAsia="Calibri" w:hAnsi="Calibri"/>
                <w:sz w:val="13"/>
                <w:szCs w:val="13"/>
                <w:color w:val="auto"/>
              </w:rPr>
              <w:t>$</w:t>
            </w:r>
          </w:p>
        </w:tc>
        <w:tc>
          <w:tcPr>
            <w:tcW w:w="1920" w:type="dxa"/>
            <w:vAlign w:val="bottom"/>
          </w:tcPr>
          <w:p>
            <w:pPr>
              <w:jc w:val="right"/>
              <w:spacing w:after="0" w:line="152" w:lineRule="exact"/>
              <w:rPr>
                <w:sz w:val="20"/>
                <w:szCs w:val="20"/>
                <w:color w:val="auto"/>
              </w:rPr>
            </w:pPr>
            <w:r>
              <w:rPr>
                <w:rFonts w:ascii="Calibri" w:cs="Calibri" w:eastAsia="Calibri" w:hAnsi="Calibri"/>
                <w:sz w:val="13"/>
                <w:szCs w:val="13"/>
                <w:color w:val="auto"/>
              </w:rPr>
              <w:t>13,872,482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36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368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3"/>
                <w:szCs w:val="13"/>
                <w:color w:val="auto"/>
              </w:rPr>
              <w:t>September 1 - 30, 2024</w:t>
            </w:r>
          </w:p>
        </w:tc>
        <w:tc>
          <w:tcPr>
            <w:tcW w:w="1720" w:type="dxa"/>
            <w:vAlign w:val="bottom"/>
            <w:tcBorders>
              <w:bottom w:val="single" w:sz="8" w:color="auto"/>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w:t>
            </w:r>
          </w:p>
        </w:tc>
        <w:tc>
          <w:tcPr>
            <w:tcW w:w="220" w:type="dxa"/>
            <w:vAlign w:val="bottom"/>
            <w:tcBorders>
              <w:bottom w:val="single" w:sz="8" w:color="CFF0FC"/>
            </w:tcBorders>
            <w:gridSpan w:val="2"/>
            <w:shd w:val="clear" w:color="auto" w:fill="CFF0FC"/>
          </w:tcPr>
          <w:p>
            <w:pPr>
              <w:jc w:val="right"/>
              <w:spacing w:after="0"/>
              <w:rPr>
                <w:sz w:val="20"/>
                <w:szCs w:val="20"/>
                <w:color w:val="auto"/>
              </w:rPr>
            </w:pPr>
            <w:r>
              <w:rPr>
                <w:rFonts w:ascii="Calibri" w:cs="Calibri" w:eastAsia="Calibri" w:hAnsi="Calibri"/>
                <w:sz w:val="13"/>
                <w:szCs w:val="13"/>
                <w:color w:val="auto"/>
              </w:rPr>
              <w: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2160" w:type="dxa"/>
            <w:vAlign w:val="bottom"/>
            <w:tcBorders>
              <w:bottom w:val="single" w:sz="8" w:color="auto"/>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w:t>
            </w:r>
          </w:p>
        </w:tc>
        <w:tc>
          <w:tcPr>
            <w:tcW w:w="240" w:type="dxa"/>
            <w:vAlign w:val="bottom"/>
            <w:tcBorders>
              <w:bottom w:val="single" w:sz="8" w:color="CFF0FC"/>
            </w:tcBorders>
            <w:gridSpan w:val="2"/>
            <w:shd w:val="clear" w:color="auto" w:fill="CFF0FC"/>
          </w:tcPr>
          <w:p>
            <w:pPr>
              <w:jc w:val="right"/>
              <w:spacing w:after="0"/>
              <w:rPr>
                <w:sz w:val="20"/>
                <w:szCs w:val="20"/>
                <w:color w:val="auto"/>
              </w:rPr>
            </w:pPr>
            <w:r>
              <w:rPr>
                <w:rFonts w:ascii="Calibri" w:cs="Calibri" w:eastAsia="Calibri" w:hAnsi="Calibri"/>
                <w:sz w:val="13"/>
                <w:szCs w:val="13"/>
                <w:color w:val="auto"/>
              </w:rPr>
              <w:t>$</w:t>
            </w:r>
          </w:p>
        </w:tc>
        <w:tc>
          <w:tcPr>
            <w:tcW w:w="19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3"/>
                <w:szCs w:val="13"/>
                <w:color w:val="auto"/>
              </w:rPr>
              <w:t>13,872,482</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3680" w:type="dxa"/>
            <w:vAlign w:val="bottom"/>
            <w:vMerge w:val="restart"/>
          </w:tcPr>
          <w:p>
            <w:pPr>
              <w:ind w:left="20"/>
              <w:spacing w:after="0"/>
              <w:rPr>
                <w:sz w:val="20"/>
                <w:szCs w:val="20"/>
                <w:color w:val="auto"/>
              </w:rPr>
            </w:pPr>
            <w:r>
              <w:rPr>
                <w:rFonts w:ascii="Calibri" w:cs="Calibri" w:eastAsia="Calibri" w:hAnsi="Calibri"/>
                <w:sz w:val="13"/>
                <w:szCs w:val="13"/>
                <w:b w:val="1"/>
                <w:bCs w:val="1"/>
                <w:color w:val="auto"/>
              </w:rPr>
              <w:t>Total</w:t>
            </w:r>
          </w:p>
        </w:tc>
        <w:tc>
          <w:tcPr>
            <w:tcW w:w="1720" w:type="dxa"/>
            <w:vAlign w:val="bottom"/>
          </w:tcPr>
          <w:p>
            <w:pPr>
              <w:jc w:val="right"/>
              <w:spacing w:after="0" w:line="151" w:lineRule="exact"/>
              <w:rPr>
                <w:sz w:val="20"/>
                <w:szCs w:val="20"/>
                <w:color w:val="auto"/>
              </w:rPr>
            </w:pPr>
            <w:r>
              <w:rPr>
                <w:rFonts w:ascii="Calibri" w:cs="Calibri" w:eastAsia="Calibri" w:hAnsi="Calibri"/>
                <w:sz w:val="13"/>
                <w:szCs w:val="13"/>
                <w:b w:val="1"/>
                <w:bCs w:val="1"/>
                <w:color w:val="auto"/>
              </w:rPr>
              <w:t>609,300</w:t>
            </w:r>
          </w:p>
        </w:tc>
        <w:tc>
          <w:tcPr>
            <w:tcW w:w="220" w:type="dxa"/>
            <w:vAlign w:val="bottom"/>
            <w:gridSpan w:val="2"/>
            <w:vMerge w:val="restart"/>
          </w:tcPr>
          <w:p>
            <w:pPr>
              <w:jc w:val="right"/>
              <w:spacing w:after="0"/>
              <w:rPr>
                <w:sz w:val="20"/>
                <w:szCs w:val="20"/>
                <w:color w:val="auto"/>
              </w:rPr>
            </w:pPr>
            <w:r>
              <w:rPr>
                <w:rFonts w:ascii="Calibri" w:cs="Calibri" w:eastAsia="Calibri" w:hAnsi="Calibri"/>
                <w:sz w:val="13"/>
                <w:szCs w:val="13"/>
                <w:b w:val="1"/>
                <w:bCs w:val="1"/>
                <w:color w:val="auto"/>
              </w:rPr>
              <w:t>$</w:t>
            </w:r>
          </w:p>
        </w:tc>
        <w:tc>
          <w:tcPr>
            <w:tcW w:w="1080" w:type="dxa"/>
            <w:vAlign w:val="bottom"/>
            <w:vMerge w:val="restart"/>
          </w:tcPr>
          <w:p>
            <w:pPr>
              <w:jc w:val="right"/>
              <w:spacing w:after="0"/>
              <w:rPr>
                <w:sz w:val="20"/>
                <w:szCs w:val="20"/>
                <w:color w:val="auto"/>
              </w:rPr>
            </w:pPr>
            <w:r>
              <w:rPr>
                <w:rFonts w:ascii="Calibri" w:cs="Calibri" w:eastAsia="Calibri" w:hAnsi="Calibri"/>
                <w:sz w:val="13"/>
                <w:szCs w:val="13"/>
                <w:b w:val="1"/>
                <w:bCs w:val="1"/>
                <w:color w:val="auto"/>
              </w:rPr>
              <w:t>10.15</w:t>
            </w:r>
          </w:p>
        </w:tc>
        <w:tc>
          <w:tcPr>
            <w:tcW w:w="2280" w:type="dxa"/>
            <w:vAlign w:val="bottom"/>
            <w:gridSpan w:val="2"/>
          </w:tcPr>
          <w:p>
            <w:pPr>
              <w:jc w:val="right"/>
              <w:spacing w:after="0" w:line="151" w:lineRule="exact"/>
              <w:rPr>
                <w:sz w:val="20"/>
                <w:szCs w:val="20"/>
                <w:color w:val="auto"/>
              </w:rPr>
            </w:pPr>
            <w:r>
              <w:rPr>
                <w:rFonts w:ascii="Calibri" w:cs="Calibri" w:eastAsia="Calibri" w:hAnsi="Calibri"/>
                <w:sz w:val="13"/>
                <w:szCs w:val="13"/>
                <w:b w:val="1"/>
                <w:bCs w:val="1"/>
                <w:color w:val="auto"/>
              </w:rPr>
              <w:t>609,300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3680" w:type="dxa"/>
            <w:vAlign w:val="bottom"/>
            <w:vMerge w:val="continue"/>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20" w:type="dxa"/>
            <w:vAlign w:val="bottom"/>
            <w:gridSpan w:val="2"/>
            <w:vMerge w:val="continue"/>
          </w:tcPr>
          <w:p>
            <w:pPr>
              <w:spacing w:after="0"/>
              <w:rPr>
                <w:sz w:val="2"/>
                <w:szCs w:val="2"/>
                <w:color w:val="auto"/>
              </w:rPr>
            </w:pPr>
          </w:p>
        </w:tc>
        <w:tc>
          <w:tcPr>
            <w:tcW w:w="108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-144780</wp:posOffset>
            </wp:positionV>
            <wp:extent cx="7747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-144780</wp:posOffset>
            </wp:positionV>
            <wp:extent cx="6858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520" w:hanging="512"/>
        <w:spacing w:after="0" w:line="254"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12, 2022, we announced that our Board of Directors authorized a program to repurchase outstanding shares of our Class A and Class B common stock as of the date of authorization, not to exceed $20 million (the "Stock Repurchase Program"). Upon completion of purchases under the prior authorization, on December 27, 2022, we announced that our Board of Directors authorized an additional $20 million for repurchases under the Stock Repurchase Program. On February 27, 2024 the Board of Directors authorized an additional $40 million for repurchases under the Stock Repurchase Program, and on August 6, 2024, the Board of Directors authorized an additional $12 million for repurchases under the Stock Repurchase Program. The authorization provides us the flexibility to repurchase shares in the open market, in block trades, in accordance with Rule 10b5-1 trading plans, and/or through other legally permissible means, in privately negotiated transactions, from time to time, based on market conditions and other factors. The Stock Repurchase Program does not obligate P10 to acquire any particular amount of common stock and it may be terminated or amended by the Board of Directors at any time.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Neither the Company nor any of our officers or directors adopted or terminated a Rule 10b5-1 or non-Rule 10b5-1 trading arrangement as defined by Item 408(a) and Item 408(d) of Regulation S-K during the last fiscal quarter.</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2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880" w:type="dxa"/>
            <w:vAlign w:val="bottom"/>
            <w:gridSpan w:val="6"/>
          </w:tcPr>
          <w:p>
            <w:pPr>
              <w:ind w:left="36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225"/>
        </w:trPr>
        <w:tc>
          <w:tcPr>
            <w:tcW w:w="9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57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r>
      <w:tr>
        <w:trPr>
          <w:trHeight w:val="43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4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rPr>
            </w:pPr>
            <w:hyperlink r:id="rId427">
              <w:r>
                <w:rPr>
                  <w:rFonts w:ascii="Times New Roman" w:cs="Times New Roman" w:eastAsia="Times New Roman" w:hAnsi="Times New Roman"/>
                  <w:sz w:val="18"/>
                  <w:szCs w:val="18"/>
                  <w:color w:val="0000FF"/>
                </w:rPr>
                <w:t>Restatement Agreement, dated as of August 1, 2024, attaching the Amended and Restated Credit Agreement, dated as of such date, among</w:t>
              </w:r>
            </w:hyperlink>
          </w:p>
        </w:tc>
        <w:tc>
          <w:tcPr>
            <w:tcW w:w="160" w:type="dxa"/>
            <w:vAlign w:val="bottom"/>
            <w:gridSpan w:val="4"/>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4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rPr>
            </w:pPr>
            <w:hyperlink r:id="rId427">
              <w:r>
                <w:rPr>
                  <w:rFonts w:ascii="Times New Roman" w:cs="Times New Roman" w:eastAsia="Times New Roman" w:hAnsi="Times New Roman"/>
                  <w:sz w:val="18"/>
                  <w:szCs w:val="18"/>
                  <w:color w:val="0000FF"/>
                </w:rPr>
                <w:t>P10, Inc., P10 Intermediate Holdings LLC, the other guarantors party thereto, the lenders party thereto, and JPMorgan Chase Bank, N.A., as</w:t>
              </w:r>
            </w:hyperlink>
          </w:p>
        </w:tc>
        <w:tc>
          <w:tcPr>
            <w:tcW w:w="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6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427">
              <w:r>
                <w:rPr>
                  <w:rFonts w:ascii="Times New Roman" w:cs="Times New Roman" w:eastAsia="Times New Roman" w:hAnsi="Times New Roman"/>
                  <w:sz w:val="18"/>
                  <w:szCs w:val="18"/>
                  <w:color w:val="0000FF"/>
                  <w:w w:val="99"/>
                </w:rPr>
                <w:t>administrative agent and collateral agent.</w:t>
              </w:r>
            </w:hyperlink>
          </w:p>
        </w:tc>
        <w:tc>
          <w:tcPr>
            <w:tcW w:w="7240" w:type="dxa"/>
            <w:vAlign w:val="bottom"/>
            <w:gridSpan w:val="7"/>
          </w:tcPr>
          <w:p>
            <w:pPr>
              <w:spacing w:after="0"/>
              <w:rPr>
                <w:sz w:val="17"/>
                <w:szCs w:val="17"/>
                <w:color w:val="auto"/>
              </w:rPr>
            </w:pPr>
          </w:p>
        </w:tc>
      </w:tr>
      <w:tr>
        <w:trPr>
          <w:trHeight w:val="37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rPr>
            </w:pPr>
            <w:hyperlink r:id="rId428">
              <w:r>
                <w:rPr>
                  <w:rFonts w:ascii="Times New Roman" w:cs="Times New Roman" w:eastAsia="Times New Roman" w:hAnsi="Times New Roman"/>
                  <w:sz w:val="18"/>
                  <w:szCs w:val="18"/>
                  <w:color w:val="0000FF"/>
                </w:rPr>
                <w:t>Certification of Chief Executive Officer Pursuant to Rules 13a-14(a) and 15d-14(a) under the Securities Exchange Act of 1934, as Adopted</w:t>
              </w:r>
            </w:hyperlink>
          </w:p>
        </w:tc>
        <w:tc>
          <w:tcPr>
            <w:tcW w:w="140" w:type="dxa"/>
            <w:vAlign w:val="bottom"/>
            <w:gridSpan w:val="3"/>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2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428">
              <w:r>
                <w:rPr>
                  <w:rFonts w:ascii="Times New Roman" w:cs="Times New Roman" w:eastAsia="Times New Roman" w:hAnsi="Times New Roman"/>
                  <w:sz w:val="18"/>
                  <w:szCs w:val="18"/>
                  <w:color w:val="0000FF"/>
                  <w:w w:val="99"/>
                </w:rPr>
                <w:t>Pursuant to Section 302 of the Sarbanes-Oxley Act of 2002.</w:t>
              </w:r>
            </w:hyperlink>
          </w:p>
        </w:tc>
        <w:tc>
          <w:tcPr>
            <w:tcW w:w="5880" w:type="dxa"/>
            <w:vAlign w:val="bottom"/>
            <w:gridSpan w:val="6"/>
          </w:tcPr>
          <w:p>
            <w:pPr>
              <w:spacing w:after="0"/>
              <w:rPr>
                <w:sz w:val="17"/>
                <w:szCs w:val="17"/>
                <w:color w:val="auto"/>
              </w:rPr>
            </w:pPr>
          </w:p>
        </w:tc>
      </w:tr>
      <w:tr>
        <w:trPr>
          <w:trHeight w:val="37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rPr>
            </w:pPr>
            <w:hyperlink r:id="rId429">
              <w:r>
                <w:rPr>
                  <w:rFonts w:ascii="Times New Roman" w:cs="Times New Roman" w:eastAsia="Times New Roman" w:hAnsi="Times New Roman"/>
                  <w:sz w:val="18"/>
                  <w:szCs w:val="18"/>
                  <w:color w:val="0000FF"/>
                </w:rPr>
                <w:t>Certification of Chief Financial Officer Pursuant to Rules 13a-14(a) and 15d-14(a) under the Securities Exchange Act of 1934, as Adopted</w:t>
              </w:r>
            </w:hyperlink>
          </w:p>
        </w:tc>
        <w:tc>
          <w:tcPr>
            <w:tcW w:w="180" w:type="dxa"/>
            <w:vAlign w:val="bottom"/>
            <w:gridSpan w:val="5"/>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2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429">
              <w:r>
                <w:rPr>
                  <w:rFonts w:ascii="Times New Roman" w:cs="Times New Roman" w:eastAsia="Times New Roman" w:hAnsi="Times New Roman"/>
                  <w:sz w:val="18"/>
                  <w:szCs w:val="18"/>
                  <w:color w:val="0000FF"/>
                  <w:w w:val="99"/>
                </w:rPr>
                <w:t>Pursuant to Section 302 of the Sarbanes-Oxley Act of 2002.</w:t>
              </w:r>
            </w:hyperlink>
          </w:p>
        </w:tc>
        <w:tc>
          <w:tcPr>
            <w:tcW w:w="5880" w:type="dxa"/>
            <w:vAlign w:val="bottom"/>
            <w:gridSpan w:val="6"/>
          </w:tcPr>
          <w:p>
            <w:pPr>
              <w:spacing w:after="0"/>
              <w:rPr>
                <w:sz w:val="17"/>
                <w:szCs w:val="17"/>
                <w:color w:val="auto"/>
              </w:rPr>
            </w:pPr>
          </w:p>
        </w:tc>
      </w:tr>
      <w:tr>
        <w:trPr>
          <w:trHeight w:val="37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rPr>
            </w:pPr>
            <w:hyperlink r:id="rId430">
              <w:r>
                <w:rPr>
                  <w:rFonts w:ascii="Times New Roman" w:cs="Times New Roman" w:eastAsia="Times New Roman" w:hAnsi="Times New Roman"/>
                  <w:sz w:val="18"/>
                  <w:szCs w:val="18"/>
                  <w:color w:val="0000FF"/>
                </w:rPr>
                <w:t>Certification of Chief Executive Officer Pursuant to 18 U.S.C. Section 1350, as Adopted Pursuant to Section 906 of the Sarbanes-Oxley Act</w:t>
              </w:r>
            </w:hyperlink>
          </w:p>
        </w:tc>
        <w:tc>
          <w:tcPr>
            <w:tcW w:w="6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6"/>
              </w:rPr>
            </w:pPr>
            <w:hyperlink r:id="rId430">
              <w:r>
                <w:rPr>
                  <w:rFonts w:ascii="Times New Roman" w:cs="Times New Roman" w:eastAsia="Times New Roman" w:hAnsi="Times New Roman"/>
                  <w:sz w:val="18"/>
                  <w:szCs w:val="18"/>
                  <w:color w:val="0000FF"/>
                  <w:w w:val="96"/>
                </w:rPr>
                <w:t>of 2002.</w:t>
              </w:r>
            </w:hyperlink>
          </w:p>
        </w:tc>
        <w:tc>
          <w:tcPr>
            <w:tcW w:w="9600" w:type="dxa"/>
            <w:vAlign w:val="bottom"/>
            <w:gridSpan w:val="8"/>
          </w:tcPr>
          <w:p>
            <w:pPr>
              <w:spacing w:after="0"/>
              <w:rPr>
                <w:sz w:val="17"/>
                <w:szCs w:val="17"/>
                <w:color w:val="auto"/>
              </w:rPr>
            </w:pPr>
          </w:p>
        </w:tc>
      </w:tr>
      <w:tr>
        <w:trPr>
          <w:trHeight w:val="371"/>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rPr>
            </w:pPr>
            <w:hyperlink r:id="rId431">
              <w:r>
                <w:rPr>
                  <w:rFonts w:ascii="Times New Roman" w:cs="Times New Roman" w:eastAsia="Times New Roman" w:hAnsi="Times New Roman"/>
                  <w:sz w:val="18"/>
                  <w:szCs w:val="18"/>
                  <w:color w:val="0000FF"/>
                </w:rPr>
                <w:t>Certification of Chief Financial Officer Pursuant to 18 U.S.C. Section 1350, as Adopted Pursuant to Section 906 of the Sarbanes-Oxley Act</w:t>
              </w:r>
            </w:hyperlink>
          </w:p>
        </w:tc>
        <w:tc>
          <w:tcPr>
            <w:tcW w:w="120" w:type="dxa"/>
            <w:vAlign w:val="bottom"/>
            <w:gridSpan w:val="2"/>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6"/>
              </w:rPr>
            </w:pPr>
            <w:hyperlink r:id="rId431">
              <w:r>
                <w:rPr>
                  <w:rFonts w:ascii="Times New Roman" w:cs="Times New Roman" w:eastAsia="Times New Roman" w:hAnsi="Times New Roman"/>
                  <w:sz w:val="18"/>
                  <w:szCs w:val="18"/>
                  <w:color w:val="0000FF"/>
                  <w:w w:val="96"/>
                </w:rPr>
                <w:t>of 2002.</w:t>
              </w:r>
            </w:hyperlink>
          </w:p>
        </w:tc>
        <w:tc>
          <w:tcPr>
            <w:tcW w:w="9600" w:type="dxa"/>
            <w:vAlign w:val="bottom"/>
            <w:gridSpan w:val="8"/>
          </w:tcPr>
          <w:p>
            <w:pPr>
              <w:spacing w:after="0"/>
              <w:rPr>
                <w:sz w:val="17"/>
                <w:szCs w:val="17"/>
                <w:color w:val="auto"/>
              </w:rPr>
            </w:pPr>
          </w:p>
        </w:tc>
      </w:tr>
      <w:tr>
        <w:trPr>
          <w:trHeight w:val="41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39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bl>
    <w:p>
      <w:pPr>
        <w:spacing w:after="0" w:line="157" w:lineRule="exact"/>
        <w:rPr>
          <w:sz w:val="20"/>
          <w:szCs w:val="20"/>
          <w:color w:val="auto"/>
        </w:rPr>
      </w:pPr>
    </w:p>
    <w:p>
      <w:pPr>
        <w:ind w:left="1040" w:hanging="1019"/>
        <w:spacing w:after="0"/>
        <w:tabs>
          <w:tab w:leader="none" w:pos="10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5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3" w:name="page54"/>
    <w:bookmarkEnd w:id="5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9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P10, Inc.</w:t>
      </w:r>
    </w:p>
    <w:p>
      <w:pPr>
        <w:spacing w:after="0" w:line="252" w:lineRule="exact"/>
        <w:rPr>
          <w:sz w:val="20"/>
          <w:szCs w:val="20"/>
          <w:color w:val="auto"/>
        </w:rPr>
      </w:pPr>
    </w:p>
    <w:p>
      <w:pPr>
        <w:ind w:left="20"/>
        <w:spacing w:after="0"/>
        <w:tabs>
          <w:tab w:leader="none" w:pos="5680" w:val="left"/>
          <w:tab w:leader="none" w:pos="7820" w:val="left"/>
        </w:tabs>
        <w:rPr>
          <w:sz w:val="20"/>
          <w:szCs w:val="20"/>
          <w:color w:val="auto"/>
        </w:rPr>
      </w:pPr>
      <w:r>
        <w:rPr>
          <w:rFonts w:ascii="Times New Roman" w:cs="Times New Roman" w:eastAsia="Times New Roman" w:hAnsi="Times New Roman"/>
          <w:sz w:val="18"/>
          <w:szCs w:val="18"/>
          <w:color w:val="auto"/>
        </w:rPr>
        <w:t>Date: November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Luke A. Sarsfield III</w:t>
      </w:r>
    </w:p>
    <w:p>
      <w:pPr>
        <w:spacing w:after="0" w:line="32"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b w:val="1"/>
          <w:bCs w:val="1"/>
          <w:color w:val="auto"/>
        </w:rPr>
        <w:t>Luke A. Sarsfield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-125095</wp:posOffset>
            </wp:positionV>
            <wp:extent cx="3240405"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4">
                      <a:extLst>
                        <a:ext uri="{28A0092B-C50C-407E-A947-70E740481C1C}"/>
                      </a:extLst>
                    </a:blip>
                    <a:srcRect/>
                    <a:stretch>
                      <a:fillRect/>
                    </a:stretch>
                  </pic:blipFill>
                  <pic:spPr bwMode="auto">
                    <a:xfrm>
                      <a:off x="0" y="0"/>
                      <a:ext cx="3240405" cy="8890"/>
                    </a:xfrm>
                    <a:prstGeom prst="rect">
                      <a:avLst/>
                    </a:prstGeom>
                    <a:noFill/>
                  </pic:spPr>
                </pic:pic>
              </a:graphicData>
            </a:graphic>
          </wp:anchor>
        </w:drawing>
      </w:r>
    </w:p>
    <w:p>
      <w:pPr>
        <w:spacing w:after="0" w:line="11"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Chief Executive Officer and Director (Principal Executive</w:t>
      </w:r>
    </w:p>
    <w:p>
      <w:pPr>
        <w:spacing w:after="0" w:line="23"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8"/>
          <w:szCs w:val="18"/>
          <w:b w:val="1"/>
          <w:bCs w:val="1"/>
          <w:color w:val="auto"/>
        </w:rPr>
        <w:t>Officer)</w:t>
      </w:r>
    </w:p>
    <w:p>
      <w:pPr>
        <w:spacing w:after="0" w:line="234" w:lineRule="exact"/>
        <w:rPr>
          <w:sz w:val="20"/>
          <w:szCs w:val="20"/>
          <w:color w:val="auto"/>
        </w:rPr>
      </w:pPr>
    </w:p>
    <w:p>
      <w:pPr>
        <w:ind w:left="20"/>
        <w:spacing w:after="0"/>
        <w:tabs>
          <w:tab w:leader="none" w:pos="5680" w:val="left"/>
          <w:tab w:leader="none" w:pos="7900" w:val="left"/>
        </w:tabs>
        <w:rPr>
          <w:sz w:val="20"/>
          <w:szCs w:val="20"/>
          <w:color w:val="auto"/>
        </w:rPr>
      </w:pPr>
      <w:r>
        <w:rPr>
          <w:rFonts w:ascii="Times New Roman" w:cs="Times New Roman" w:eastAsia="Times New Roman" w:hAnsi="Times New Roman"/>
          <w:sz w:val="18"/>
          <w:szCs w:val="18"/>
          <w:color w:val="auto"/>
        </w:rPr>
        <w:t>Date: November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Amanda Coussens</w:t>
      </w:r>
    </w:p>
    <w:p>
      <w:pPr>
        <w:spacing w:after="0" w:line="32"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8"/>
          <w:szCs w:val="18"/>
          <w:b w:val="1"/>
          <w:bCs w:val="1"/>
          <w:color w:val="auto"/>
        </w:rPr>
        <w:t>Amanda Coussens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-125095</wp:posOffset>
            </wp:positionV>
            <wp:extent cx="324040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5">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Chief Financial Officer (Principal Financial Officer and Principal</w:t>
      </w:r>
    </w:p>
    <w:p>
      <w:pPr>
        <w:spacing w:after="0" w:line="23"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b w:val="1"/>
          <w:bCs w:val="1"/>
          <w:color w:val="auto"/>
        </w:rPr>
        <w:t>Accounting Officer)</w:t>
      </w:r>
    </w:p>
    <w:p>
      <w:pPr>
        <w:spacing w:after="0" w:line="3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5, 2024</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P10, Inc.</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1141" w:right="339" w:bottom="1440" w:gutter="0" w:footer="0" w:header="0"/>
        </w:sectPr>
      </w:pPr>
    </w:p>
    <w:p>
      <w:pPr>
        <w:spacing w:after="0" w:line="215"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001-40937</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87-2908160</w:t>
      </w:r>
    </w:p>
    <w:p>
      <w:pPr>
        <w:spacing w:after="0" w:line="52" w:lineRule="exact"/>
        <w:rPr>
          <w:sz w:val="20"/>
          <w:szCs w:val="20"/>
          <w:color w:val="auto"/>
        </w:rPr>
      </w:pPr>
    </w:p>
    <w:p>
      <w:pPr>
        <w:sectPr>
          <w:pgSz w:w="11900" w:h="16838" w:orient="portrait"/>
          <w:cols w:equalWidth="0" w:num="3">
            <w:col w:w="5260" w:space="720"/>
            <w:col w:w="2360" w:space="720"/>
            <w:col w:w="2180"/>
          </w:cols>
          <w:pgMar w:left="320" w:top="1141" w:right="339" w:bottom="1440" w:gutter="0" w:footer="0" w:header="0"/>
          <w:type w:val="continuous"/>
        </w:sectPr>
      </w:pPr>
    </w:p>
    <w:p>
      <w:pPr>
        <w:jc w:val="center"/>
        <w:ind w:right="14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2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0"/>
          <w:szCs w:val="20"/>
          <w:color w:val="auto"/>
        </w:rPr>
      </w:pPr>
      <w:r>
        <w:rPr>
          <w:sz w:val="20"/>
          <w:szCs w:val="20"/>
          <w:color w:val="auto"/>
        </w:rPr>
        <w:br w:type="column"/>
      </w:r>
    </w:p>
    <w:p>
      <w:pPr>
        <w:jc w:val="center"/>
        <w:ind w:right="1080"/>
        <w:spacing w:after="0"/>
        <w:rPr>
          <w:sz w:val="20"/>
          <w:szCs w:val="20"/>
          <w:color w:val="auto"/>
        </w:rPr>
      </w:pPr>
      <w:r>
        <w:rPr>
          <w:rFonts w:ascii="Times New Roman" w:cs="Times New Roman" w:eastAsia="Times New Roman" w:hAnsi="Times New Roman"/>
          <w:sz w:val="18"/>
          <w:szCs w:val="18"/>
          <w:color w:val="auto"/>
        </w:rPr>
        <w:t>(IRS Employer</w:t>
      </w:r>
    </w:p>
    <w:p>
      <w:pPr>
        <w:spacing w:after="0" w:line="27"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0"/>
          <w:szCs w:val="20"/>
          <w:color w:val="auto"/>
        </w:rPr>
      </w:pPr>
    </w:p>
    <w:p>
      <w:pPr>
        <w:sectPr>
          <w:pgSz w:w="11900" w:h="16838" w:orient="portrait"/>
          <w:cols w:equalWidth="0" w:num="3">
            <w:col w:w="5160" w:space="720"/>
            <w:col w:w="2220" w:space="720"/>
            <w:col w:w="2420"/>
          </w:cols>
          <w:pgMar w:left="320" w:top="1141" w:right="339" w:bottom="1440" w:gutter="0" w:footer="0" w:header="0"/>
          <w:type w:val="continuous"/>
        </w:sectPr>
      </w:pP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4514 Cole Avenue, Suite 1600, Dallas, Texas 75205</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(214) 865-7998</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ectPr>
          <w:pgSz w:w="11900" w:h="16838" w:orient="portrait"/>
          <w:cols w:equalWidth="0" w:num="1">
            <w:col w:w="11240"/>
          </w:cols>
          <w:pgMar w:left="320" w:top="1141" w:right="339" w:bottom="1440" w:gutter="0" w:footer="0" w:header="0"/>
          <w:type w:val="continuous"/>
        </w:sect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75" w:lineRule="exact"/>
        <w:rPr>
          <w:sz w:val="20"/>
          <w:szCs w:val="20"/>
          <w:color w:val="auto"/>
        </w:rPr>
      </w:pPr>
    </w:p>
    <w:p>
      <w:pPr>
        <w:ind w:left="260" w:hanging="239"/>
        <w:spacing w:after="0"/>
        <w:tabs>
          <w:tab w:leader="none" w:pos="260" w:val="left"/>
        </w:tabs>
        <w:numPr>
          <w:ilvl w:val="0"/>
          <w:numId w:val="15"/>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Wingdings" w:cs="Wingdings" w:eastAsia="Wingdings" w:hAnsi="Wingdings"/>
          <w:sz w:val="18"/>
          <w:szCs w:val="18"/>
          <w:b w:val="1"/>
          <w:bCs w:val="1"/>
          <w:color w:val="auto"/>
        </w:rPr>
      </w:pPr>
    </w:p>
    <w:p>
      <w:pPr>
        <w:ind w:left="260" w:hanging="239"/>
        <w:spacing w:after="0"/>
        <w:tabs>
          <w:tab w:leader="none" w:pos="260" w:val="left"/>
        </w:tabs>
        <w:numPr>
          <w:ilvl w:val="0"/>
          <w:numId w:val="15"/>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sz w:val="20"/>
          <w:szCs w:val="20"/>
          <w:color w:val="auto"/>
        </w:rPr>
      </w:pPr>
    </w:p>
    <w:p>
      <w:pPr>
        <w:ind w:left="20"/>
        <w:spacing w:after="0"/>
        <w:rPr>
          <w:sz w:val="20"/>
          <w:szCs w:val="20"/>
          <w:color w:val="auto"/>
        </w:rPr>
      </w:pP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sz w:val="20"/>
          <w:szCs w:val="20"/>
          <w:color w:val="auto"/>
        </w:rPr>
      </w:pPr>
    </w:p>
    <w:p>
      <w:pPr>
        <w:ind w:left="20"/>
        <w:spacing w:after="0"/>
        <w:rPr>
          <w:sz w:val="20"/>
          <w:szCs w:val="20"/>
          <w:color w:val="auto"/>
        </w:rPr>
      </w:pP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or to be registered pursuant to Section 12(b) of the Act:</w:t>
            </w:r>
          </w:p>
        </w:tc>
        <w:tc>
          <w:tcPr>
            <w:tcW w:w="1560" w:type="dxa"/>
            <w:vAlign w:val="bottom"/>
          </w:tcPr>
          <w:p>
            <w:pPr>
              <w:spacing w:after="0"/>
              <w:rPr>
                <w:sz w:val="20"/>
                <w:szCs w:val="20"/>
                <w:color w:val="auto"/>
              </w:rPr>
            </w:pPr>
          </w:p>
        </w:tc>
        <w:tc>
          <w:tcPr>
            <w:tcW w:w="3640" w:type="dxa"/>
            <w:vAlign w:val="bottom"/>
          </w:tcPr>
          <w:p>
            <w:pPr>
              <w:spacing w:after="0"/>
              <w:rPr>
                <w:sz w:val="20"/>
                <w:szCs w:val="20"/>
                <w:color w:val="auto"/>
              </w:rPr>
            </w:pPr>
          </w:p>
        </w:tc>
      </w:tr>
      <w:tr>
        <w:trPr>
          <w:trHeight w:val="427"/>
        </w:trPr>
        <w:tc>
          <w:tcPr>
            <w:tcW w:w="604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Trading</w:t>
            </w:r>
          </w:p>
        </w:tc>
        <w:tc>
          <w:tcPr>
            <w:tcW w:w="36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Name of each exchange on which</w:t>
            </w:r>
          </w:p>
        </w:tc>
      </w:tr>
      <w:tr>
        <w:trPr>
          <w:trHeight w:val="241"/>
        </w:trPr>
        <w:tc>
          <w:tcPr>
            <w:tcW w:w="6040" w:type="dxa"/>
            <w:vAlign w:val="bottom"/>
            <w:tcBorders>
              <w:bottom w:val="single" w:sz="8" w:color="auto"/>
            </w:tcBorders>
          </w:tcPr>
          <w:p>
            <w:pPr>
              <w:ind w:left="2480"/>
              <w:spacing w:after="0"/>
              <w:rPr>
                <w:sz w:val="20"/>
                <w:szCs w:val="20"/>
                <w:color w:val="auto"/>
              </w:rPr>
            </w:pPr>
            <w:r>
              <w:rPr>
                <w:rFonts w:ascii="Times New Roman" w:cs="Times New Roman" w:eastAsia="Times New Roman" w:hAnsi="Times New Roman"/>
                <w:sz w:val="18"/>
                <w:szCs w:val="18"/>
                <w:color w:val="auto"/>
              </w:rPr>
              <w:t>Title of Each Class</w:t>
            </w: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Symbol</w:t>
            </w:r>
          </w:p>
        </w:tc>
        <w:tc>
          <w:tcPr>
            <w:tcW w:w="36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rPr>
              <w:t>registered</w:t>
            </w:r>
          </w:p>
        </w:tc>
      </w:tr>
      <w:tr>
        <w:trPr>
          <w:trHeight w:val="238"/>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Class A Common Stock, $0.001 par value per share</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PX</w:t>
            </w:r>
          </w:p>
        </w:tc>
        <w:tc>
          <w:tcPr>
            <w:tcW w:w="36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200" w:lineRule="exact"/>
        <w:rPr>
          <w:sz w:val="20"/>
          <w:szCs w:val="20"/>
          <w:color w:val="auto"/>
        </w:rPr>
      </w:pPr>
    </w:p>
    <w:p>
      <w:pPr>
        <w:spacing w:after="0" w:line="21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8980"/>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w:t>
      </w:r>
    </w:p>
    <w:p>
      <w:pPr>
        <w:spacing w:after="0" w:line="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1" w:right="339" w:bottom="1440" w:gutter="0" w:footer="0" w:header="0"/>
          <w:type w:val="continuous"/>
        </w:sectPr>
      </w:pPr>
    </w:p>
    <w:bookmarkStart w:id="55" w:name="page56"/>
    <w:bookmarkEnd w:id="55"/>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56"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On November 7, 2024, the Company issued a press release announcing its financial results for the third quarter ended September 30, 2024. A copy of the press release is attached hereto as Exhibit 99.1 and is incorporated herein by reference.</w:t>
      </w:r>
    </w:p>
    <w:p>
      <w:pPr>
        <w:spacing w:after="0" w:line="18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The information disclosed under this Item 2.02, including Exhibit 99.1, is being furnished and shall not be deemed “filed” for purposes of Section 18 of the Securities Exchange Act of 1934, as amended (the “Exchange Act”) or otherwise subject to the liability of that section, and shall not be deemed to be incorporated by reference into any Company filing made under the Securities Act of 1933, as amended (the “Securities Act”), except as expressly set forth by specific reference in such filing.</w:t>
      </w:r>
    </w:p>
    <w:p>
      <w:pPr>
        <w:spacing w:after="0" w:line="203"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 w:lineRule="exact"/>
        <w:rPr>
          <w:sz w:val="20"/>
          <w:szCs w:val="20"/>
          <w:color w:val="auto"/>
        </w:rPr>
      </w:pPr>
    </w:p>
    <w:p>
      <w:pPr>
        <w:ind w:right="20" w:firstLine="849"/>
        <w:spacing w:after="0" w:line="250" w:lineRule="auto"/>
        <w:rPr>
          <w:sz w:val="20"/>
          <w:szCs w:val="20"/>
          <w:color w:val="auto"/>
        </w:rPr>
      </w:pPr>
      <w:r>
        <w:rPr>
          <w:rFonts w:ascii="Times New Roman" w:cs="Times New Roman" w:eastAsia="Times New Roman" w:hAnsi="Times New Roman"/>
          <w:sz w:val="18"/>
          <w:szCs w:val="18"/>
          <w:color w:val="auto"/>
        </w:rPr>
        <w:t>On November 5, 2024, upon the recommendation of the Compensation Committee of the Board of Directors of the Company, the Company and P10 Intermediate Holdings, LLC, a Delaware corporation, entered into an amended and restated employment agreement (the “Amended and Restated Employment Agreement”) with Luke A. Sarsfield III, the Chairman and Chief Executive Officer.</w:t>
      </w:r>
    </w:p>
    <w:p>
      <w:pPr>
        <w:spacing w:after="0" w:line="1" w:lineRule="exact"/>
        <w:rPr>
          <w:sz w:val="20"/>
          <w:szCs w:val="20"/>
          <w:color w:val="auto"/>
        </w:rPr>
      </w:pPr>
    </w:p>
    <w:p>
      <w:pPr>
        <w:ind w:right="100" w:firstLine="849"/>
        <w:spacing w:after="0" w:line="250" w:lineRule="auto"/>
        <w:rPr>
          <w:sz w:val="20"/>
          <w:szCs w:val="20"/>
          <w:color w:val="auto"/>
        </w:rPr>
      </w:pPr>
      <w:r>
        <w:rPr>
          <w:rFonts w:ascii="Times New Roman" w:cs="Times New Roman" w:eastAsia="Times New Roman" w:hAnsi="Times New Roman"/>
          <w:sz w:val="18"/>
          <w:szCs w:val="18"/>
          <w:color w:val="auto"/>
        </w:rPr>
        <w:t>The Amended and Restated Employment Agreement makes certain changes to Mr. Sarsfield’s previous agreement, the material terms of which are disclosed in the Company’s Definitive Proxy Statement dated April 24, 2024. The changes include (a) amending the definition of Change in Control to now have the meaning set forth in the Company’s 2021 Incentive Plan as currently in effect, (b) providing that with respect to any restricted stock units held by Mr. Sarsfield, Mr. Sarsfield will be entitled to receive a cash payment of any dividend equivalents on a current basis as dividends are paid, and (c) making certain other clarifying changes to the terms of Mr. Sarsfield’s future grants of restricted stock units.</w:t>
      </w:r>
    </w:p>
    <w:p>
      <w:pPr>
        <w:spacing w:after="0" w:line="2"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8"/>
          <w:szCs w:val="18"/>
          <w:color w:val="auto"/>
        </w:rPr>
        <w:t>The foregoing summary of the agreement does not purport to be complete and is qualified in its entirety by reference to the Amended and Restated Employment Agreement, a copy of which is attached hereto as Exhibit 10.1, which agreement is incorporated herein by reference in its entirety.</w:t>
      </w:r>
    </w:p>
    <w:p>
      <w:pPr>
        <w:spacing w:after="0" w:line="20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31" w:lineRule="exact"/>
        <w:rPr>
          <w:sz w:val="20"/>
          <w:szCs w:val="20"/>
          <w:color w:val="auto"/>
        </w:rPr>
      </w:pPr>
    </w:p>
    <w:p>
      <w:pPr>
        <w:jc w:val="both"/>
        <w:ind w:right="20" w:firstLine="360"/>
        <w:spacing w:after="0" w:line="250" w:lineRule="auto"/>
        <w:rPr>
          <w:sz w:val="20"/>
          <w:szCs w:val="20"/>
          <w:color w:val="auto"/>
        </w:rPr>
      </w:pPr>
      <w:r>
        <w:rPr>
          <w:rFonts w:ascii="Times New Roman" w:cs="Times New Roman" w:eastAsia="Times New Roman" w:hAnsi="Times New Roman"/>
          <w:sz w:val="18"/>
          <w:szCs w:val="18"/>
          <w:color w:val="auto"/>
        </w:rPr>
        <w:t>On November 7, 2024, the Company posted an earnings presentation to its website. A copy of the earnings presentation is attached hereto as Exhibit 99.2 and is incorporated herein by reference.</w:t>
      </w:r>
    </w:p>
    <w:p>
      <w:pPr>
        <w:spacing w:after="0" w:line="1"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18"/>
          <w:szCs w:val="18"/>
          <w:color w:val="auto"/>
        </w:rPr>
        <w:t>The information disclosed under this Item 7.01, including Exhibit 99.2, is being furnished and shall not be deemed “filed” for purposes of Section 18 of the Exchange Act or otherwise subject to the liability of that section, and shall not be deemed incorporated by reference into any Company filing made under the Securities Act, except as expressly set forth by specific reference in such filing.</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96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740" w:type="dxa"/>
            <w:vAlign w:val="bottom"/>
          </w:tcPr>
          <w:p>
            <w:pPr>
              <w:spacing w:after="0"/>
              <w:rPr>
                <w:sz w:val="17"/>
                <w:szCs w:val="17"/>
                <w:color w:val="auto"/>
              </w:rPr>
            </w:pPr>
          </w:p>
        </w:tc>
        <w:tc>
          <w:tcPr>
            <w:tcW w:w="942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rPr>
            </w:pPr>
            <w:hyperlink r:id="rId438">
              <w:r>
                <w:rPr>
                  <w:rFonts w:ascii="Times New Roman" w:cs="Times New Roman" w:eastAsia="Times New Roman" w:hAnsi="Times New Roman"/>
                  <w:sz w:val="18"/>
                  <w:szCs w:val="18"/>
                  <w:color w:val="0000FF"/>
                </w:rPr>
                <w:t>Amended and Restated Employment Agreement, dated as of November 5, 2024, by and between P10 Intermediate Holdings, LLC</w:t>
              </w:r>
            </w:hyperlink>
          </w:p>
        </w:tc>
        <w:tc>
          <w:tcPr>
            <w:tcW w:w="2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40" w:type="dxa"/>
            <w:vAlign w:val="bottom"/>
            <w:gridSpan w:val="6"/>
          </w:tcPr>
          <w:p>
            <w:pPr>
              <w:spacing w:after="0" w:line="196" w:lineRule="exact"/>
              <w:rPr>
                <w:rFonts w:ascii="Times New Roman" w:cs="Times New Roman" w:eastAsia="Times New Roman" w:hAnsi="Times New Roman"/>
                <w:sz w:val="18"/>
                <w:szCs w:val="18"/>
                <w:color w:val="0000FF"/>
              </w:rPr>
            </w:pPr>
            <w:hyperlink r:id="rId438">
              <w:r>
                <w:rPr>
                  <w:rFonts w:ascii="Times New Roman" w:cs="Times New Roman" w:eastAsia="Times New Roman" w:hAnsi="Times New Roman"/>
                  <w:sz w:val="18"/>
                  <w:szCs w:val="18"/>
                  <w:color w:val="0000FF"/>
                </w:rPr>
                <w:t>and Luke A. Sarsfield III</w:t>
              </w:r>
            </w:hyperlink>
          </w:p>
        </w:tc>
      </w:tr>
      <w:tr>
        <w:trPr>
          <w:trHeight w:val="20"/>
        </w:trPr>
        <w:tc>
          <w:tcPr>
            <w:tcW w:w="8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760" w:type="dxa"/>
            <w:vAlign w:val="bottom"/>
            <w:gridSpan w:val="2"/>
          </w:tcPr>
          <w:p>
            <w:pPr>
              <w:spacing w:after="0" w:line="20" w:lineRule="exact"/>
              <w:rPr>
                <w:sz w:val="1"/>
                <w:szCs w:val="1"/>
                <w:color w:val="auto"/>
              </w:rPr>
            </w:pPr>
          </w:p>
        </w:tc>
      </w:tr>
      <w:tr>
        <w:trPr>
          <w:trHeight w:val="196"/>
        </w:trPr>
        <w:tc>
          <w:tcPr>
            <w:tcW w:w="8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740" w:type="dxa"/>
            <w:vAlign w:val="bottom"/>
          </w:tcPr>
          <w:p>
            <w:pPr>
              <w:spacing w:after="0"/>
              <w:rPr>
                <w:sz w:val="17"/>
                <w:szCs w:val="17"/>
                <w:color w:val="auto"/>
              </w:rPr>
            </w:pPr>
          </w:p>
        </w:tc>
        <w:tc>
          <w:tcPr>
            <w:tcW w:w="370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439">
              <w:r>
                <w:rPr>
                  <w:rFonts w:ascii="Times New Roman" w:cs="Times New Roman" w:eastAsia="Times New Roman" w:hAnsi="Times New Roman"/>
                  <w:sz w:val="18"/>
                  <w:szCs w:val="18"/>
                  <w:color w:val="0000FF"/>
                  <w:w w:val="99"/>
                </w:rPr>
                <w:t>Press Release of P10, Inc. dated November 7, 2024</w:t>
              </w:r>
            </w:hyperlink>
          </w:p>
        </w:tc>
        <w:tc>
          <w:tcPr>
            <w:tcW w:w="5940" w:type="dxa"/>
            <w:vAlign w:val="bottom"/>
            <w:gridSpan w:val="3"/>
          </w:tcPr>
          <w:p>
            <w:pPr>
              <w:spacing w:after="0"/>
              <w:rPr>
                <w:sz w:val="17"/>
                <w:szCs w:val="17"/>
                <w:color w:val="auto"/>
              </w:rPr>
            </w:pPr>
          </w:p>
        </w:tc>
      </w:tr>
      <w:tr>
        <w:trPr>
          <w:trHeight w:val="196"/>
        </w:trPr>
        <w:tc>
          <w:tcPr>
            <w:tcW w:w="8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99.2</w:t>
            </w:r>
          </w:p>
        </w:tc>
        <w:tc>
          <w:tcPr>
            <w:tcW w:w="740" w:type="dxa"/>
            <w:vAlign w:val="bottom"/>
          </w:tcPr>
          <w:p>
            <w:pPr>
              <w:spacing w:after="0"/>
              <w:rPr>
                <w:sz w:val="17"/>
                <w:szCs w:val="17"/>
                <w:color w:val="auto"/>
              </w:rPr>
            </w:pPr>
          </w:p>
        </w:tc>
        <w:tc>
          <w:tcPr>
            <w:tcW w:w="9640" w:type="dxa"/>
            <w:vAlign w:val="bottom"/>
            <w:gridSpan w:val="6"/>
          </w:tcPr>
          <w:p>
            <w:pPr>
              <w:spacing w:after="0" w:line="196" w:lineRule="exact"/>
              <w:rPr>
                <w:rFonts w:ascii="Times New Roman" w:cs="Times New Roman" w:eastAsia="Times New Roman" w:hAnsi="Times New Roman"/>
                <w:sz w:val="18"/>
                <w:szCs w:val="18"/>
                <w:color w:val="0000FF"/>
              </w:rPr>
            </w:pPr>
            <w:hyperlink r:id="rId440">
              <w:r>
                <w:rPr>
                  <w:rFonts w:ascii="Times New Roman" w:cs="Times New Roman" w:eastAsia="Times New Roman" w:hAnsi="Times New Roman"/>
                  <w:sz w:val="18"/>
                  <w:szCs w:val="18"/>
                  <w:color w:val="0000FF"/>
                </w:rPr>
                <w:t>Third Quarter 2024 Earnings Presentation, dated November 7, 2024</w:t>
              </w:r>
            </w:hyperlink>
          </w:p>
        </w:tc>
      </w:tr>
      <w:tr>
        <w:trPr>
          <w:trHeight w:val="236"/>
        </w:trPr>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740" w:type="dxa"/>
            <w:vAlign w:val="bottom"/>
          </w:tcPr>
          <w:p>
            <w:pPr>
              <w:spacing w:after="0"/>
              <w:rPr>
                <w:sz w:val="20"/>
                <w:szCs w:val="20"/>
                <w:color w:val="auto"/>
              </w:rPr>
            </w:pPr>
          </w:p>
        </w:tc>
        <w:tc>
          <w:tcPr>
            <w:tcW w:w="488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c>
          <w:tcPr>
            <w:tcW w:w="4760" w:type="dxa"/>
            <w:vAlign w:val="bottom"/>
            <w:gridSpan w:val="2"/>
          </w:tcPr>
          <w:p>
            <w:pPr>
              <w:spacing w:after="0"/>
              <w:rPr>
                <w:sz w:val="20"/>
                <w:szCs w:val="20"/>
                <w:color w:val="auto"/>
              </w:rPr>
            </w:pPr>
          </w:p>
        </w:tc>
      </w:tr>
      <w:tr>
        <w:trPr>
          <w:trHeight w:val="1627"/>
        </w:trPr>
        <w:tc>
          <w:tcPr>
            <w:tcW w:w="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45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56" w:name="page57"/>
    <w:bookmarkEnd w:id="5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P10, INC.</w:t>
      </w:r>
    </w:p>
    <w:p>
      <w:pPr>
        <w:spacing w:after="0" w:line="279" w:lineRule="exact"/>
        <w:rPr>
          <w:sz w:val="20"/>
          <w:szCs w:val="20"/>
          <w:color w:val="auto"/>
        </w:rPr>
      </w:pPr>
    </w:p>
    <w:p>
      <w:pPr>
        <w:ind w:left="20"/>
        <w:spacing w:after="0"/>
        <w:tabs>
          <w:tab w:leader="none" w:pos="7720" w:val="left"/>
        </w:tabs>
        <w:rPr>
          <w:sz w:val="20"/>
          <w:szCs w:val="20"/>
          <w:color w:val="auto"/>
        </w:rPr>
      </w:pPr>
      <w:r>
        <w:rPr>
          <w:rFonts w:ascii="Times New Roman" w:cs="Times New Roman" w:eastAsia="Times New Roman" w:hAnsi="Times New Roman"/>
          <w:sz w:val="18"/>
          <w:szCs w:val="18"/>
          <w:color w:val="auto"/>
        </w:rPr>
        <w:t>Date: November 7, 2024</w:t>
      </w:r>
      <w:r>
        <w:rPr>
          <w:sz w:val="20"/>
          <w:szCs w:val="20"/>
          <w:color w:val="auto"/>
        </w:rPr>
        <w:tab/>
      </w:r>
      <w:r>
        <w:rPr>
          <w:rFonts w:ascii="Times New Roman" w:cs="Times New Roman" w:eastAsia="Times New Roman" w:hAnsi="Times New Roman"/>
          <w:sz w:val="18"/>
          <w:szCs w:val="18"/>
          <w:color w:val="auto"/>
        </w:rPr>
        <w:t>/s/ Amanda Coussens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26035</wp:posOffset>
            </wp:positionV>
            <wp:extent cx="345440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3">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26"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8"/>
          <w:szCs w:val="18"/>
          <w:b w:val="1"/>
          <w:bCs w:val="1"/>
          <w:color w:val="auto"/>
        </w:rPr>
        <w:t>Amanda Coussens</w:t>
      </w:r>
    </w:p>
    <w:p>
      <w:pPr>
        <w:spacing w:after="0" w:line="36"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1044575</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7, 2024</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P10, Inc.</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1141" w:right="339" w:bottom="1440" w:gutter="0" w:footer="0" w:header="0"/>
        </w:sectPr>
      </w:pPr>
    </w:p>
    <w:p>
      <w:pPr>
        <w:spacing w:after="0" w:line="215"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001-40937</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87-2908160</w:t>
      </w:r>
    </w:p>
    <w:p>
      <w:pPr>
        <w:spacing w:after="0" w:line="52" w:lineRule="exact"/>
        <w:rPr>
          <w:sz w:val="20"/>
          <w:szCs w:val="20"/>
          <w:color w:val="auto"/>
        </w:rPr>
      </w:pPr>
    </w:p>
    <w:p>
      <w:pPr>
        <w:sectPr>
          <w:pgSz w:w="11900" w:h="16838" w:orient="portrait"/>
          <w:cols w:equalWidth="0" w:num="3">
            <w:col w:w="5260" w:space="720"/>
            <w:col w:w="2360" w:space="720"/>
            <w:col w:w="2180"/>
          </w:cols>
          <w:pgMar w:left="320" w:top="1141" w:right="339" w:bottom="1440" w:gutter="0" w:footer="0" w:header="0"/>
          <w:type w:val="continuous"/>
        </w:sectPr>
      </w:pPr>
    </w:p>
    <w:p>
      <w:pPr>
        <w:jc w:val="center"/>
        <w:ind w:right="14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2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0"/>
          <w:szCs w:val="20"/>
          <w:color w:val="auto"/>
        </w:rPr>
      </w:pPr>
      <w:r>
        <w:rPr>
          <w:sz w:val="20"/>
          <w:szCs w:val="20"/>
          <w:color w:val="auto"/>
        </w:rPr>
        <w:br w:type="column"/>
      </w:r>
    </w:p>
    <w:p>
      <w:pPr>
        <w:jc w:val="center"/>
        <w:ind w:right="1080"/>
        <w:spacing w:after="0"/>
        <w:rPr>
          <w:sz w:val="20"/>
          <w:szCs w:val="20"/>
          <w:color w:val="auto"/>
        </w:rPr>
      </w:pPr>
      <w:r>
        <w:rPr>
          <w:rFonts w:ascii="Times New Roman" w:cs="Times New Roman" w:eastAsia="Times New Roman" w:hAnsi="Times New Roman"/>
          <w:sz w:val="18"/>
          <w:szCs w:val="18"/>
          <w:color w:val="auto"/>
        </w:rPr>
        <w:t>(IRS Employer</w:t>
      </w:r>
    </w:p>
    <w:p>
      <w:pPr>
        <w:spacing w:after="0" w:line="27"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0"/>
          <w:szCs w:val="20"/>
          <w:color w:val="auto"/>
        </w:rPr>
      </w:pPr>
    </w:p>
    <w:p>
      <w:pPr>
        <w:sectPr>
          <w:pgSz w:w="11900" w:h="16838" w:orient="portrait"/>
          <w:cols w:equalWidth="0" w:num="3">
            <w:col w:w="5160" w:space="720"/>
            <w:col w:w="2220" w:space="720"/>
            <w:col w:w="2420"/>
          </w:cols>
          <w:pgMar w:left="320" w:top="1141" w:right="339" w:bottom="1440" w:gutter="0" w:footer="0" w:header="0"/>
          <w:type w:val="continuous"/>
        </w:sectPr>
      </w:pP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4514 Cole Avenue, Suite 1600, Dallas, Texas 75205</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(214) 865-7998</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ectPr>
          <w:pgSz w:w="11900" w:h="16838" w:orient="portrait"/>
          <w:cols w:equalWidth="0" w:num="1">
            <w:col w:w="11240"/>
          </w:cols>
          <w:pgMar w:left="320" w:top="1141" w:right="339" w:bottom="1440" w:gutter="0" w:footer="0" w:header="0"/>
          <w:type w:val="continuous"/>
        </w:sect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75" w:lineRule="exact"/>
        <w:rPr>
          <w:sz w:val="20"/>
          <w:szCs w:val="20"/>
          <w:color w:val="auto"/>
        </w:rPr>
      </w:pPr>
    </w:p>
    <w:p>
      <w:pPr>
        <w:ind w:left="260" w:hanging="239"/>
        <w:spacing w:after="0"/>
        <w:tabs>
          <w:tab w:leader="none" w:pos="260" w:val="left"/>
        </w:tabs>
        <w:numPr>
          <w:ilvl w:val="0"/>
          <w:numId w:val="16"/>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Wingdings" w:cs="Wingdings" w:eastAsia="Wingdings" w:hAnsi="Wingdings"/>
          <w:sz w:val="18"/>
          <w:szCs w:val="18"/>
          <w:b w:val="1"/>
          <w:bCs w:val="1"/>
          <w:color w:val="auto"/>
        </w:rPr>
      </w:pPr>
    </w:p>
    <w:p>
      <w:pPr>
        <w:ind w:left="260" w:hanging="239"/>
        <w:spacing w:after="0"/>
        <w:tabs>
          <w:tab w:leader="none" w:pos="260" w:val="left"/>
        </w:tabs>
        <w:numPr>
          <w:ilvl w:val="0"/>
          <w:numId w:val="16"/>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sz w:val="20"/>
          <w:szCs w:val="20"/>
          <w:color w:val="auto"/>
        </w:rPr>
      </w:pPr>
    </w:p>
    <w:p>
      <w:pPr>
        <w:ind w:left="20"/>
        <w:spacing w:after="0"/>
        <w:rPr>
          <w:sz w:val="20"/>
          <w:szCs w:val="20"/>
          <w:color w:val="auto"/>
        </w:rPr>
      </w:pP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sz w:val="20"/>
          <w:szCs w:val="20"/>
          <w:color w:val="auto"/>
        </w:rPr>
      </w:pPr>
    </w:p>
    <w:p>
      <w:pPr>
        <w:ind w:left="20"/>
        <w:spacing w:after="0"/>
        <w:rPr>
          <w:sz w:val="20"/>
          <w:szCs w:val="20"/>
          <w:color w:val="auto"/>
        </w:rPr>
      </w:pP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or to be registered pursuant to Section 12(b) of the Act:</w:t>
            </w:r>
          </w:p>
        </w:tc>
        <w:tc>
          <w:tcPr>
            <w:tcW w:w="1560" w:type="dxa"/>
            <w:vAlign w:val="bottom"/>
          </w:tcPr>
          <w:p>
            <w:pPr>
              <w:spacing w:after="0"/>
              <w:rPr>
                <w:sz w:val="20"/>
                <w:szCs w:val="20"/>
                <w:color w:val="auto"/>
              </w:rPr>
            </w:pPr>
          </w:p>
        </w:tc>
        <w:tc>
          <w:tcPr>
            <w:tcW w:w="3640" w:type="dxa"/>
            <w:vAlign w:val="bottom"/>
          </w:tcPr>
          <w:p>
            <w:pPr>
              <w:spacing w:after="0"/>
              <w:rPr>
                <w:sz w:val="20"/>
                <w:szCs w:val="20"/>
                <w:color w:val="auto"/>
              </w:rPr>
            </w:pPr>
          </w:p>
        </w:tc>
      </w:tr>
      <w:tr>
        <w:trPr>
          <w:trHeight w:val="427"/>
        </w:trPr>
        <w:tc>
          <w:tcPr>
            <w:tcW w:w="604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Trading</w:t>
            </w:r>
          </w:p>
        </w:tc>
        <w:tc>
          <w:tcPr>
            <w:tcW w:w="36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Name of each exchange on which</w:t>
            </w:r>
          </w:p>
        </w:tc>
      </w:tr>
      <w:tr>
        <w:trPr>
          <w:trHeight w:val="241"/>
        </w:trPr>
        <w:tc>
          <w:tcPr>
            <w:tcW w:w="6040" w:type="dxa"/>
            <w:vAlign w:val="bottom"/>
            <w:tcBorders>
              <w:bottom w:val="single" w:sz="8" w:color="auto"/>
            </w:tcBorders>
          </w:tcPr>
          <w:p>
            <w:pPr>
              <w:ind w:left="2480"/>
              <w:spacing w:after="0"/>
              <w:rPr>
                <w:sz w:val="20"/>
                <w:szCs w:val="20"/>
                <w:color w:val="auto"/>
              </w:rPr>
            </w:pPr>
            <w:r>
              <w:rPr>
                <w:rFonts w:ascii="Times New Roman" w:cs="Times New Roman" w:eastAsia="Times New Roman" w:hAnsi="Times New Roman"/>
                <w:sz w:val="18"/>
                <w:szCs w:val="18"/>
                <w:color w:val="auto"/>
              </w:rPr>
              <w:t>Title of Each Class</w:t>
            </w: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Symbol</w:t>
            </w:r>
          </w:p>
        </w:tc>
        <w:tc>
          <w:tcPr>
            <w:tcW w:w="36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rPr>
              <w:t>registered</w:t>
            </w:r>
          </w:p>
        </w:tc>
      </w:tr>
      <w:tr>
        <w:trPr>
          <w:trHeight w:val="238"/>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Class A Common Stock, $0.001 par value per share</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PX</w:t>
            </w:r>
          </w:p>
        </w:tc>
        <w:tc>
          <w:tcPr>
            <w:tcW w:w="36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200" w:lineRule="exact"/>
        <w:rPr>
          <w:sz w:val="20"/>
          <w:szCs w:val="20"/>
          <w:color w:val="auto"/>
        </w:rPr>
      </w:pPr>
    </w:p>
    <w:p>
      <w:pPr>
        <w:spacing w:after="0" w:line="21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8980"/>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w:t>
      </w:r>
    </w:p>
    <w:p>
      <w:pPr>
        <w:spacing w:after="0" w:line="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1" w:right="339" w:bottom="1440" w:gutter="0" w:footer="0" w:header="0"/>
          <w:type w:val="continuous"/>
        </w:sectPr>
      </w:pPr>
    </w:p>
    <w:bookmarkStart w:id="58" w:name="page59"/>
    <w:bookmarkEnd w:id="58"/>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86"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Robert Alpert and C. Clark Webb resigned from the Board of Directors of the Company, effective November 7, 2024. Their resignations were not due to any disagreement with the Company on any matter relating to the Company’s operations, policies or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993140</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59" w:name="page60"/>
    <w:bookmarkEnd w:id="5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P10, INC.</w:t>
      </w:r>
    </w:p>
    <w:p>
      <w:pPr>
        <w:spacing w:after="0" w:line="279" w:lineRule="exact"/>
        <w:rPr>
          <w:sz w:val="20"/>
          <w:szCs w:val="20"/>
          <w:color w:val="auto"/>
        </w:rPr>
      </w:pPr>
    </w:p>
    <w:p>
      <w:pPr>
        <w:ind w:left="20"/>
        <w:spacing w:after="0"/>
        <w:tabs>
          <w:tab w:leader="none" w:pos="7720" w:val="left"/>
        </w:tabs>
        <w:rPr>
          <w:sz w:val="20"/>
          <w:szCs w:val="20"/>
          <w:color w:val="auto"/>
        </w:rPr>
      </w:pPr>
      <w:r>
        <w:rPr>
          <w:rFonts w:ascii="Times New Roman" w:cs="Times New Roman" w:eastAsia="Times New Roman" w:hAnsi="Times New Roman"/>
          <w:sz w:val="18"/>
          <w:szCs w:val="18"/>
          <w:color w:val="auto"/>
        </w:rPr>
        <w:t>Date: November 7, 2024</w:t>
      </w:r>
      <w:r>
        <w:rPr>
          <w:sz w:val="20"/>
          <w:szCs w:val="20"/>
          <w:color w:val="auto"/>
        </w:rPr>
        <w:tab/>
      </w:r>
      <w:r>
        <w:rPr>
          <w:rFonts w:ascii="Times New Roman" w:cs="Times New Roman" w:eastAsia="Times New Roman" w:hAnsi="Times New Roman"/>
          <w:sz w:val="18"/>
          <w:szCs w:val="18"/>
          <w:color w:val="auto"/>
        </w:rPr>
        <w:t>/s/ Amanda Coussens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26035</wp:posOffset>
            </wp:positionV>
            <wp:extent cx="345440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7">
                      <a:extLst>
                        <a:ext uri="{28A0092B-C50C-407E-A947-70E740481C1C}"/>
                      </a:extLst>
                    </a:blip>
                    <a:srcRect/>
                    <a:stretch>
                      <a:fillRect/>
                    </a:stretch>
                  </pic:blipFill>
                  <pic:spPr bwMode="auto">
                    <a:xfrm>
                      <a:off x="0" y="0"/>
                      <a:ext cx="3454400" cy="8890"/>
                    </a:xfrm>
                    <a:prstGeom prst="rect">
                      <a:avLst/>
                    </a:prstGeom>
                    <a:noFill/>
                  </pic:spPr>
                </pic:pic>
              </a:graphicData>
            </a:graphic>
          </wp:anchor>
        </w:drawing>
      </w:r>
    </w:p>
    <w:p>
      <w:pPr>
        <w:spacing w:after="0" w:line="26"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8"/>
          <w:szCs w:val="18"/>
          <w:b w:val="1"/>
          <w:bCs w:val="1"/>
          <w:color w:val="auto"/>
        </w:rPr>
        <w:t>Amanda Coussens</w:t>
      </w:r>
    </w:p>
    <w:p>
      <w:pPr>
        <w:spacing w:after="0" w:line="36"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1044575</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654685</wp:posOffset>
            </wp:positionV>
            <wp:extent cx="713232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0">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September 16,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225425</wp:posOffset>
            </wp:positionV>
            <wp:extent cx="1423035"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P10, Inc.</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tbl>
      <w:tblPr>
        <w:tblLayout w:type="fixed"/>
        <w:tblInd w:w="1160" w:type="dxa"/>
        <w:tblCellMar>
          <w:top w:w="0" w:type="dxa"/>
          <w:left w:w="0" w:type="dxa"/>
          <w:bottom w:w="0" w:type="dxa"/>
          <w:right w:w="0" w:type="dxa"/>
        </w:tblCellMar>
      </w:tblPr>
      <w:tr>
        <w:trPr>
          <w:trHeight w:val="235"/>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001-40937</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87-2908160</w:t>
            </w:r>
          </w:p>
        </w:tc>
      </w:tr>
      <w:tr>
        <w:trPr>
          <w:trHeight w:val="14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24"/>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4514 Cole Avenue</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0"/>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Suite 1600</w:t>
            </w:r>
          </w:p>
        </w:tc>
        <w:tc>
          <w:tcPr>
            <w:tcW w:w="326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235"/>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7"/>
              </w:rPr>
              <w:t>Dallas, Texas</w:t>
            </w:r>
          </w:p>
        </w:tc>
        <w:tc>
          <w:tcPr>
            <w:tcW w:w="326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75205</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0"/>
          <w:szCs w:val="20"/>
          <w:color w:val="auto"/>
        </w:rPr>
      </w:pPr>
    </w:p>
    <w:p>
      <w:pPr>
        <w:spacing w:after="0" w:line="2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214 865-7998</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0"/>
          <w:szCs w:val="20"/>
          <w:color w:val="auto"/>
        </w:rPr>
      </w:pPr>
    </w:p>
    <w:p>
      <w:pPr>
        <w:ind w:left="820" w:hanging="372"/>
        <w:spacing w:after="0"/>
        <w:tabs>
          <w:tab w:leader="none" w:pos="820" w:val="left"/>
        </w:tabs>
        <w:numPr>
          <w:ilvl w:val="0"/>
          <w:numId w:val="1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820" w:hanging="372"/>
        <w:spacing w:after="0"/>
        <w:tabs>
          <w:tab w:leader="none" w:pos="820" w:val="left"/>
        </w:tabs>
        <w:numPr>
          <w:ilvl w:val="0"/>
          <w:numId w:val="1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820" w:hanging="372"/>
        <w:spacing w:after="0"/>
        <w:tabs>
          <w:tab w:leader="none" w:pos="820" w:val="left"/>
        </w:tabs>
        <w:numPr>
          <w:ilvl w:val="0"/>
          <w:numId w:val="1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820" w:hanging="372"/>
        <w:spacing w:after="0"/>
        <w:tabs>
          <w:tab w:leader="none" w:pos="820" w:val="left"/>
        </w:tabs>
        <w:numPr>
          <w:ilvl w:val="0"/>
          <w:numId w:val="1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45"/>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1"/>
                <w:szCs w:val="21"/>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1"/>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Class A Common Stock, $0.001 par value per share</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PX</w:t>
            </w:r>
          </w:p>
        </w:tc>
        <w:tc>
          <w:tcPr>
            <w:tcW w:w="12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r>
        <w:trPr>
          <w:trHeight w:val="216"/>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Series A Junior Participating Preferred Stock Purchase</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2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Rights</w:t>
            </w: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40" w:type="dxa"/>
            <w:vAlign w:val="bottom"/>
          </w:tcPr>
          <w:p>
            <w:pPr>
              <w:spacing w:after="0"/>
              <w:rPr>
                <w:sz w:val="20"/>
                <w:szCs w:val="20"/>
                <w:color w:val="auto"/>
              </w:rPr>
            </w:pPr>
          </w:p>
        </w:tc>
      </w:tr>
    </w:tbl>
    <w:p>
      <w:pPr>
        <w:spacing w:after="0" w:line="21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0"/>
          <w:szCs w:val="20"/>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724535</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September 16, 2024, P10 Intermediate Holdings LLC, a Delaware limited liability company (“</w:t>
      </w:r>
      <w:r>
        <w:rPr>
          <w:rFonts w:ascii="Times New Roman" w:cs="Times New Roman" w:eastAsia="Times New Roman" w:hAnsi="Times New Roman"/>
          <w:sz w:val="18"/>
          <w:szCs w:val="18"/>
          <w:b w:val="1"/>
          <w:bCs w:val="1"/>
          <w:color w:val="auto"/>
        </w:rPr>
        <w:t>Buyer</w:t>
      </w:r>
      <w:r>
        <w:rPr>
          <w:rFonts w:ascii="Times New Roman" w:cs="Times New Roman" w:eastAsia="Times New Roman" w:hAnsi="Times New Roman"/>
          <w:sz w:val="18"/>
          <w:szCs w:val="18"/>
          <w:color w:val="auto"/>
        </w:rPr>
        <w:t>”) and a subsidiary of P10, Inc., a Delaware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entered into an equity purchase agreement (the “</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with Qualitas Equity Funds SGEIC, S.A.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Qualitas Funds</w:t>
      </w:r>
      <w:r>
        <w:rPr>
          <w:rFonts w:ascii="Times New Roman" w:cs="Times New Roman" w:eastAsia="Times New Roman" w:hAnsi="Times New Roman"/>
          <w:sz w:val="18"/>
          <w:szCs w:val="18"/>
          <w:color w:val="auto"/>
        </w:rPr>
        <w:t>”), Qualitas Funds Holdco, S.L. (“</w:t>
      </w:r>
      <w:r>
        <w:rPr>
          <w:rFonts w:ascii="Times New Roman" w:cs="Times New Roman" w:eastAsia="Times New Roman" w:hAnsi="Times New Roman"/>
          <w:sz w:val="18"/>
          <w:szCs w:val="18"/>
          <w:b w:val="1"/>
          <w:bCs w:val="1"/>
          <w:color w:val="auto"/>
        </w:rPr>
        <w:t>Seller</w:t>
      </w:r>
      <w:r>
        <w:rPr>
          <w:rFonts w:ascii="Times New Roman" w:cs="Times New Roman" w:eastAsia="Times New Roman" w:hAnsi="Times New Roman"/>
          <w:sz w:val="18"/>
          <w:szCs w:val="18"/>
          <w:color w:val="auto"/>
        </w:rPr>
        <w:t>”), Sergio Garcia Huertas and Eric Todd Halverson, pursuant to which, subject to the satisfaction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waiver of specified conditions, Buyer would acquire all of the issued and outstanding equity interests of Qualitas Funds (the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w:t>
      </w:r>
    </w:p>
    <w:p>
      <w:pPr>
        <w:spacing w:after="0" w:line="9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consideration payable to complete the Transaction consists of $42,250,000 in cash and a number of shares of Class A Common Stock, par value $0.001 per share (“</w:t>
      </w:r>
      <w:r>
        <w:rPr>
          <w:rFonts w:ascii="Times New Roman" w:cs="Times New Roman" w:eastAsia="Times New Roman" w:hAnsi="Times New Roman"/>
          <w:sz w:val="18"/>
          <w:szCs w:val="18"/>
          <w:b w:val="1"/>
          <w:bCs w:val="1"/>
          <w:color w:val="auto"/>
        </w:rPr>
        <w:t>Class A Common Stock</w:t>
      </w:r>
      <w:r>
        <w:rPr>
          <w:rFonts w:ascii="Times New Roman" w:cs="Times New Roman" w:eastAsia="Times New Roman" w:hAnsi="Times New Roman"/>
          <w:sz w:val="18"/>
          <w:szCs w:val="18"/>
          <w:color w:val="auto"/>
        </w:rPr>
        <w:t>”) of the Company equal in value to $20,750,000. Of this amount of Class A Common Stock, $16,750,000 will be delivered at closing, with $4,000,000 being subject to a five-year holdback to cover certain indemnification obligations of the Seller during the holdback period. The number of shares of Class A Common Stock to be delivered was calculated based on the daily volume weighted averages of the Class A Common Stock for the 20 consecutive trading days ending on September 11, 2024 which was $10.03 per share. Based upon this share price calculation, the Company will deliver 1,669,990 shares of Class A Common Stock to the Seller on the Closing Date, and up to an additional 398,804 shares by the lapse of the holdback period, as partial consideration for the Transaction.</w:t>
      </w:r>
    </w:p>
    <w:p>
      <w:pPr>
        <w:spacing w:after="0" w:line="77"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color w:val="auto"/>
        </w:rPr>
        <w:t>Up to an additional €31,738,000 in consideration (an “</w:t>
      </w:r>
      <w:r>
        <w:rPr>
          <w:rFonts w:ascii="Times New Roman" w:cs="Times New Roman" w:eastAsia="Times New Roman" w:hAnsi="Times New Roman"/>
          <w:sz w:val="18"/>
          <w:szCs w:val="18"/>
          <w:b w:val="1"/>
          <w:bCs w:val="1"/>
          <w:color w:val="auto"/>
        </w:rPr>
        <w:t>Earn-Out Payment</w:t>
      </w:r>
      <w:r>
        <w:rPr>
          <w:rFonts w:ascii="Times New Roman" w:cs="Times New Roman" w:eastAsia="Times New Roman" w:hAnsi="Times New Roman"/>
          <w:sz w:val="18"/>
          <w:szCs w:val="18"/>
          <w:color w:val="auto"/>
        </w:rPr>
        <w:t>”) may be payable based on the run-rate net revenue as of December 31, 2027 from new funds for Qualitas Funds raised after closing. Any Earn-Out Payment will be paid in a mix of cash and Class A Common Stock at Seller’s election, with no more than 65% payable in cash.</w:t>
      </w:r>
    </w:p>
    <w:p>
      <w:pPr>
        <w:spacing w:after="0" w:line="6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All shares of Class A Common Stock to be delivered in connection with the Transaction will be placed pursuant to an exemption from registration under Section 4(a)(2) of the Securities Act of 1933, as amended.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Transaction is expected to close in the first quarter of 2025, subject to customary closing conditions.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 xml:space="preserve">On September 17, 2024, the Company issued a press release announcing the execution of the Purchase Agreement. A copy of the press release issued by the Company is furnished as </w:t>
      </w:r>
      <w:r>
        <w:rPr>
          <w:rFonts w:ascii="Times New Roman" w:cs="Times New Roman" w:eastAsia="Times New Roman" w:hAnsi="Times New Roman"/>
          <w:sz w:val="18"/>
          <w:szCs w:val="18"/>
          <w:u w:val="single" w:color="auto"/>
          <w:color w:val="auto"/>
        </w:rPr>
        <w:t>Exhibit 99.1</w:t>
      </w:r>
      <w:r>
        <w:rPr>
          <w:rFonts w:ascii="Times New Roman" w:cs="Times New Roman" w:eastAsia="Times New Roman" w:hAnsi="Times New Roman"/>
          <w:sz w:val="18"/>
          <w:szCs w:val="18"/>
          <w:color w:val="auto"/>
        </w:rPr>
        <w:t xml:space="preserve"> to this Current Report on Form 8-K.</w:t>
      </w:r>
    </w:p>
    <w:p>
      <w:pPr>
        <w:spacing w:after="0" w:line="54"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 xml:space="preserve">Additionally, on September 17, 2024, the Company posted an investor presentation to its website, a copy of which is furnished as </w:t>
      </w:r>
      <w:r>
        <w:rPr>
          <w:rFonts w:ascii="Times New Roman" w:cs="Times New Roman" w:eastAsia="Times New Roman" w:hAnsi="Times New Roman"/>
          <w:sz w:val="18"/>
          <w:szCs w:val="18"/>
          <w:u w:val="single" w:color="auto"/>
          <w:color w:val="auto"/>
        </w:rPr>
        <w:t>Exhibit 99.2</w:t>
      </w:r>
      <w:r>
        <w:rPr>
          <w:rFonts w:ascii="Times New Roman" w:cs="Times New Roman" w:eastAsia="Times New Roman" w:hAnsi="Times New Roman"/>
          <w:sz w:val="18"/>
          <w:szCs w:val="18"/>
          <w:color w:val="auto"/>
        </w:rPr>
        <w:t xml:space="preserve"> to this Current Report on Form 8-K. The Company undertakes no obligation to update, supplement or amend the materials attached as </w:t>
      </w:r>
      <w:r>
        <w:rPr>
          <w:rFonts w:ascii="Times New Roman" w:cs="Times New Roman" w:eastAsia="Times New Roman" w:hAnsi="Times New Roman"/>
          <w:sz w:val="18"/>
          <w:szCs w:val="18"/>
          <w:u w:val="single" w:color="auto"/>
          <w:color w:val="auto"/>
        </w:rPr>
        <w:t>Exhibit 99.2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 xml:space="preserve">The information in this Item 7.01 of this Current Report on Form 8-K, including </w:t>
      </w:r>
      <w:r>
        <w:rPr>
          <w:rFonts w:ascii="Times New Roman" w:cs="Times New Roman" w:eastAsia="Times New Roman" w:hAnsi="Times New Roman"/>
          <w:sz w:val="18"/>
          <w:szCs w:val="18"/>
          <w:u w:val="single" w:color="auto"/>
          <w:color w:val="auto"/>
        </w:rPr>
        <w:t>Exhibits 99.1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99.2</w:t>
      </w:r>
      <w:r>
        <w:rPr>
          <w:rFonts w:ascii="Times New Roman" w:cs="Times New Roman" w:eastAsia="Times New Roman" w:hAnsi="Times New Roman"/>
          <w:sz w:val="18"/>
          <w:szCs w:val="18"/>
          <w:color w:val="auto"/>
        </w:rPr>
        <w:t xml:space="preserve"> attached hereto, is being furnished and shall not be deemed “filed” for the purposes of Section 18of the Exchange, or otherwise subject to the liabilities of that Section, nor shall it be deemed subject to the requirements of amended Item 10 of Regulation S-K, nor shall it be deemed incorporated by reference into any filing of the Company under the Securities Act of 1933, as amended, or the Exchange Act, whether made before or after the date hereof, regardless of any general incorporation language in such filing. The furnishing of this information hereby shall not be deemed an admission as to the materiality of any such information.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No.</w:t>
            </w:r>
          </w:p>
        </w:tc>
        <w:tc>
          <w:tcPr>
            <w:tcW w:w="9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194"/>
        </w:trPr>
        <w:tc>
          <w:tcPr>
            <w:tcW w:w="184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99.1</w:t>
            </w:r>
          </w:p>
        </w:tc>
        <w:tc>
          <w:tcPr>
            <w:tcW w:w="9400" w:type="dxa"/>
            <w:vAlign w:val="bottom"/>
            <w:gridSpan w:val="3"/>
          </w:tcPr>
          <w:p>
            <w:pPr>
              <w:spacing w:after="0" w:line="194" w:lineRule="exact"/>
              <w:rPr>
                <w:rFonts w:ascii="Times New Roman" w:cs="Times New Roman" w:eastAsia="Times New Roman" w:hAnsi="Times New Roman"/>
                <w:sz w:val="18"/>
                <w:szCs w:val="18"/>
                <w:color w:val="0000FF"/>
              </w:rPr>
            </w:pPr>
            <w:hyperlink r:id="rId457">
              <w:r>
                <w:rPr>
                  <w:rFonts w:ascii="Times New Roman" w:cs="Times New Roman" w:eastAsia="Times New Roman" w:hAnsi="Times New Roman"/>
                  <w:sz w:val="18"/>
                  <w:szCs w:val="18"/>
                  <w:color w:val="0000FF"/>
                </w:rPr>
                <w:t>Press Release, dated September 17, 2024</w:t>
              </w:r>
            </w:hyperlink>
          </w:p>
        </w:tc>
      </w:tr>
      <w:tr>
        <w:trPr>
          <w:trHeight w:val="20"/>
        </w:trPr>
        <w:tc>
          <w:tcPr>
            <w:tcW w:w="1840" w:type="dxa"/>
            <w:vAlign w:val="bottom"/>
          </w:tcPr>
          <w:p>
            <w:pPr>
              <w:spacing w:after="0" w:line="20" w:lineRule="exact"/>
              <w:rPr>
                <w:sz w:val="1"/>
                <w:szCs w:val="1"/>
                <w:color w:val="auto"/>
              </w:rPr>
            </w:pPr>
          </w:p>
        </w:tc>
        <w:tc>
          <w:tcPr>
            <w:tcW w:w="29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r>
      <w:tr>
        <w:trPr>
          <w:trHeight w:val="210"/>
        </w:trPr>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99.2</w:t>
            </w:r>
          </w:p>
        </w:tc>
        <w:tc>
          <w:tcPr>
            <w:tcW w:w="9400" w:type="dxa"/>
            <w:vAlign w:val="bottom"/>
            <w:gridSpan w:val="3"/>
          </w:tcPr>
          <w:p>
            <w:pPr>
              <w:spacing w:after="0"/>
              <w:rPr>
                <w:rFonts w:ascii="Times New Roman" w:cs="Times New Roman" w:eastAsia="Times New Roman" w:hAnsi="Times New Roman"/>
                <w:sz w:val="18"/>
                <w:szCs w:val="18"/>
                <w:color w:val="0000FF"/>
              </w:rPr>
            </w:pPr>
            <w:hyperlink r:id="rId458">
              <w:r>
                <w:rPr>
                  <w:rFonts w:ascii="Times New Roman" w:cs="Times New Roman" w:eastAsia="Times New Roman" w:hAnsi="Times New Roman"/>
                  <w:sz w:val="18"/>
                  <w:szCs w:val="18"/>
                  <w:color w:val="0000FF"/>
                </w:rPr>
                <w:t>Investor Presentation, dated September 17, 2024</w:t>
              </w:r>
            </w:hyperlink>
          </w:p>
        </w:tc>
      </w:tr>
      <w:tr>
        <w:trPr>
          <w:trHeight w:val="20"/>
        </w:trPr>
        <w:tc>
          <w:tcPr>
            <w:tcW w:w="1840" w:type="dxa"/>
            <w:vAlign w:val="bottom"/>
          </w:tcPr>
          <w:p>
            <w:pPr>
              <w:spacing w:after="0" w:line="20" w:lineRule="exact"/>
              <w:rPr>
                <w:sz w:val="1"/>
                <w:szCs w:val="1"/>
                <w:color w:val="auto"/>
              </w:rPr>
            </w:pPr>
          </w:p>
        </w:tc>
        <w:tc>
          <w:tcPr>
            <w:tcW w:w="3480" w:type="dxa"/>
            <w:vAlign w:val="bottom"/>
            <w:gridSpan w:val="2"/>
            <w:shd w:val="clear" w:color="auto" w:fill="0000FF"/>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r>
      <w:tr>
        <w:trPr>
          <w:trHeight w:val="250"/>
        </w:trPr>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9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r>
        <w:trPr>
          <w:trHeight w:val="1208"/>
        </w:trPr>
        <w:tc>
          <w:tcPr>
            <w:tcW w:w="184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62" w:name="page63"/>
    <w:bookmarkEnd w:id="6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P10, INC.</w:t>
      </w: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w:t>
        <w:tab/>
        <w:t>September 17,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Amanda Coussens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6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Amanda Coussens</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859155</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654685</wp:posOffset>
            </wp:positionV>
            <wp:extent cx="713232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4">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August 01,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225425</wp:posOffset>
            </wp:positionV>
            <wp:extent cx="142303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7">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P10, Inc.</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tbl>
      <w:tblPr>
        <w:tblLayout w:type="fixed"/>
        <w:tblInd w:w="1160" w:type="dxa"/>
        <w:tblCellMar>
          <w:top w:w="0" w:type="dxa"/>
          <w:left w:w="0" w:type="dxa"/>
          <w:bottom w:w="0" w:type="dxa"/>
          <w:right w:w="0" w:type="dxa"/>
        </w:tblCellMar>
      </w:tblPr>
      <w:tr>
        <w:trPr>
          <w:trHeight w:val="235"/>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001-40937</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87-2908160</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24"/>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4514 Cole Avenue</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Suite 1600</w:t>
            </w:r>
          </w:p>
        </w:tc>
        <w:tc>
          <w:tcPr>
            <w:tcW w:w="326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235"/>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7"/>
              </w:rPr>
              <w:t>Dallas, Texas</w:t>
            </w:r>
          </w:p>
        </w:tc>
        <w:tc>
          <w:tcPr>
            <w:tcW w:w="326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75205</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0"/>
          <w:szCs w:val="20"/>
          <w:color w:val="auto"/>
        </w:rPr>
      </w:pPr>
    </w:p>
    <w:p>
      <w:pPr>
        <w:spacing w:after="0" w:line="2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214 865-7998</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0"/>
          <w:szCs w:val="20"/>
          <w:color w:val="auto"/>
        </w:rPr>
      </w:pPr>
    </w:p>
    <w:p>
      <w:pPr>
        <w:ind w:left="820" w:hanging="372"/>
        <w:spacing w:after="0"/>
        <w:tabs>
          <w:tab w:leader="none" w:pos="820" w:val="left"/>
        </w:tabs>
        <w:numPr>
          <w:ilvl w:val="0"/>
          <w:numId w:val="1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820" w:hanging="372"/>
        <w:spacing w:after="0"/>
        <w:tabs>
          <w:tab w:leader="none" w:pos="820" w:val="left"/>
        </w:tabs>
        <w:numPr>
          <w:ilvl w:val="0"/>
          <w:numId w:val="1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820" w:hanging="372"/>
        <w:spacing w:after="0"/>
        <w:tabs>
          <w:tab w:leader="none" w:pos="820" w:val="left"/>
        </w:tabs>
        <w:numPr>
          <w:ilvl w:val="0"/>
          <w:numId w:val="1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820" w:hanging="372"/>
        <w:spacing w:after="0"/>
        <w:tabs>
          <w:tab w:leader="none" w:pos="820" w:val="left"/>
        </w:tabs>
        <w:numPr>
          <w:ilvl w:val="0"/>
          <w:numId w:val="1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45"/>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1"/>
                <w:szCs w:val="21"/>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1"/>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Class A Common Stock, $0.001 par value per share</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PX</w:t>
            </w:r>
          </w:p>
        </w:tc>
        <w:tc>
          <w:tcPr>
            <w:tcW w:w="12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r>
        <w:trPr>
          <w:trHeight w:val="216"/>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Series A Junior Participating Preferred Stock Purchase</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2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Rights</w:t>
            </w: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40" w:type="dxa"/>
            <w:vAlign w:val="bottom"/>
          </w:tcPr>
          <w:p>
            <w:pPr>
              <w:spacing w:after="0"/>
              <w:rPr>
                <w:sz w:val="20"/>
                <w:szCs w:val="20"/>
                <w:color w:val="auto"/>
              </w:rPr>
            </w:pPr>
          </w:p>
        </w:tc>
      </w:tr>
    </w:tbl>
    <w:p>
      <w:pPr>
        <w:spacing w:after="0" w:line="21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0"/>
          <w:szCs w:val="20"/>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724535</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August 1, 2024, P10, Inc. (the “Company”) and certain of its subsidiaries entered into a restatement agreement (the “Restatement Agreement”) which amends and restates the Company’s existing credit agreement, originally entered into on December 22, 2021 (as previously amended, the “Existing Credit Agreement”), by and among P10 Intermediate Holdings LLC (“P10 Intermediate”), as borrower, the Company and certain subsidiaries of the Company, as guarantors, the lenders party thereto, and JPMorgan Chase Bank, N.A., as administrative agent and collateral agent (the Existing Credit Agreement as so amended and restated, the “Amended and Restated Credit Agreement”). The Amended and Restated Credit Agreement provides for a new senior secured revolving credit facility in the amount of $175 million, with a $10 million sublimit for the issuance of letters of credit (the “New Revolving Facility”), and a new senior secured term loan facility in the amount of $325 million (the “New Term Loans” and, together with the Revolving Facility, the “New Credit Facilities”), both scheduled to mature on August 1, 2028 (the “Maturity Date”). The Amended and Restated Credit Agreement provides for an ability to increase the amount of the New Credit Facilities by up to $125 million, subject to certain conditions. The New Credit Facilities are to be used to refinance and replace the credit facilities under the Existing Credit Agreement and for general corporate purposes, including acquisitions.</w:t>
      </w:r>
    </w:p>
    <w:p>
      <w:pPr>
        <w:spacing w:after="0" w:line="154"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New Credit Facilities are guaranteed by the Company’s subsidiaries, subject to customary exceptions, and are secured by liens on substantially all assets of the Company, P10 Intermediate and the Company’s guarantor subsidiaries, subject to customary exceptions.</w:t>
      </w:r>
    </w:p>
    <w:p>
      <w:pPr>
        <w:spacing w:after="0" w:line="13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New Term Loans require quarterly amortization payments, beginning on December 31, 2025, in an annual amount equal to 5.00% of the original funded amount of the New Term Loans, with remaining amounts required to be repaid on the Maturity Date. The New Revolving Facility does not require scheduled principal payments prior to the Maturity Date.</w:t>
      </w:r>
    </w:p>
    <w:p>
      <w:pPr>
        <w:spacing w:after="0" w:line="13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Borrowings under the New Credit Facilities will bear interest from time to time at a per annum rate equal to, at the Company’s election, either an adjusted term SOFR rate plus a margin of 2.50% or a base rate plus a margin of 1.50%. The company is required to pay a customary commitment fee on undrawn amounts under the New Revolving Facility from time to time as well as customary fees in respect of letters of credit issued under such facility.</w:t>
      </w:r>
    </w:p>
    <w:p>
      <w:pPr>
        <w:spacing w:after="0" w:line="13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Amended and Restated Credit Agreement contains customary representations and warranties and affirmative and negative covenants, including financial covenants requiring P10 to comply with a maximum leverage ratio and to maintain a minimum level of fee paying assets under management, and customary events of default.</w:t>
      </w:r>
    </w:p>
    <w:p>
      <w:pPr>
        <w:spacing w:after="0" w:line="14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foregoing description is qualified in its entirety by reference to the full text of the Restatement Agreement and the Amended and Restated Credit Agreement, which are attached hereto as Exhibit 10.1 and are incorporated herein by reference.</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financial institutions party to the Amended and Restated Credit Agreement and their respective affiliates have in the past performed, and may in the future perform, investment banking, financial advisory, lending, commercial banking, and/or other services for the Company and its subsidiaries and to persons and entities with relationships with the Company and its subsidiaries, for which they have received, and may in the future receive, customary fees and expenses.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1.01 of this Current Report on Form 8-K is hereby incorporated by reference into this Item 2.03.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On August 5, 2024, the Company issued a press release announcing its entry into the Amended and Restated Credit Agreement, a copy of which is furnished as Exhibit 99.1 to this Current Report.</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contained in Item 7.01, including Exhibit 99.1 furnished herewith, shall not be deemed “filed” for purposes of Section 18 of the Securities Exchange Act of 1934, as amended (the “Exchange Act”), or otherwise subject to the liabilities under that section, nor shall it be deemed incorporated by reference into any registration statement or other documents pursuant to the Securities Act of 1933, as amended, or into any filing or other document pursuant to the Exchange Act, except as shall be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730250</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5" w:right="4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tc>
        <w:tc>
          <w:tcPr>
            <w:tcW w:w="8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11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Exhibit No.</w:t>
            </w:r>
          </w:p>
        </w:tc>
        <w:tc>
          <w:tcPr>
            <w:tcW w:w="10080" w:type="dxa"/>
            <w:vAlign w:val="bottom"/>
            <w:gridSpan w:val="6"/>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260" w:type="dxa"/>
            <w:vAlign w:val="bottom"/>
          </w:tcPr>
          <w:p>
            <w:pPr>
              <w:spacing w:after="0"/>
              <w:rPr>
                <w:sz w:val="18"/>
                <w:szCs w:val="18"/>
                <w:color w:val="auto"/>
              </w:rPr>
            </w:pPr>
          </w:p>
        </w:tc>
        <w:tc>
          <w:tcPr>
            <w:tcW w:w="1002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rPr>
            </w:pPr>
            <w:hyperlink r:id="rId427">
              <w:r>
                <w:rPr>
                  <w:rFonts w:ascii="Times New Roman" w:cs="Times New Roman" w:eastAsia="Times New Roman" w:hAnsi="Times New Roman"/>
                  <w:sz w:val="18"/>
                  <w:szCs w:val="18"/>
                  <w:color w:val="0000FF"/>
                </w:rPr>
                <w:t>Restatement Agreement, dated as of August 1, 2024, attaching the Amended and Restated Credit Agreement, dated as of such date, among</w:t>
              </w:r>
            </w:hyperlink>
          </w:p>
        </w:tc>
        <w:tc>
          <w:tcPr>
            <w:tcW w:w="6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94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rPr>
            </w:pPr>
            <w:hyperlink r:id="rId427">
              <w:r>
                <w:rPr>
                  <w:rFonts w:ascii="Times New Roman" w:cs="Times New Roman" w:eastAsia="Times New Roman" w:hAnsi="Times New Roman"/>
                  <w:sz w:val="18"/>
                  <w:szCs w:val="18"/>
                  <w:color w:val="0000FF"/>
                </w:rPr>
                <w:t>P10, Inc., P10 Intermediate Holdings LLC, the other guarantors party thereto, the lenders party thereto, and JPMorgan Chase Bank, N.A.,</w:t>
              </w:r>
            </w:hyperlink>
          </w:p>
        </w:tc>
        <w:tc>
          <w:tcPr>
            <w:tcW w:w="140" w:type="dxa"/>
            <w:vAlign w:val="bottom"/>
            <w:gridSpan w:val="2"/>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16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427">
              <w:r>
                <w:rPr>
                  <w:rFonts w:ascii="Times New Roman" w:cs="Times New Roman" w:eastAsia="Times New Roman" w:hAnsi="Times New Roman"/>
                  <w:sz w:val="18"/>
                  <w:szCs w:val="18"/>
                  <w:color w:val="0000FF"/>
                  <w:w w:val="99"/>
                </w:rPr>
                <w:t>as administrative agent and collateral agent.</w:t>
              </w:r>
            </w:hyperlink>
          </w:p>
        </w:tc>
        <w:tc>
          <w:tcPr>
            <w:tcW w:w="6920" w:type="dxa"/>
            <w:vAlign w:val="bottom"/>
            <w:gridSpan w:val="4"/>
          </w:tcPr>
          <w:p>
            <w:pPr>
              <w:spacing w:after="0"/>
              <w:rPr>
                <w:sz w:val="17"/>
                <w:szCs w:val="17"/>
                <w:color w:val="auto"/>
              </w:rPr>
            </w:pPr>
          </w:p>
        </w:tc>
      </w:tr>
      <w:tr>
        <w:trPr>
          <w:trHeight w:val="209"/>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260" w:type="dxa"/>
            <w:vAlign w:val="bottom"/>
          </w:tcPr>
          <w:p>
            <w:pPr>
              <w:spacing w:after="0"/>
              <w:rPr>
                <w:sz w:val="18"/>
                <w:szCs w:val="18"/>
                <w:color w:val="auto"/>
              </w:rPr>
            </w:pPr>
          </w:p>
        </w:tc>
        <w:tc>
          <w:tcPr>
            <w:tcW w:w="10080" w:type="dxa"/>
            <w:vAlign w:val="bottom"/>
            <w:gridSpan w:val="6"/>
          </w:tcPr>
          <w:p>
            <w:pPr>
              <w:spacing w:after="0"/>
              <w:rPr>
                <w:rFonts w:ascii="Times New Roman" w:cs="Times New Roman" w:eastAsia="Times New Roman" w:hAnsi="Times New Roman"/>
                <w:sz w:val="18"/>
                <w:szCs w:val="18"/>
                <w:color w:val="0000FF"/>
              </w:rPr>
            </w:pPr>
            <w:hyperlink r:id="rId472">
              <w:r>
                <w:rPr>
                  <w:rFonts w:ascii="Times New Roman" w:cs="Times New Roman" w:eastAsia="Times New Roman" w:hAnsi="Times New Roman"/>
                  <w:sz w:val="18"/>
                  <w:szCs w:val="18"/>
                  <w:color w:val="0000FF"/>
                </w:rPr>
                <w:t>Press Release of P10, Inc. dated August 5, 2024</w:t>
              </w:r>
            </w:hyperlink>
          </w:p>
        </w:tc>
      </w:tr>
      <w:tr>
        <w:trPr>
          <w:trHeight w:val="20"/>
        </w:trPr>
        <w:tc>
          <w:tcPr>
            <w:tcW w:w="9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40" w:type="dxa"/>
            <w:vAlign w:val="bottom"/>
            <w:gridSpan w:val="3"/>
            <w:shd w:val="clear" w:color="auto" w:fill="0000FF"/>
          </w:tcPr>
          <w:p>
            <w:pPr>
              <w:spacing w:after="0" w:line="20" w:lineRule="exact"/>
              <w:rPr>
                <w:sz w:val="1"/>
                <w:szCs w:val="1"/>
                <w:color w:val="auto"/>
              </w:rPr>
            </w:pPr>
          </w:p>
        </w:tc>
        <w:tc>
          <w:tcPr>
            <w:tcW w:w="6640" w:type="dxa"/>
            <w:vAlign w:val="bottom"/>
            <w:gridSpan w:val="3"/>
          </w:tcPr>
          <w:p>
            <w:pPr>
              <w:spacing w:after="0" w:line="20" w:lineRule="exact"/>
              <w:rPr>
                <w:sz w:val="1"/>
                <w:szCs w:val="1"/>
                <w:color w:val="auto"/>
              </w:rPr>
            </w:pPr>
          </w:p>
        </w:tc>
      </w:tr>
      <w:tr>
        <w:trPr>
          <w:trHeight w:val="250"/>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tcPr>
          <w:p>
            <w:pPr>
              <w:spacing w:after="0"/>
              <w:rPr>
                <w:sz w:val="21"/>
                <w:szCs w:val="21"/>
                <w:color w:val="auto"/>
              </w:rPr>
            </w:pPr>
          </w:p>
        </w:tc>
        <w:tc>
          <w:tcPr>
            <w:tcW w:w="100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cover page from this Current Report on Form 8-K, formatted in Inline XBRL (included as Exhibit 101).</w:t>
            </w:r>
          </w:p>
        </w:tc>
      </w:tr>
      <w:tr>
        <w:trPr>
          <w:trHeight w:val="1208"/>
        </w:trPr>
        <w:tc>
          <w:tcPr>
            <w:tcW w:w="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5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66" w:name="page67"/>
    <w:bookmarkEnd w:id="6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P10, INC.</w:t>
      </w: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w:t>
        <w:tab/>
        <w:t>August 5,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Amanda Coussens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5">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Amanda Coussens</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859155</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00"/>
      </w:cols>
      <w:pgMar w:left="320" w:top="98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2"/>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
      <w:numFmt w:val="bullet"/>
      <w:start w:val="1"/>
    </w:lvl>
    <w:lvl w:ilvl="1">
      <w:lvlJc w:val="left"/>
      <w:lvlText w:val="%2"/>
      <w:numFmt w:val="decimal"/>
      <w:start w:val="104"/>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
      <w:numFmt w:val="bullet"/>
      <w:start w:val="1"/>
    </w:lvl>
  </w:abstractNum>
  <w:abstractNum w:abstractNumId="16">
    <w:nsid w:val="519B500D"/>
    <w:multiLevelType w:val="hybridMultilevel"/>
    <w:lvl w:ilvl="0">
      <w:lvlJc w:val="left"/>
      <w:lvlText w:val="☐"/>
      <w:numFmt w:val="bullet"/>
      <w:start w:val="1"/>
    </w:lvl>
  </w:abstractNum>
  <w:abstractNum w:abstractNumId="17">
    <w:nsid w:val="431BD7B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32" Type="http://schemas.openxmlformats.org/officeDocument/2006/relationships/image" Target="media/image420.png"/><Relationship Id="rId433" Type="http://schemas.openxmlformats.org/officeDocument/2006/relationships/image" Target="media/image421.png"/><Relationship Id="rId434" Type="http://schemas.openxmlformats.org/officeDocument/2006/relationships/image" Target="media/image422.png"/><Relationship Id="rId435" Type="http://schemas.openxmlformats.org/officeDocument/2006/relationships/image" Target="media/image423.png"/><Relationship Id="rId436" Type="http://schemas.openxmlformats.org/officeDocument/2006/relationships/image" Target="media/image424.png"/><Relationship Id="rId437" Type="http://schemas.openxmlformats.org/officeDocument/2006/relationships/image" Target="media/image425.png"/><Relationship Id="rId441" Type="http://schemas.openxmlformats.org/officeDocument/2006/relationships/image" Target="media/image426.png"/><Relationship Id="rId442" Type="http://schemas.openxmlformats.org/officeDocument/2006/relationships/image" Target="media/image427.png"/><Relationship Id="rId443" Type="http://schemas.openxmlformats.org/officeDocument/2006/relationships/image" Target="media/image428.png"/><Relationship Id="rId444" Type="http://schemas.openxmlformats.org/officeDocument/2006/relationships/image" Target="media/image429.png"/><Relationship Id="rId445" Type="http://schemas.openxmlformats.org/officeDocument/2006/relationships/image" Target="media/image430.png"/><Relationship Id="rId446" Type="http://schemas.openxmlformats.org/officeDocument/2006/relationships/image" Target="media/image431.png"/><Relationship Id="rId447" Type="http://schemas.openxmlformats.org/officeDocument/2006/relationships/image" Target="media/image432.png"/><Relationship Id="rId448" Type="http://schemas.openxmlformats.org/officeDocument/2006/relationships/image" Target="media/image433.png"/><Relationship Id="rId449" Type="http://schemas.openxmlformats.org/officeDocument/2006/relationships/image" Target="media/image434.png"/><Relationship Id="rId450" Type="http://schemas.openxmlformats.org/officeDocument/2006/relationships/image" Target="media/image435.png"/><Relationship Id="rId451" Type="http://schemas.openxmlformats.org/officeDocument/2006/relationships/image" Target="media/image436.png"/><Relationship Id="rId452" Type="http://schemas.openxmlformats.org/officeDocument/2006/relationships/image" Target="media/image437.png"/><Relationship Id="rId453" Type="http://schemas.openxmlformats.org/officeDocument/2006/relationships/image" Target="media/image438.png"/><Relationship Id="rId454" Type="http://schemas.openxmlformats.org/officeDocument/2006/relationships/image" Target="media/image439.png"/><Relationship Id="rId455" Type="http://schemas.openxmlformats.org/officeDocument/2006/relationships/image" Target="media/image440.png"/><Relationship Id="rId456" Type="http://schemas.openxmlformats.org/officeDocument/2006/relationships/image" Target="media/image441.png"/><Relationship Id="rId459" Type="http://schemas.openxmlformats.org/officeDocument/2006/relationships/image" Target="media/image442.png"/><Relationship Id="rId460" Type="http://schemas.openxmlformats.org/officeDocument/2006/relationships/image" Target="media/image443.png"/><Relationship Id="rId461" Type="http://schemas.openxmlformats.org/officeDocument/2006/relationships/image" Target="media/image444.png"/><Relationship Id="rId462" Type="http://schemas.openxmlformats.org/officeDocument/2006/relationships/image" Target="media/image445.png"/><Relationship Id="rId463" Type="http://schemas.openxmlformats.org/officeDocument/2006/relationships/image" Target="media/image446.png"/><Relationship Id="rId464" Type="http://schemas.openxmlformats.org/officeDocument/2006/relationships/image" Target="media/image447.png"/><Relationship Id="rId465" Type="http://schemas.openxmlformats.org/officeDocument/2006/relationships/image" Target="media/image448.png"/><Relationship Id="rId466" Type="http://schemas.openxmlformats.org/officeDocument/2006/relationships/image" Target="media/image449.png"/><Relationship Id="rId467" Type="http://schemas.openxmlformats.org/officeDocument/2006/relationships/image" Target="media/image450.png"/><Relationship Id="rId468" Type="http://schemas.openxmlformats.org/officeDocument/2006/relationships/image" Target="media/image451.png"/><Relationship Id="rId469" Type="http://schemas.openxmlformats.org/officeDocument/2006/relationships/image" Target="media/image452.png"/><Relationship Id="rId470" Type="http://schemas.openxmlformats.org/officeDocument/2006/relationships/image" Target="media/image453.png"/><Relationship Id="rId471" Type="http://schemas.openxmlformats.org/officeDocument/2006/relationships/image" Target="media/image454.png"/><Relationship Id="rId473" Type="http://schemas.openxmlformats.org/officeDocument/2006/relationships/image" Target="media/image455.png"/><Relationship Id="rId474" Type="http://schemas.openxmlformats.org/officeDocument/2006/relationships/image" Target="media/image456.png"/><Relationship Id="rId475" Type="http://schemas.openxmlformats.org/officeDocument/2006/relationships/image" Target="media/image457.png"/><Relationship Id="rId476" Type="http://schemas.openxmlformats.org/officeDocument/2006/relationships/image" Target="media/image458.png"/><Relationship Id="rId427" Type="http://schemas.openxmlformats.org/officeDocument/2006/relationships/hyperlink" Target="https://www.sec.gov/Archives/edgar/data/1841968/000095017024090344/px-ex10_1.htm" TargetMode="External"/><Relationship Id="rId428" Type="http://schemas.openxmlformats.org/officeDocument/2006/relationships/hyperlink" Target="https://www.sec.gov/Archives/edgar/data/1841968/000095017024123725/px-ex31_1.htm" TargetMode="External"/><Relationship Id="rId429" Type="http://schemas.openxmlformats.org/officeDocument/2006/relationships/hyperlink" Target="https://www.sec.gov/Archives/edgar/data/1841968/000095017024123725/px-ex31_2.htm" TargetMode="External"/><Relationship Id="rId430" Type="http://schemas.openxmlformats.org/officeDocument/2006/relationships/hyperlink" Target="https://www.sec.gov/Archives/edgar/data/1841968/000095017024123725/px-ex32_1.htm" TargetMode="External"/><Relationship Id="rId431" Type="http://schemas.openxmlformats.org/officeDocument/2006/relationships/hyperlink" Target="https://www.sec.gov/Archives/edgar/data/1841968/000095017024123725/px-ex32_2.htm" TargetMode="External"/><Relationship Id="rId438" Type="http://schemas.openxmlformats.org/officeDocument/2006/relationships/hyperlink" Target="https://www.sec.gov/Archives/edgar/data/1841968/000095017024123354/px-ex10_1.htm" TargetMode="External"/><Relationship Id="rId439" Type="http://schemas.openxmlformats.org/officeDocument/2006/relationships/hyperlink" Target="https://www.sec.gov/Archives/edgar/data/1841968/000095017024123354/px-ex99_1.htm" TargetMode="External"/><Relationship Id="rId440" Type="http://schemas.openxmlformats.org/officeDocument/2006/relationships/hyperlink" Target="https://www.sec.gov/Archives/edgar/data/1841968/000095017024123354/px-ex99_2.htm" TargetMode="External"/><Relationship Id="rId457" Type="http://schemas.openxmlformats.org/officeDocument/2006/relationships/hyperlink" Target="https://www.sec.gov/Archives/edgar/data/1841968/000095017024107018/px-ex99_1.htm" TargetMode="External"/><Relationship Id="rId458" Type="http://schemas.openxmlformats.org/officeDocument/2006/relationships/hyperlink" Target="https://www.sec.gov/Archives/edgar/data/1841968/000095017024107018/px-ex99_2.htm" TargetMode="External"/><Relationship Id="rId472" Type="http://schemas.openxmlformats.org/officeDocument/2006/relationships/hyperlink" Target="https://www.sec.gov/Archives/edgar/data/1841968/000095017024090344/px-ex99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2024-11-08T09:28:27Z</dcterms:created>
  <dcterms:modified xsi:type="dcterms:W3CDTF">2024-11-08T09:28:27Z</dcterms:modified>
</cp:coreProperties>
</file>