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60" w:right="1800" w:hanging="452"/>
        <w:spacing w:after="0" w:line="415" w:lineRule="auto"/>
        <w:tabs>
          <w:tab w:leader="none" w:pos="44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2004</w:t>
      </w:r>
    </w:p>
    <w:p>
      <w:pPr>
        <w:spacing w:after="0" w:line="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Or</w:t>
      </w:r>
    </w:p>
    <w:p>
      <w:pPr>
        <w:spacing w:after="0" w:line="15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41"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20" w:type="dxa"/>
            <w:vAlign w:val="bottom"/>
          </w:tcPr>
          <w:p>
            <w:pPr>
              <w:spacing w:after="0"/>
              <w:rPr>
                <w:sz w:val="17"/>
                <w:szCs w:val="17"/>
                <w:color w:val="auto"/>
              </w:rPr>
            </w:pPr>
          </w:p>
        </w:tc>
        <w:tc>
          <w:tcPr>
            <w:tcW w:w="308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383"/>
        </w:trPr>
        <w:tc>
          <w:tcPr>
            <w:tcW w:w="23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320" w:type="dxa"/>
            <w:vAlign w:val="bottom"/>
          </w:tcPr>
          <w:p>
            <w:pPr>
              <w:ind w:left="420"/>
              <w:spacing w:after="0"/>
              <w:rPr>
                <w:sz w:val="20"/>
                <w:szCs w:val="20"/>
                <w:color w:val="auto"/>
              </w:rPr>
            </w:pPr>
            <w:r>
              <w:rPr>
                <w:rFonts w:ascii="Arial" w:cs="Arial" w:eastAsia="Arial" w:hAnsi="Arial"/>
                <w:sz w:val="18"/>
                <w:szCs w:val="18"/>
                <w:b w:val="1"/>
                <w:bCs w:val="1"/>
                <w:color w:val="auto"/>
                <w:w w:val="86"/>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164465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-23495</wp:posOffset>
            </wp:positionV>
            <wp:extent cx="3346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140" w:type="dxa"/>
        <w:tblCellMar>
          <w:top w:w="0" w:type="dxa"/>
          <w:left w:w="0" w:type="dxa"/>
          <w:bottom w:w="0" w:type="dxa"/>
          <w:right w:w="0" w:type="dxa"/>
        </w:tblCellMar>
      </w:tblPr>
      <w:tr>
        <w:trPr>
          <w:trHeight w:val="218"/>
        </w:trPr>
        <w:tc>
          <w:tcPr>
            <w:tcW w:w="7000" w:type="dxa"/>
            <w:vAlign w:val="bottom"/>
          </w:tcPr>
          <w:p>
            <w:pPr>
              <w:jc w:val="center"/>
              <w:ind w:right="3705"/>
              <w:spacing w:after="0"/>
              <w:rPr>
                <w:sz w:val="20"/>
                <w:szCs w:val="20"/>
                <w:color w:val="auto"/>
              </w:rPr>
            </w:pPr>
            <w:r>
              <w:rPr>
                <w:rFonts w:ascii="Arial" w:cs="Arial" w:eastAsia="Arial" w:hAnsi="Arial"/>
                <w:sz w:val="18"/>
                <w:szCs w:val="18"/>
                <w:b w:val="1"/>
                <w:bCs w:val="1"/>
                <w:color w:val="auto"/>
                <w:w w:val="88"/>
              </w:rPr>
              <w:t>Delaware</w:t>
            </w:r>
          </w:p>
        </w:tc>
        <w:tc>
          <w:tcPr>
            <w:tcW w:w="1120" w:type="dxa"/>
            <w:vAlign w:val="bottom"/>
          </w:tcPr>
          <w:p>
            <w:pPr>
              <w:jc w:val="right"/>
              <w:ind w:right="24"/>
              <w:spacing w:after="0"/>
              <w:rPr>
                <w:sz w:val="20"/>
                <w:szCs w:val="20"/>
                <w:color w:val="auto"/>
              </w:rPr>
            </w:pPr>
            <w:r>
              <w:rPr>
                <w:rFonts w:ascii="Arial" w:cs="Arial" w:eastAsia="Arial" w:hAnsi="Arial"/>
                <w:sz w:val="18"/>
                <w:szCs w:val="18"/>
                <w:b w:val="1"/>
                <w:bCs w:val="1"/>
                <w:color w:val="auto"/>
              </w:rPr>
              <w:t>74-2961657</w:t>
            </w:r>
          </w:p>
        </w:tc>
      </w:tr>
      <w:tr>
        <w:trPr>
          <w:trHeight w:val="149"/>
        </w:trPr>
        <w:tc>
          <w:tcPr>
            <w:tcW w:w="7000" w:type="dxa"/>
            <w:vAlign w:val="bottom"/>
          </w:tcPr>
          <w:p>
            <w:pPr>
              <w:jc w:val="center"/>
              <w:ind w:right="3705"/>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120" w:type="dxa"/>
            <w:vAlign w:val="bottom"/>
          </w:tcPr>
          <w:p>
            <w:pPr>
              <w:jc w:val="center"/>
              <w:ind w:left="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7000" w:type="dxa"/>
            <w:vAlign w:val="bottom"/>
          </w:tcPr>
          <w:p>
            <w:pPr>
              <w:jc w:val="center"/>
              <w:ind w:right="3705"/>
              <w:spacing w:after="0"/>
              <w:rPr>
                <w:sz w:val="20"/>
                <w:szCs w:val="20"/>
                <w:color w:val="auto"/>
              </w:rPr>
            </w:pPr>
            <w:r>
              <w:rPr>
                <w:rFonts w:ascii="Arial" w:cs="Arial" w:eastAsia="Arial" w:hAnsi="Arial"/>
                <w:sz w:val="14"/>
                <w:szCs w:val="14"/>
                <w:b w:val="1"/>
                <w:bCs w:val="1"/>
                <w:color w:val="auto"/>
                <w:w w:val="89"/>
              </w:rPr>
              <w:t>incorporation or organization)</w:t>
            </w:r>
          </w:p>
        </w:tc>
        <w:tc>
          <w:tcPr>
            <w:tcW w:w="1120" w:type="dxa"/>
            <w:vAlign w:val="bottom"/>
          </w:tcPr>
          <w:p>
            <w:pPr>
              <w:jc w:val="center"/>
              <w:ind w:left="4"/>
              <w:spacing w:after="0"/>
              <w:rPr>
                <w:sz w:val="20"/>
                <w:szCs w:val="20"/>
                <w:color w:val="auto"/>
              </w:rPr>
            </w:pPr>
            <w:r>
              <w:rPr>
                <w:rFonts w:ascii="Arial" w:cs="Arial" w:eastAsia="Arial" w:hAnsi="Arial"/>
                <w:sz w:val="14"/>
                <w:szCs w:val="14"/>
                <w:b w:val="1"/>
                <w:bCs w:val="1"/>
                <w:color w:val="auto"/>
                <w:w w:val="87"/>
              </w:rPr>
              <w:t>Identification No.)</w:t>
            </w:r>
          </w:p>
        </w:tc>
      </w:tr>
      <w:tr>
        <w:trPr>
          <w:trHeight w:val="420"/>
        </w:trPr>
        <w:tc>
          <w:tcPr>
            <w:tcW w:w="7000" w:type="dxa"/>
            <w:vAlign w:val="bottom"/>
          </w:tcPr>
          <w:p>
            <w:pPr>
              <w:jc w:val="center"/>
              <w:ind w:right="3705"/>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1120" w:type="dxa"/>
            <w:vAlign w:val="bottom"/>
          </w:tcPr>
          <w:p>
            <w:pPr>
              <w:jc w:val="right"/>
              <w:ind w:right="224"/>
              <w:spacing w:after="0"/>
              <w:rPr>
                <w:sz w:val="20"/>
                <w:szCs w:val="20"/>
                <w:color w:val="auto"/>
              </w:rPr>
            </w:pPr>
            <w:r>
              <w:rPr>
                <w:rFonts w:ascii="Arial" w:cs="Arial" w:eastAsia="Arial" w:hAnsi="Arial"/>
                <w:sz w:val="18"/>
                <w:szCs w:val="18"/>
                <w:b w:val="1"/>
                <w:bCs w:val="1"/>
                <w:color w:val="auto"/>
              </w:rPr>
              <w:t>78758</w:t>
            </w:r>
          </w:p>
        </w:tc>
      </w:tr>
      <w:tr>
        <w:trPr>
          <w:trHeight w:val="174"/>
        </w:trPr>
        <w:tc>
          <w:tcPr>
            <w:tcW w:w="7000" w:type="dxa"/>
            <w:vAlign w:val="bottom"/>
          </w:tcPr>
          <w:p>
            <w:pPr>
              <w:jc w:val="center"/>
              <w:ind w:right="3705"/>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120" w:type="dxa"/>
            <w:vAlign w:val="bottom"/>
          </w:tcPr>
          <w:p>
            <w:pPr>
              <w:jc w:val="center"/>
              <w:ind w:left="4"/>
              <w:spacing w:after="0"/>
              <w:rPr>
                <w:sz w:val="20"/>
                <w:szCs w:val="20"/>
                <w:color w:val="auto"/>
              </w:rPr>
            </w:pPr>
            <w:r>
              <w:rPr>
                <w:rFonts w:ascii="Arial" w:cs="Arial" w:eastAsia="Arial" w:hAnsi="Arial"/>
                <w:sz w:val="14"/>
                <w:szCs w:val="14"/>
                <w:b w:val="1"/>
                <w:bCs w:val="1"/>
                <w:color w:val="auto"/>
                <w:w w:val="92"/>
              </w:rPr>
              <w:t>(Zip Code)</w:t>
            </w:r>
          </w:p>
        </w:tc>
      </w:tr>
      <w:tr>
        <w:trPr>
          <w:trHeight w:val="339"/>
        </w:trPr>
        <w:tc>
          <w:tcPr>
            <w:tcW w:w="7000" w:type="dxa"/>
            <w:vAlign w:val="bottom"/>
          </w:tcPr>
          <w:p>
            <w:pPr>
              <w:jc w:val="center"/>
              <w:ind w:left="2065"/>
              <w:spacing w:after="0"/>
              <w:rPr>
                <w:sz w:val="20"/>
                <w:szCs w:val="20"/>
                <w:color w:val="auto"/>
              </w:rPr>
            </w:pPr>
            <w:r>
              <w:rPr>
                <w:rFonts w:ascii="Arial" w:cs="Arial" w:eastAsia="Arial" w:hAnsi="Arial"/>
                <w:sz w:val="18"/>
                <w:szCs w:val="18"/>
                <w:b w:val="1"/>
                <w:bCs w:val="1"/>
                <w:color w:val="auto"/>
                <w:w w:val="89"/>
              </w:rPr>
              <w:t>(512) 836-6464</w:t>
            </w:r>
          </w:p>
        </w:tc>
        <w:tc>
          <w:tcPr>
            <w:tcW w:w="1120" w:type="dxa"/>
            <w:vAlign w:val="bottom"/>
          </w:tcPr>
          <w:p>
            <w:pPr>
              <w:spacing w:after="0"/>
              <w:rPr>
                <w:sz w:val="24"/>
                <w:szCs w:val="24"/>
                <w:color w:val="auto"/>
              </w:rPr>
            </w:pPr>
          </w:p>
        </w:tc>
      </w:tr>
      <w:tr>
        <w:trPr>
          <w:trHeight w:val="174"/>
        </w:trPr>
        <w:tc>
          <w:tcPr>
            <w:tcW w:w="7000" w:type="dxa"/>
            <w:vAlign w:val="bottom"/>
          </w:tcPr>
          <w:p>
            <w:pPr>
              <w:jc w:val="center"/>
              <w:ind w:left="206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20" w:type="dxa"/>
            <w:vAlign w:val="bottom"/>
          </w:tcPr>
          <w:p>
            <w:pPr>
              <w:spacing w:after="0"/>
              <w:rPr>
                <w:sz w:val="15"/>
                <w:szCs w:val="15"/>
                <w:color w:val="auto"/>
              </w:rPr>
            </w:pPr>
          </w:p>
        </w:tc>
      </w:tr>
      <w:tr>
        <w:trPr>
          <w:trHeight w:val="446"/>
        </w:trPr>
        <w:tc>
          <w:tcPr>
            <w:tcW w:w="7000" w:type="dxa"/>
            <w:vAlign w:val="bottom"/>
          </w:tcPr>
          <w:p>
            <w:pPr>
              <w:jc w:val="center"/>
              <w:ind w:left="206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92" w:lineRule="exact"/>
        <w:rPr>
          <w:sz w:val="24"/>
          <w:szCs w:val="24"/>
          <w:color w:val="auto"/>
        </w:rPr>
      </w:pPr>
    </w:p>
    <w:p>
      <w:pPr>
        <w:ind w:left="460"/>
        <w:spacing w:after="0" w:line="207" w:lineRule="exact"/>
        <w:tabs>
          <w:tab w:leader="none" w:pos="8800" w:val="left"/>
        </w:tabs>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190"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APPLICABLE ONLY TO CORPORATE ISSUERS:</w:t>
      </w:r>
    </w:p>
    <w:p>
      <w:pPr>
        <w:spacing w:after="0" w:line="15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5" w:lineRule="exact"/>
        <w:rPr>
          <w:sz w:val="24"/>
          <w:szCs w:val="24"/>
          <w:color w:val="auto"/>
        </w:rPr>
      </w:pPr>
    </w:p>
    <w:p>
      <w:pPr>
        <w:ind w:left="1400"/>
        <w:spacing w:after="0"/>
        <w:rPr>
          <w:sz w:val="20"/>
          <w:szCs w:val="20"/>
          <w:color w:val="auto"/>
        </w:rPr>
      </w:pPr>
      <w:r>
        <w:rPr>
          <w:rFonts w:ascii="Arial" w:cs="Arial" w:eastAsia="Arial" w:hAnsi="Arial"/>
          <w:sz w:val="16"/>
          <w:szCs w:val="16"/>
          <w:b w:val="1"/>
          <w:bCs w:val="1"/>
          <w:color w:val="auto"/>
        </w:rPr>
        <w:t>The number of shares of common stock, par value of $0.001 per share, outstanding at June 30, 2004 was 42,462,685.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40" w:type="dxa"/>
            <w:vAlign w:val="bottom"/>
            <w:gridSpan w:val="16"/>
          </w:tcPr>
          <w:p>
            <w:pPr>
              <w:spacing w:after="0"/>
              <w:rPr>
                <w:rFonts w:ascii="Arial" w:cs="Arial" w:eastAsia="Arial" w:hAnsi="Arial"/>
                <w:sz w:val="18"/>
                <w:szCs w:val="18"/>
                <w:color w:val="auto"/>
              </w:rPr>
            </w:pPr>
            <w:r>
              <w:rPr>
                <w:rFonts w:ascii="Arial" w:cs="Arial" w:eastAsia="Arial" w:hAnsi="Arial"/>
                <w:sz w:val="18"/>
                <w:szCs w:val="18"/>
                <w:color w:val="auto"/>
              </w:rPr>
              <w:t xml:space="preserve">PART I - </w:t>
            </w:r>
            <w:hyperlink w:anchor="page3">
              <w:r>
                <w:rPr>
                  <w:rFonts w:ascii="Arial" w:cs="Arial" w:eastAsia="Arial" w:hAnsi="Arial"/>
                  <w:sz w:val="18"/>
                  <w:szCs w:val="18"/>
                  <w:color w:val="0000EE"/>
                </w:rPr>
                <w:t>FINANCIAL INFORMATION</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Item 1.</w:t>
            </w: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5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440" w:type="dxa"/>
            <w:vAlign w:val="bottom"/>
            <w:tcBorders>
              <w:top w:val="single" w:sz="8" w:color="0000EE"/>
            </w:tcBorders>
            <w:gridSpan w:val="3"/>
          </w:tcPr>
          <w:p>
            <w:pPr>
              <w:spacing w:after="0"/>
              <w:rPr>
                <w:sz w:val="24"/>
                <w:szCs w:val="24"/>
                <w:color w:val="auto"/>
              </w:rPr>
            </w:pPr>
          </w:p>
        </w:tc>
        <w:tc>
          <w:tcPr>
            <w:tcW w:w="6360" w:type="dxa"/>
            <w:vAlign w:val="bottom"/>
            <w:gridSpan w:val="7"/>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Item 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4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Management's Discussion and Analysis of Financial Condition and Results of Operations.</w:t>
              </w:r>
            </w:hyperlink>
          </w:p>
        </w:tc>
        <w:tc>
          <w:tcPr>
            <w:tcW w:w="198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Item 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Quantitative and Qualitative Disclosures About Market Risk</w:t>
              </w:r>
            </w:hyperlink>
          </w:p>
        </w:tc>
        <w:tc>
          <w:tcPr>
            <w:tcW w:w="4060" w:type="dxa"/>
            <w:vAlign w:val="bottom"/>
            <w:gridSpan w:val="3"/>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Item 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28">
              <w:r>
                <w:rPr>
                  <w:rFonts w:ascii="Arial" w:cs="Arial" w:eastAsia="Arial" w:hAnsi="Arial"/>
                  <w:sz w:val="18"/>
                  <w:szCs w:val="18"/>
                  <w:color w:val="0000EE"/>
                  <w:w w:val="86"/>
                </w:rPr>
                <w:t>Controls and Procedures</w:t>
              </w:r>
            </w:hyperlink>
          </w:p>
        </w:tc>
        <w:tc>
          <w:tcPr>
            <w:tcW w:w="6580" w:type="dxa"/>
            <w:vAlign w:val="bottom"/>
            <w:gridSpan w:val="8"/>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9240" w:type="dxa"/>
            <w:vAlign w:val="bottom"/>
            <w:gridSpan w:val="16"/>
          </w:tcPr>
          <w:p>
            <w:pPr>
              <w:spacing w:after="0"/>
              <w:rPr>
                <w:rFonts w:ascii="Arial" w:cs="Arial" w:eastAsia="Arial" w:hAnsi="Arial"/>
                <w:sz w:val="18"/>
                <w:szCs w:val="18"/>
                <w:color w:val="auto"/>
              </w:rPr>
            </w:pPr>
            <w:r>
              <w:rPr>
                <w:rFonts w:ascii="Arial" w:cs="Arial" w:eastAsia="Arial" w:hAnsi="Arial"/>
                <w:sz w:val="18"/>
                <w:szCs w:val="18"/>
                <w:color w:val="auto"/>
              </w:rPr>
              <w:t xml:space="preserve">PART II – </w:t>
            </w:r>
            <w:hyperlink w:anchor="page28">
              <w:r>
                <w:rPr>
                  <w:rFonts w:ascii="Arial" w:cs="Arial" w:eastAsia="Arial" w:hAnsi="Arial"/>
                  <w:sz w:val="18"/>
                  <w:szCs w:val="18"/>
                  <w:color w:val="0000EE"/>
                </w:rPr>
                <w:t>OTHER INFORMATION</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Item 1.</w:t>
            </w:r>
          </w:p>
        </w:tc>
        <w:tc>
          <w:tcPr>
            <w:tcW w:w="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3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6"/>
              </w:rPr>
            </w:pPr>
            <w:hyperlink w:anchor="page28">
              <w:r>
                <w:rPr>
                  <w:rFonts w:ascii="Arial" w:cs="Arial" w:eastAsia="Arial" w:hAnsi="Arial"/>
                  <w:sz w:val="18"/>
                  <w:szCs w:val="18"/>
                  <w:color w:val="0000EE"/>
                  <w:w w:val="86"/>
                </w:rPr>
                <w:t>Legal Proceedings.</w:t>
              </w:r>
            </w:hyperlink>
          </w:p>
        </w:tc>
        <w:tc>
          <w:tcPr>
            <w:tcW w:w="320" w:type="dxa"/>
            <w:vAlign w:val="bottom"/>
            <w:tcBorders>
              <w:top w:val="single" w:sz="8" w:color="0000EE"/>
            </w:tcBorders>
            <w:gridSpan w:val="2"/>
          </w:tcPr>
          <w:p>
            <w:pPr>
              <w:spacing w:after="0"/>
              <w:rPr>
                <w:sz w:val="24"/>
                <w:szCs w:val="24"/>
                <w:color w:val="auto"/>
              </w:rPr>
            </w:pPr>
          </w:p>
        </w:tc>
        <w:tc>
          <w:tcPr>
            <w:tcW w:w="6640" w:type="dxa"/>
            <w:vAlign w:val="bottom"/>
            <w:gridSpan w:val="9"/>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Item 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320" w:type="dxa"/>
            <w:vAlign w:val="bottom"/>
            <w:gridSpan w:val="1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Changes in Securities, Use of Proceeds and Issuer Purchases of Equity Securities.</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Item 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Defaults Upon Senior Securities.</w:t>
              </w:r>
            </w:hyperlink>
          </w:p>
        </w:tc>
        <w:tc>
          <w:tcPr>
            <w:tcW w:w="3420" w:type="dxa"/>
            <w:vAlign w:val="bottom"/>
            <w:tcBorders>
              <w:top w:val="single" w:sz="8" w:color="0000EE"/>
            </w:tcBorders>
            <w:gridSpan w:val="4"/>
          </w:tcPr>
          <w:p>
            <w:pPr>
              <w:spacing w:after="0"/>
              <w:rPr>
                <w:sz w:val="24"/>
                <w:szCs w:val="24"/>
                <w:color w:val="auto"/>
              </w:rPr>
            </w:pPr>
          </w:p>
        </w:tc>
        <w:tc>
          <w:tcPr>
            <w:tcW w:w="2580" w:type="dxa"/>
            <w:vAlign w:val="bottom"/>
            <w:gridSpan w:val="2"/>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Item 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320" w:type="dxa"/>
            <w:vAlign w:val="bottom"/>
            <w:gridSpan w:val="1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Submission of Matters to a Vote of Security Holders.</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Item 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Other Information.</w:t>
              </w:r>
            </w:hyperlink>
          </w:p>
        </w:tc>
        <w:tc>
          <w:tcPr>
            <w:tcW w:w="2380" w:type="dxa"/>
            <w:vAlign w:val="bottom"/>
            <w:tcBorders>
              <w:top w:val="single" w:sz="8" w:color="0000EE"/>
            </w:tcBorders>
            <w:gridSpan w:val="8"/>
          </w:tcPr>
          <w:p>
            <w:pPr>
              <w:spacing w:after="0"/>
              <w:rPr>
                <w:sz w:val="24"/>
                <w:szCs w:val="24"/>
                <w:color w:val="auto"/>
              </w:rPr>
            </w:pPr>
          </w:p>
        </w:tc>
        <w:tc>
          <w:tcPr>
            <w:tcW w:w="4600" w:type="dxa"/>
            <w:vAlign w:val="bottom"/>
            <w:gridSpan w:val="4"/>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Item 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320" w:type="dxa"/>
            <w:vAlign w:val="bottom"/>
            <w:gridSpan w:val="1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Exhibits and Reports on Form 8-K.</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1490" w:type="dxa"/>
            <w:vAlign w:val="bottom"/>
            <w:gridSpan w:val="2"/>
          </w:tcPr>
          <w:p>
            <w:pPr>
              <w:jc w:val="center"/>
              <w:ind w:right="950"/>
              <w:spacing w:after="0"/>
              <w:rPr>
                <w:sz w:val="20"/>
                <w:szCs w:val="20"/>
                <w:color w:val="auto"/>
              </w:rPr>
            </w:pPr>
            <w:r>
              <w:rPr>
                <w:rFonts w:ascii="Arial" w:cs="Arial" w:eastAsia="Arial" w:hAnsi="Arial"/>
                <w:sz w:val="14"/>
                <w:szCs w:val="14"/>
                <w:b w:val="1"/>
                <w:bCs w:val="1"/>
                <w:color w:val="auto"/>
                <w:w w:val="85"/>
              </w:rPr>
              <w:t>June 30,</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650" w:type="dxa"/>
            <w:vAlign w:val="bottom"/>
          </w:tcPr>
          <w:p>
            <w:pPr>
              <w:jc w:val="center"/>
              <w:ind w:right="4"/>
              <w:spacing w:after="0"/>
              <w:rPr>
                <w:sz w:val="20"/>
                <w:szCs w:val="20"/>
                <w:color w:val="auto"/>
              </w:rPr>
            </w:pPr>
            <w:r>
              <w:rPr>
                <w:rFonts w:ascii="Arial" w:cs="Arial" w:eastAsia="Arial" w:hAnsi="Arial"/>
                <w:sz w:val="14"/>
                <w:szCs w:val="14"/>
                <w:b w:val="1"/>
                <w:bCs w:val="1"/>
                <w:color w:val="auto"/>
                <w:w w:val="83"/>
              </w:rPr>
              <w:t>2004</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80" w:type="dxa"/>
            <w:vAlign w:val="bottom"/>
          </w:tcPr>
          <w:p>
            <w:pPr>
              <w:spacing w:after="0"/>
              <w:rPr>
                <w:sz w:val="21"/>
                <w:szCs w:val="21"/>
                <w:color w:val="auto"/>
              </w:rPr>
            </w:pPr>
          </w:p>
        </w:tc>
        <w:tc>
          <w:tcPr>
            <w:tcW w:w="158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89"/>
              </w:rPr>
              <w:t>(unaudited)</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9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90" w:type="dxa"/>
            <w:vAlign w:val="bottom"/>
          </w:tcPr>
          <w:p>
            <w:pPr>
              <w:spacing w:after="0"/>
              <w:rPr>
                <w:sz w:val="24"/>
                <w:szCs w:val="24"/>
                <w:color w:val="auto"/>
              </w:rPr>
            </w:pPr>
          </w:p>
        </w:tc>
        <w:tc>
          <w:tcPr>
            <w:tcW w:w="65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30,111</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805</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investments in marketable securities</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10,876</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2,093</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90" w:type="dxa"/>
            <w:vAlign w:val="bottom"/>
          </w:tcPr>
          <w:p>
            <w:pPr>
              <w:spacing w:after="0"/>
              <w:rPr>
                <w:sz w:val="19"/>
                <w:szCs w:val="19"/>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1,397</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49,142</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8,756</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Long-term investments in marketable securities</w:t>
            </w:r>
          </w:p>
        </w:tc>
        <w:tc>
          <w:tcPr>
            <w:tcW w:w="90" w:type="dxa"/>
            <w:vAlign w:val="bottom"/>
          </w:tcPr>
          <w:p>
            <w:pPr>
              <w:spacing w:after="0"/>
              <w:rPr>
                <w:sz w:val="19"/>
                <w:szCs w:val="19"/>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20,526</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79,205</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90" w:type="dxa"/>
            <w:vAlign w:val="bottom"/>
          </w:tcPr>
          <w:p>
            <w:pPr>
              <w:spacing w:after="0"/>
              <w:rPr>
                <w:sz w:val="9"/>
                <w:szCs w:val="9"/>
                <w:color w:val="auto"/>
              </w:rPr>
            </w:pPr>
          </w:p>
        </w:tc>
        <w:tc>
          <w:tcPr>
            <w:tcW w:w="65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9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90" w:type="dxa"/>
            <w:vAlign w:val="bottom"/>
          </w:tcPr>
          <w:p>
            <w:pPr>
              <w:spacing w:after="0"/>
              <w:rPr>
                <w:sz w:val="24"/>
                <w:szCs w:val="24"/>
                <w:color w:val="auto"/>
              </w:rPr>
            </w:pPr>
          </w:p>
        </w:tc>
        <w:tc>
          <w:tcPr>
            <w:tcW w:w="65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3,054</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Stockholders’ equity:</w:t>
            </w:r>
          </w:p>
        </w:tc>
        <w:tc>
          <w:tcPr>
            <w:tcW w:w="90" w:type="dxa"/>
            <w:vAlign w:val="bottom"/>
          </w:tcPr>
          <w:p>
            <w:pPr>
              <w:spacing w:after="0"/>
              <w:rPr>
                <w:sz w:val="18"/>
                <w:szCs w:val="18"/>
                <w:color w:val="auto"/>
              </w:rPr>
            </w:pPr>
          </w:p>
        </w:tc>
        <w:tc>
          <w:tcPr>
            <w:tcW w:w="65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Treasury stock</w:t>
            </w:r>
          </w:p>
        </w:tc>
        <w:tc>
          <w:tcPr>
            <w:tcW w:w="90" w:type="dxa"/>
            <w:vAlign w:val="bottom"/>
          </w:tcPr>
          <w:p>
            <w:pPr>
              <w:spacing w:after="0"/>
              <w:rPr>
                <w:sz w:val="18"/>
                <w:szCs w:val="18"/>
                <w:color w:val="auto"/>
              </w:rPr>
            </w:pPr>
          </w:p>
        </w:tc>
        <w:tc>
          <w:tcPr>
            <w:tcW w:w="1490" w:type="dxa"/>
            <w:vAlign w:val="bottom"/>
            <w:gridSpan w:val="2"/>
          </w:tcPr>
          <w:p>
            <w:pPr>
              <w:jc w:val="right"/>
              <w:ind w:right="78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stock compensation</w:t>
            </w:r>
          </w:p>
        </w:tc>
        <w:tc>
          <w:tcPr>
            <w:tcW w:w="90" w:type="dxa"/>
            <w:vAlign w:val="bottom"/>
            <w:shd w:val="clear" w:color="auto" w:fill="CCEEFF"/>
          </w:tcPr>
          <w:p>
            <w:pPr>
              <w:spacing w:after="0"/>
              <w:rPr>
                <w:sz w:val="18"/>
                <w:szCs w:val="18"/>
                <w:color w:val="auto"/>
              </w:rPr>
            </w:pPr>
          </w:p>
        </w:tc>
        <w:tc>
          <w:tcPr>
            <w:tcW w:w="149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w w:val="95"/>
              </w:rPr>
              <w:t>215,367</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214,993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90" w:type="dxa"/>
            <w:vAlign w:val="bottom"/>
            <w:shd w:val="clear" w:color="auto" w:fill="CCEEFF"/>
          </w:tcPr>
          <w:p>
            <w:pPr>
              <w:spacing w:after="0"/>
              <w:rPr>
                <w:sz w:val="18"/>
                <w:szCs w:val="18"/>
                <w:color w:val="auto"/>
              </w:rPr>
            </w:pPr>
          </w:p>
        </w:tc>
        <w:tc>
          <w:tcPr>
            <w:tcW w:w="149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88"/>
              </w:rPr>
              <w:t>(141,735)</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(130,018)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Other accumulated comprehensive income</w:t>
            </w:r>
          </w:p>
        </w:tc>
        <w:tc>
          <w:tcPr>
            <w:tcW w:w="90" w:type="dxa"/>
            <w:vAlign w:val="bottom"/>
          </w:tcPr>
          <w:p>
            <w:pPr>
              <w:spacing w:after="0"/>
              <w:rPr>
                <w:sz w:val="19"/>
                <w:szCs w:val="19"/>
                <w:color w:val="auto"/>
              </w:rPr>
            </w:pPr>
          </w:p>
        </w:tc>
        <w:tc>
          <w:tcPr>
            <w:tcW w:w="1490" w:type="dxa"/>
            <w:vAlign w:val="bottom"/>
            <w:gridSpan w:val="2"/>
          </w:tcPr>
          <w:p>
            <w:pPr>
              <w:jc w:val="right"/>
              <w:ind w:right="780"/>
              <w:spacing w:after="0"/>
              <w:rPr>
                <w:sz w:val="20"/>
                <w:szCs w:val="20"/>
                <w:color w:val="auto"/>
              </w:rPr>
            </w:pPr>
            <w:r>
              <w:rPr>
                <w:rFonts w:ascii="Arial" w:cs="Arial" w:eastAsia="Arial" w:hAnsi="Arial"/>
                <w:sz w:val="18"/>
                <w:szCs w:val="18"/>
                <w:color w:val="auto"/>
              </w:rPr>
              <w:t>(324)</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73,348</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79,205</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-2756535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-2756535</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-2756535</wp:posOffset>
            </wp:positionV>
            <wp:extent cx="3873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-2756535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-2756535</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-2756535</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55308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308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4"/>
                <w:szCs w:val="14"/>
                <w:color w:val="auto"/>
              </w:rPr>
            </w:pPr>
          </w:p>
        </w:tc>
        <w:tc>
          <w:tcPr>
            <w:tcW w:w="1200" w:type="dxa"/>
            <w:vAlign w:val="bottom"/>
            <w:gridSpan w:val="5"/>
          </w:tcPr>
          <w:p>
            <w:pPr>
              <w:jc w:val="right"/>
              <w:spacing w:after="0"/>
              <w:rPr>
                <w:sz w:val="20"/>
                <w:szCs w:val="20"/>
                <w:color w:val="auto"/>
              </w:rPr>
            </w:pPr>
            <w:r>
              <w:rPr>
                <w:rFonts w:ascii="Arial" w:cs="Arial" w:eastAsia="Arial" w:hAnsi="Arial"/>
                <w:sz w:val="14"/>
                <w:szCs w:val="14"/>
                <w:b w:val="1"/>
                <w:bCs w:val="1"/>
                <w:color w:val="auto"/>
              </w:rPr>
              <w:t>Six Months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Ended June 30,</w:t>
            </w:r>
          </w:p>
        </w:tc>
        <w:tc>
          <w:tcPr>
            <w:tcW w:w="120" w:type="dxa"/>
            <w:vAlign w:val="bottom"/>
          </w:tcPr>
          <w:p>
            <w:pPr>
              <w:spacing w:after="0"/>
              <w:rPr>
                <w:sz w:val="15"/>
                <w:szCs w:val="15"/>
                <w:color w:val="auto"/>
              </w:rPr>
            </w:pPr>
          </w:p>
        </w:tc>
        <w:tc>
          <w:tcPr>
            <w:tcW w:w="186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2003</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2,271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2,352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4,624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&amp; administrative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Amortization of deferred stock compensation</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10,141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8,176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19,341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(6,426)</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1"/>
              </w:rPr>
              <w:t>(6,305)</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6"/>
              </w:rPr>
              <w:t>(12,386)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387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669</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(6,093)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1"/>
              </w:rPr>
              <w:t>(5,933)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6"/>
              </w:rPr>
              <w:t>(11,717)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(12,257)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42,375</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41,861</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42,304</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41,805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(6,093)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480"/>
              <w:spacing w:after="0"/>
              <w:rPr>
                <w:sz w:val="20"/>
                <w:szCs w:val="20"/>
                <w:color w:val="auto"/>
              </w:rPr>
            </w:pPr>
            <w:r>
              <w:rPr>
                <w:rFonts w:ascii="Arial" w:cs="Arial" w:eastAsia="Arial" w:hAnsi="Arial"/>
                <w:sz w:val="18"/>
                <w:szCs w:val="18"/>
                <w:color w:val="auto"/>
                <w:w w:val="91"/>
              </w:rPr>
              <w:t>(5,933)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w w:val="86"/>
              </w:rPr>
              <w:t>(11,717)</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(loss) on investments in marketable securities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(6,524)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1"/>
              </w:rPr>
              <w:t>(6,021)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6"/>
              </w:rPr>
              <w:t>(12,120)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(12,463)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-1229995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-1229995</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-1229995</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-1229995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-1229995</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-1229995</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-1229995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-1229995</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-1229995</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-1229995</wp:posOffset>
            </wp:positionV>
            <wp:extent cx="45021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50215"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-29210</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20" w:type="dxa"/>
            <w:vAlign w:val="bottom"/>
          </w:tcPr>
          <w:p>
            <w:pPr>
              <w:spacing w:after="0"/>
              <w:rPr>
                <w:sz w:val="15"/>
                <w:szCs w:val="15"/>
                <w:color w:val="auto"/>
              </w:rPr>
            </w:pPr>
          </w:p>
        </w:tc>
        <w:tc>
          <w:tcPr>
            <w:tcW w:w="19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20" w:type="dxa"/>
            <w:vAlign w:val="bottom"/>
          </w:tcPr>
          <w:p>
            <w:pPr>
              <w:spacing w:after="0"/>
              <w:rPr>
                <w:sz w:val="22"/>
                <w:szCs w:val="22"/>
                <w:color w:val="auto"/>
              </w:rPr>
            </w:pPr>
          </w:p>
        </w:tc>
        <w:tc>
          <w:tcPr>
            <w:tcW w:w="6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Net loss</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w w:val="85"/>
              </w:rPr>
              <w:t>$ (11,717)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cash used in operating activities:</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Depreciation expense</w:t>
            </w:r>
          </w:p>
        </w:tc>
        <w:tc>
          <w:tcPr>
            <w:tcW w:w="660" w:type="dxa"/>
            <w:vAlign w:val="bottom"/>
          </w:tcPr>
          <w:p>
            <w:pPr>
              <w:jc w:val="right"/>
              <w:spacing w:after="0"/>
              <w:rPr>
                <w:sz w:val="20"/>
                <w:szCs w:val="20"/>
                <w:color w:val="auto"/>
              </w:rPr>
            </w:pPr>
            <w:r>
              <w:rPr>
                <w:rFonts w:ascii="Arial" w:cs="Arial" w:eastAsia="Arial" w:hAnsi="Arial"/>
                <w:sz w:val="18"/>
                <w:szCs w:val="18"/>
                <w:color w:val="auto"/>
              </w:rPr>
              <w:t>1,234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Accretion of premium / discount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Amortization of deferred stock compensation</w:t>
            </w: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1280"/>
              <w:spacing w:after="0"/>
              <w:rPr>
                <w:sz w:val="20"/>
                <w:szCs w:val="20"/>
                <w:color w:val="auto"/>
              </w:rPr>
            </w:pPr>
            <w:r>
              <w:rPr>
                <w:rFonts w:ascii="Arial" w:cs="Arial" w:eastAsia="Arial" w:hAnsi="Arial"/>
                <w:sz w:val="18"/>
                <w:szCs w:val="18"/>
                <w:color w:val="auto"/>
              </w:rPr>
              <w:t>Accounts receivable, net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Inventories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1280"/>
              <w:spacing w:after="0"/>
              <w:rPr>
                <w:sz w:val="20"/>
                <w:szCs w:val="20"/>
                <w:color w:val="auto"/>
              </w:rPr>
            </w:pPr>
            <w:r>
              <w:rPr>
                <w:rFonts w:ascii="Arial" w:cs="Arial" w:eastAsia="Arial" w:hAnsi="Arial"/>
                <w:sz w:val="18"/>
                <w:szCs w:val="18"/>
                <w:color w:val="auto"/>
              </w:rPr>
              <w:t>Prepaid expenses and other assets</w:t>
            </w: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1280"/>
              <w:spacing w:after="0"/>
              <w:rPr>
                <w:sz w:val="20"/>
                <w:szCs w:val="20"/>
                <w:color w:val="auto"/>
              </w:rPr>
            </w:pPr>
            <w:r>
              <w:rPr>
                <w:rFonts w:ascii="Arial" w:cs="Arial" w:eastAsia="Arial" w:hAnsi="Arial"/>
                <w:sz w:val="18"/>
                <w:szCs w:val="18"/>
                <w:color w:val="auto"/>
              </w:rPr>
              <w:t>Accrued expenses</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Deferred revenue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(9,608)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(8,731)</w:t>
            </w:r>
          </w:p>
        </w:tc>
        <w:tc>
          <w:tcPr>
            <w:tcW w:w="0" w:type="dxa"/>
            <w:vAlign w:val="bottom"/>
          </w:tcPr>
          <w:p>
            <w:pPr>
              <w:spacing w:after="0"/>
              <w:rPr>
                <w:sz w:val="1"/>
                <w:szCs w:val="1"/>
                <w:color w:val="auto"/>
              </w:rPr>
            </w:pPr>
          </w:p>
        </w:tc>
      </w:tr>
      <w:tr>
        <w:trPr>
          <w:trHeight w:val="322"/>
        </w:trPr>
        <w:tc>
          <w:tcPr>
            <w:tcW w:w="944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Purchases of investments</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(11,580)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Sales/Maturities of investments</w:t>
            </w:r>
          </w:p>
        </w:tc>
        <w:tc>
          <w:tcPr>
            <w:tcW w:w="660" w:type="dxa"/>
            <w:vAlign w:val="bottom"/>
          </w:tcPr>
          <w:p>
            <w:pPr>
              <w:jc w:val="right"/>
              <w:spacing w:after="0"/>
              <w:rPr>
                <w:sz w:val="20"/>
                <w:szCs w:val="20"/>
                <w:color w:val="auto"/>
              </w:rPr>
            </w:pPr>
            <w:r>
              <w:rPr>
                <w:rFonts w:ascii="Arial" w:cs="Arial" w:eastAsia="Arial" w:hAnsi="Arial"/>
                <w:sz w:val="18"/>
                <w:szCs w:val="18"/>
                <w:color w:val="auto"/>
              </w:rPr>
              <w:t>22,624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(10,052)</w:t>
            </w:r>
          </w:p>
        </w:tc>
        <w:tc>
          <w:tcPr>
            <w:tcW w:w="0" w:type="dxa"/>
            <w:vAlign w:val="bottom"/>
          </w:tcPr>
          <w:p>
            <w:pPr>
              <w:spacing w:after="0"/>
              <w:rPr>
                <w:sz w:val="1"/>
                <w:szCs w:val="1"/>
                <w:color w:val="auto"/>
              </w:rPr>
            </w:pPr>
          </w:p>
        </w:tc>
      </w:tr>
      <w:tr>
        <w:trPr>
          <w:trHeight w:val="322"/>
        </w:trPr>
        <w:tc>
          <w:tcPr>
            <w:tcW w:w="944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 of common stock</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(18,536)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660" w:type="dxa"/>
            <w:vAlign w:val="bottom"/>
          </w:tcPr>
          <w:p>
            <w:pPr>
              <w:jc w:val="right"/>
              <w:spacing w:after="0"/>
              <w:rPr>
                <w:sz w:val="20"/>
                <w:szCs w:val="20"/>
                <w:color w:val="auto"/>
              </w:rPr>
            </w:pPr>
            <w:r>
              <w:rPr>
                <w:rFonts w:ascii="Arial" w:cs="Arial" w:eastAsia="Arial" w:hAnsi="Arial"/>
                <w:sz w:val="18"/>
                <w:szCs w:val="18"/>
                <w:color w:val="auto"/>
              </w:rPr>
              <w:t>29,243</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62,934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$ 30,916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44,398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45021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5021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Active Power, Inc. (“we” or “the Company”) was founded in 1992 for the purpose of developing and commercializing advances in the field of electromechanics. Prior to 2000, we devoted our efforts principally to research and development, pursuing patent protection for our innovations, successful production of our initial prototypes, raising capital and pursuing markets for our flywheel-based power quality and energy storage products. In 2000 and 2001, the size and scope of our operations expanded considerably. We raised our level of new product development, increased our manufacturing capabilities and capacity, and added resources in sales and service to strengthen our distribution channels to position the company for the commercial launch of our products and anticipated growth.</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accompanying unaudited interim financial statements have been prepared pursuant to the rules and regulations of the Securities and Exchange Commission. Accordingly, certain information and footnote disclosures normally included in financial statements prepared in accordance with generally accepted accounting principles have been condensed or omitted. These financial statements should be read in conjunction with the audited financial statements and accompanying notes thereto included in our Form 10-K for the year ended December 31, 2003. In the opinion of management, the financial statements include all adjustments (consisting of normal recurring adjustments) necessary for a fair presentation of the results for the periods presented. Results of operations for any interim period are not necessarily indicative of results for any other interim period or for the full year.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prior year balances have been reclassified to conform to current year presentation.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Active Power states inventories at the lower of cost or market, using the first-in-first-out-method. Inventories consist of the following (in thousands):</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2"/>
              </w:rPr>
              <w:t>June 30,</w:t>
            </w: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40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35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00" w:type="dxa"/>
            <w:vAlign w:val="bottom"/>
          </w:tcPr>
          <w:p>
            <w:pPr>
              <w:spacing w:after="0"/>
              <w:rPr>
                <w:sz w:val="8"/>
                <w:szCs w:val="8"/>
                <w:color w:val="auto"/>
              </w:rPr>
            </w:pPr>
          </w:p>
        </w:tc>
        <w:tc>
          <w:tcPr>
            <w:tcW w:w="3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Work in process and finished goods</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2,145</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35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3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Inventories</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3560" w:type="dxa"/>
            <w:vAlign w:val="bottom"/>
            <w:vMerge w:val="restart"/>
          </w:tcPr>
          <w:p>
            <w:pPr>
              <w:jc w:val="right"/>
              <w:ind w:right="2376"/>
              <w:spacing w:after="0"/>
              <w:rPr>
                <w:sz w:val="20"/>
                <w:szCs w:val="20"/>
                <w:color w:val="auto"/>
              </w:rPr>
            </w:pPr>
            <w:r>
              <w:rPr>
                <w:rFonts w:ascii="Arial" w:cs="Arial" w:eastAsia="Arial" w:hAnsi="Arial"/>
                <w:sz w:val="18"/>
                <w:szCs w:val="18"/>
                <w:color w:val="auto"/>
              </w:rPr>
              <w:t>4</w:t>
            </w:r>
          </w:p>
        </w:tc>
        <w:tc>
          <w:tcPr>
            <w:tcW w:w="5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-325755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-325755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-325755</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-325755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-325755</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Capital Structure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4"/>
                <w:szCs w:val="14"/>
                <w:color w:val="auto"/>
              </w:rPr>
            </w:pPr>
          </w:p>
        </w:tc>
        <w:tc>
          <w:tcPr>
            <w:tcW w:w="1200" w:type="dxa"/>
            <w:vAlign w:val="bottom"/>
            <w:gridSpan w:val="5"/>
          </w:tcPr>
          <w:p>
            <w:pPr>
              <w:jc w:val="right"/>
              <w:spacing w:after="0"/>
              <w:rPr>
                <w:sz w:val="20"/>
                <w:szCs w:val="20"/>
                <w:color w:val="auto"/>
              </w:rPr>
            </w:pPr>
            <w:r>
              <w:rPr>
                <w:rFonts w:ascii="Arial" w:cs="Arial" w:eastAsia="Arial" w:hAnsi="Arial"/>
                <w:sz w:val="14"/>
                <w:szCs w:val="14"/>
                <w:b w:val="1"/>
                <w:bCs w:val="1"/>
                <w:color w:val="auto"/>
              </w:rPr>
              <w:t>Six Months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Ended June 30,</w:t>
            </w:r>
          </w:p>
        </w:tc>
        <w:tc>
          <w:tcPr>
            <w:tcW w:w="100" w:type="dxa"/>
            <w:vAlign w:val="bottom"/>
          </w:tcPr>
          <w:p>
            <w:pPr>
              <w:spacing w:after="0"/>
              <w:rPr>
                <w:sz w:val="15"/>
                <w:szCs w:val="15"/>
                <w:color w:val="auto"/>
              </w:rPr>
            </w:pPr>
          </w:p>
        </w:tc>
        <w:tc>
          <w:tcPr>
            <w:tcW w:w="186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80"/>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2003</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10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1"/>
              </w:rPr>
              <w:t>(6,093)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(5,933)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6"/>
              </w:rPr>
              <w:t>(11,717)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(12,257)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Weighted-average shares of common stock outstanding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42,375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41,877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42,306</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Weighted-average shares of common stock subject to repurchase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net loss per share, basic and diluted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42,375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41,861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42,304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-329565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-329565</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-329565</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-329565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-329565</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-329565</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-329565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-329565</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-329565</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-329565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-329565</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-329565</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-29210</wp:posOffset>
            </wp:positionV>
            <wp:extent cx="4070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-29210</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Active Power’s calculation of diluted loss per share excludes 5,049,048 and 4,361,914 shares of common stock issuable upon exercise of employee stock options as of June 30, 2004 and 2003, respectively, because inclusion would be antidilutive.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Legal Proceedings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Magnex Corp, et al. v. Joseph Pinkerton et al.</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March 25, 2002, we, along with Joseph F. Pinkerton, III, our chairman, president and chief executive officer, Pinkerton Generator, Inc. (a corporation in which Mr. Pinkerton was an officer, director and the primary shareholder), and Caterpillar Inc. were named as defendants in a complaint filed in Michigan state court in the Circuit Court for the County of Wayne. The plaintiffs, currently listed as Magnex Corp., White Enigma, LLC and their individual principals (Paul Hodges and Randy Bergeron, respectively), were originally seeking unspecified damages for: alleged breach of a joint venture agreement dated June 23, 1989, which was entered into by and among Pinkerton Generator, Inc., Magnex Corp. and Enigma Corp.; breach of fiduciary duties; misappropriation of trade secrets; and the commission of other torts relating to this joint venture. Neither Active Power nor any of its predecessors in interest was a party to the joint venture agreement that is the subject of the litigation.</w:t>
      </w:r>
    </w:p>
    <w:p>
      <w:pPr>
        <w:spacing w:after="0" w:line="105" w:lineRule="exact"/>
        <w:rPr>
          <w:sz w:val="20"/>
          <w:szCs w:val="20"/>
          <w:color w:val="auto"/>
        </w:rPr>
      </w:pPr>
    </w:p>
    <w:p>
      <w:pPr>
        <w:ind w:right="600" w:firstLine="456"/>
        <w:spacing w:after="0" w:line="256" w:lineRule="auto"/>
        <w:rPr>
          <w:sz w:val="20"/>
          <w:szCs w:val="20"/>
          <w:color w:val="auto"/>
        </w:rPr>
      </w:pPr>
      <w:r>
        <w:rPr>
          <w:rFonts w:ascii="Arial" w:cs="Arial" w:eastAsia="Arial" w:hAnsi="Arial"/>
          <w:sz w:val="18"/>
          <w:szCs w:val="18"/>
          <w:color w:val="auto"/>
        </w:rPr>
        <w:t>A First Amended Complaint was filed on April 16, 2002. The plaintiffs filed a Second Amended Complaint on June 3, 2003, and a Third Amended Complaint on November 14, 2003. Caterpillar has been dismissed from the case. Only two causes of action remain against Mr. Pinkerton and Pinkerton Generator, Inc.: breach of contract and unjust enrichment. Only one cause of action remains against Active Power: tortious interference with a business relationship.</w:t>
      </w:r>
    </w:p>
    <w:p>
      <w:pPr>
        <w:spacing w:after="0" w:line="13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discovery phase of this litigation has concluded. On April 8, 2004 the parties participated in mediation and a court-mandated case evaluation in Detroit, Michigan. The case did not settle during the mediation. In the case evaluation, a panel of three attorneys – one of whom was selected by the plaintiffs, one of whom was selected by the defendants and one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whom was independent – made an evaluation of the dollar amount, broken down by cause of action for each plaintiff against each defendant, for which they believe the case should settle. This evaluation award is non-binding on the parties, unless both parties accept the evaluation award. However, should a party refuse to settle for the evaluated amount and the other party accept the evaluation amount, the refusing party will be responsible for all attorney fees incurred by the accepting party from the evaluation date through trial unless the refusing party “beats” the evaluation amount by at least 10% following a full trial on the merits.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April 8, 2004, the panel of evaluators determined evaluation amounts against Active Power of $280,000 for Bergeron/White Enigma, LLC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$220,000 for Hodges/Magnex Corporation, for a total amount of $500,000. Active Power accepted both of these evaluation amounts. Bergeron/White Enigma,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LLC accepted its evaluation amount and, therefore, settled that portion of the case for $280,000. This settlement amount is included in the selling, general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section of our income statement for the three month period ended June 30, 2004. Hodges/Magnex Corporation rejected their respective evaluation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A trial date for the unresolved claims against Active Power and Mr. Pinkerton has been set for August 16, 2004 in Detroit, Michigan. While we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unable to estimate the range of potential liability at this time and strongly deny any liability, an adverse outcome in this litigation nonetheless could be material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 whether such damages are assessed directly against Active Power itself or to Mr. Pinkerton and/or Pinkerton Generator should we either agree to indemnify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Pinkerton and /or Pinkerton Generator in whole or in part or if we are found to be liable in whole or in part for any liability Mr. Pinkerton and/or Pinkerton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Generator may incur.</w:t>
      </w:r>
    </w:p>
    <w:p>
      <w:pPr>
        <w:spacing w:after="0" w:line="15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board created a special litigation committee consisting of independent directors to assist the full board in monitoring and assessing and creating strategy with respect to this litigation. The special committee has authority to, among other things, engage its own legal and other advisers, and to recommend litigation and settlement strategy to the full board. The committee has engaged outside independent counsel to advise the committee regarding this litigation. Because the board determined, among other things, that the interests of Active Power and Mr. Pinkerton were aligned, Active Power has borne all legal fees and other defense costs relating to this litigation to date (including those relating to Caterpillar pursuant to an indemnity agreement). The special committee regularly evaluates this position. The special committee is also assessing whether and to what extent Active Power should continue to bear defense, settlement, judgment or other costs relating to this litigation, including whether and to what extent to indemnify Mr. Pinkerton and Pinkerton Generator, both with respect to the continued cost of legal defense as well as for any damages actually incurred.</w:t>
      </w:r>
    </w:p>
    <w:p>
      <w:pPr>
        <w:spacing w:after="0" w:line="10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Due to the uncertain nature of all litigation and jury proceedings, our assessments of potential liability, if any, for defense, settlement, judgment or other costs relating to this litigation could vary significantly from the actual amounts, if any, as well as from the evaluation amounts determined by the panel of evaluators. The evaluation amounts are not made known to a jury, nor are they otherwise considered in the jury’s deliberations or the trial process. Moreover, notwithstanding the decision of the case evaluators and Active Power’s decision to accept the evaluations applicable to it, Active Power continues to believe very strongly that the claims against it and the other defendants are wholly without merit. Therefore, Active Power has determined that, at this time, it is not appropriate to make any accruals with respect to this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litigation. We are unable to estimate the range of potential liability at this time and strongly deny any liability. However, an adverse outcome in this litigation nonetheless could be material to us, whether such damages are assessed directly against Active Power itself or to Mr. Pinkerton and/or Pinkerton Generator should we either agree to indemnify Mr. Pinkerton and/or Pinkerton Generator in whole or in part or if we are found to be liable in whole or in part for any liability Mr. Pinkerton and/or Pinkerton Generator may incur.</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Active Power, Inc., et al. v. Greenwich Insurance Company</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On July 16, 2004 Active Power filed a lawsuit against Greenwich Insurance Company seeking coverage under an insurance policy providing for management liability and company reimbursement coverage in connection with the </w:t>
      </w:r>
      <w:r>
        <w:rPr>
          <w:rFonts w:ascii="Arial" w:cs="Arial" w:eastAsia="Arial" w:hAnsi="Arial"/>
          <w:sz w:val="18"/>
          <w:szCs w:val="18"/>
          <w:i w:val="1"/>
          <w:iCs w:val="1"/>
          <w:color w:val="auto"/>
        </w:rPr>
        <w:t>Magnex</w:t>
      </w:r>
      <w:r>
        <w:rPr>
          <w:rFonts w:ascii="Arial" w:cs="Arial" w:eastAsia="Arial" w:hAnsi="Arial"/>
          <w:sz w:val="18"/>
          <w:szCs w:val="18"/>
          <w:color w:val="auto"/>
        </w:rPr>
        <w:t xml:space="preserve"> litigation described above. The case seeks a declaratory judgment that Active Power is entitled to coverage under its policy with Greenwich Insurance Company and also alleges breach of contract for Greenwich’s failure to fulfill its contractual obligations under the policy. This case was filed in the Travis County District Court, in Texas state court. Defendant in this case has yet to respond to the original petition.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Accounting for Stock-Based Compensation</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allowed by Statement No. 123, Accounting for Stock-Based Compensation, Active Power accounts for its stock compensation arrangements with employees using the intrinsic value method under the provisions of the Accounting Principles Board’s Opinion No. 25, Accounting for Stock Issued to Employees. Deferred stock-based compensation is amortized over the vesting period, which is generally four years, utilizing the accelerated method prescribed in FASB Interpretation No. 28. Pro forma stock compensation in accordance with Statement No. 123 is amortized using the straight line method over the vesting period.</w:t>
      </w:r>
    </w:p>
    <w:p>
      <w:pPr>
        <w:spacing w:after="0" w:line="12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illustrates the effect on net income and earnings per share if we had applied the fair value recognition provisions of Statement No. 123 (in thousands, except per share data):</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211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Three Months</w:t>
            </w:r>
          </w:p>
        </w:tc>
        <w:tc>
          <w:tcPr>
            <w:tcW w:w="110" w:type="dxa"/>
            <w:vAlign w:val="bottom"/>
          </w:tcPr>
          <w:p>
            <w:pPr>
              <w:spacing w:after="0"/>
              <w:rPr>
                <w:sz w:val="14"/>
                <w:szCs w:val="14"/>
                <w:color w:val="auto"/>
              </w:rPr>
            </w:pPr>
          </w:p>
        </w:tc>
        <w:tc>
          <w:tcPr>
            <w:tcW w:w="1210" w:type="dxa"/>
            <w:vAlign w:val="bottom"/>
            <w:gridSpan w:val="5"/>
          </w:tcPr>
          <w:p>
            <w:pPr>
              <w:jc w:val="right"/>
              <w:spacing w:after="0"/>
              <w:rPr>
                <w:sz w:val="20"/>
                <w:szCs w:val="20"/>
                <w:color w:val="auto"/>
              </w:rPr>
            </w:pPr>
            <w:r>
              <w:rPr>
                <w:rFonts w:ascii="Arial" w:cs="Arial" w:eastAsia="Arial" w:hAnsi="Arial"/>
                <w:sz w:val="14"/>
                <w:szCs w:val="14"/>
                <w:b w:val="1"/>
                <w:bCs w:val="1"/>
                <w:color w:val="auto"/>
              </w:rPr>
              <w:t>Six Months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211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Ended June 30,</w:t>
            </w:r>
          </w:p>
        </w:tc>
        <w:tc>
          <w:tcPr>
            <w:tcW w:w="110" w:type="dxa"/>
            <w:vAlign w:val="bottom"/>
          </w:tcPr>
          <w:p>
            <w:pPr>
              <w:spacing w:after="0"/>
              <w:rPr>
                <w:sz w:val="15"/>
                <w:szCs w:val="15"/>
                <w:color w:val="auto"/>
              </w:rPr>
            </w:pPr>
          </w:p>
        </w:tc>
        <w:tc>
          <w:tcPr>
            <w:tcW w:w="187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22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470" w:type="dxa"/>
            <w:vAlign w:val="bottom"/>
          </w:tcPr>
          <w:p>
            <w:pPr>
              <w:jc w:val="right"/>
              <w:ind w:right="59"/>
              <w:spacing w:after="0"/>
              <w:rPr>
                <w:sz w:val="20"/>
                <w:szCs w:val="20"/>
                <w:color w:val="auto"/>
              </w:rPr>
            </w:pPr>
            <w:r>
              <w:rPr>
                <w:rFonts w:ascii="Arial" w:cs="Arial" w:eastAsia="Arial" w:hAnsi="Arial"/>
                <w:sz w:val="14"/>
                <w:szCs w:val="14"/>
                <w:b w:val="1"/>
                <w:bCs w:val="1"/>
                <w:color w:val="auto"/>
                <w:w w:val="96"/>
              </w:rPr>
              <w:t>2004</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2003</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550" w:type="dxa"/>
            <w:vAlign w:val="bottom"/>
          </w:tcPr>
          <w:p>
            <w:pPr>
              <w:jc w:val="right"/>
              <w:ind w:right="99"/>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90" w:type="dxa"/>
            <w:vAlign w:val="bottom"/>
          </w:tcPr>
          <w:p>
            <w:pPr>
              <w:spacing w:after="0"/>
              <w:rPr>
                <w:sz w:val="8"/>
                <w:szCs w:val="8"/>
                <w:color w:val="auto"/>
              </w:rPr>
            </w:pPr>
          </w:p>
        </w:tc>
        <w:tc>
          <w:tcPr>
            <w:tcW w:w="47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loss – as reported</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1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(6,093)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7"/>
              </w:rPr>
              <w:t>(5,933)</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9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6"/>
              </w:rPr>
              <w:t>(11,717)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(12,257)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w w:val="95"/>
              </w:rPr>
              <w:t>Total stock-based compensation cost, net of related tax effects included in the determination of</w:t>
            </w:r>
          </w:p>
        </w:tc>
        <w:tc>
          <w:tcPr>
            <w:tcW w:w="90" w:type="dxa"/>
            <w:vAlign w:val="bottom"/>
          </w:tcPr>
          <w:p>
            <w:pPr>
              <w:spacing w:after="0"/>
              <w:rPr>
                <w:sz w:val="18"/>
                <w:szCs w:val="18"/>
                <w:color w:val="auto"/>
              </w:rPr>
            </w:pPr>
          </w:p>
        </w:tc>
        <w:tc>
          <w:tcPr>
            <w:tcW w:w="47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5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net income as reported</w:t>
            </w:r>
          </w:p>
        </w:tc>
        <w:tc>
          <w:tcPr>
            <w:tcW w:w="90" w:type="dxa"/>
            <w:vAlign w:val="bottom"/>
          </w:tcPr>
          <w:p>
            <w:pPr>
              <w:spacing w:after="0"/>
              <w:rPr>
                <w:sz w:val="19"/>
                <w:szCs w:val="19"/>
                <w:color w:val="auto"/>
              </w:rPr>
            </w:pPr>
          </w:p>
        </w:tc>
        <w:tc>
          <w:tcPr>
            <w:tcW w:w="470" w:type="dxa"/>
            <w:vAlign w:val="bottom"/>
          </w:tcPr>
          <w:p>
            <w:pPr>
              <w:jc w:val="right"/>
              <w:spacing w:after="0"/>
              <w:rPr>
                <w:sz w:val="20"/>
                <w:szCs w:val="20"/>
                <w:color w:val="auto"/>
              </w:rPr>
            </w:pPr>
            <w:r>
              <w:rPr>
                <w:rFonts w:ascii="Arial" w:cs="Arial" w:eastAsia="Arial" w:hAnsi="Arial"/>
                <w:sz w:val="18"/>
                <w:szCs w:val="18"/>
                <w:color w:val="auto"/>
              </w:rPr>
              <w:t>17</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57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w w:val="95"/>
              </w:rPr>
              <w:t>The stock-based employee compensation cost, net of related tax effects, that would have been</w:t>
            </w:r>
          </w:p>
        </w:tc>
        <w:tc>
          <w:tcPr>
            <w:tcW w:w="90" w:type="dxa"/>
            <w:vAlign w:val="bottom"/>
            <w:shd w:val="clear" w:color="auto" w:fill="CCEEFF"/>
          </w:tcPr>
          <w:p>
            <w:pPr>
              <w:spacing w:after="0"/>
              <w:rPr>
                <w:sz w:val="18"/>
                <w:szCs w:val="18"/>
                <w:color w:val="auto"/>
              </w:rPr>
            </w:pPr>
          </w:p>
        </w:tc>
        <w:tc>
          <w:tcPr>
            <w:tcW w:w="47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included in the determination of net income if the fair value based method had been applied</w:t>
            </w:r>
          </w:p>
        </w:tc>
        <w:tc>
          <w:tcPr>
            <w:tcW w:w="90" w:type="dxa"/>
            <w:vAlign w:val="bottom"/>
            <w:shd w:val="clear" w:color="auto" w:fill="CCEEFF"/>
          </w:tcPr>
          <w:p>
            <w:pPr>
              <w:spacing w:after="0"/>
              <w:rPr>
                <w:sz w:val="18"/>
                <w:szCs w:val="18"/>
                <w:color w:val="auto"/>
              </w:rPr>
            </w:pPr>
          </w:p>
        </w:tc>
        <w:tc>
          <w:tcPr>
            <w:tcW w:w="47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 all awards</w:t>
            </w:r>
          </w:p>
        </w:tc>
        <w:tc>
          <w:tcPr>
            <w:tcW w:w="90" w:type="dxa"/>
            <w:vAlign w:val="bottom"/>
            <w:shd w:val="clear" w:color="auto" w:fill="CCEEFF"/>
          </w:tcPr>
          <w:p>
            <w:pPr>
              <w:spacing w:after="0"/>
              <w:rPr>
                <w:sz w:val="19"/>
                <w:szCs w:val="19"/>
                <w:color w:val="auto"/>
              </w:rPr>
            </w:pPr>
          </w:p>
        </w:tc>
        <w:tc>
          <w:tcPr>
            <w:tcW w:w="101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(1,195)</w:t>
            </w: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7"/>
              </w:rPr>
              <w:t>(1,482)</w:t>
            </w:r>
          </w:p>
        </w:tc>
        <w:tc>
          <w:tcPr>
            <w:tcW w:w="110" w:type="dxa"/>
            <w:vAlign w:val="bottom"/>
            <w:shd w:val="clear" w:color="auto" w:fill="CCEEFF"/>
          </w:tcPr>
          <w:p>
            <w:pPr>
              <w:spacing w:after="0"/>
              <w:rPr>
                <w:sz w:val="19"/>
                <w:szCs w:val="19"/>
                <w:color w:val="auto"/>
              </w:rPr>
            </w:pPr>
          </w:p>
        </w:tc>
        <w:tc>
          <w:tcPr>
            <w:tcW w:w="109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(2,409)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90" w:type="dxa"/>
            <w:vAlign w:val="bottom"/>
          </w:tcPr>
          <w:p>
            <w:pPr>
              <w:spacing w:after="0"/>
              <w:rPr>
                <w:sz w:val="8"/>
                <w:szCs w:val="8"/>
                <w:color w:val="auto"/>
              </w:rPr>
            </w:pPr>
          </w:p>
        </w:tc>
        <w:tc>
          <w:tcPr>
            <w:tcW w:w="47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1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(7,271)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7"/>
              </w:rPr>
              <w:t>(7,382)</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9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6"/>
              </w:rPr>
              <w:t>(14,092)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(15,293)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7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5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20" w:type="dxa"/>
            <w:vAlign w:val="bottom"/>
          </w:tcPr>
          <w:p>
            <w:pPr>
              <w:spacing w:after="0"/>
              <w:rPr>
                <w:sz w:val="9"/>
                <w:szCs w:val="9"/>
                <w:color w:val="auto"/>
              </w:rPr>
            </w:pPr>
          </w:p>
        </w:tc>
        <w:tc>
          <w:tcPr>
            <w:tcW w:w="90" w:type="dxa"/>
            <w:vAlign w:val="bottom"/>
          </w:tcPr>
          <w:p>
            <w:pPr>
              <w:spacing w:after="0"/>
              <w:rPr>
                <w:sz w:val="9"/>
                <w:szCs w:val="9"/>
                <w:color w:val="auto"/>
              </w:rPr>
            </w:pPr>
          </w:p>
        </w:tc>
        <w:tc>
          <w:tcPr>
            <w:tcW w:w="47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0" w:type="dxa"/>
            <w:vAlign w:val="bottom"/>
          </w:tcPr>
          <w:p>
            <w:pPr>
              <w:spacing w:after="0"/>
              <w:rPr>
                <w:sz w:val="9"/>
                <w:szCs w:val="9"/>
                <w:color w:val="auto"/>
              </w:rPr>
            </w:pPr>
          </w:p>
        </w:tc>
        <w:tc>
          <w:tcPr>
            <w:tcW w:w="55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90" w:type="dxa"/>
            <w:vAlign w:val="bottom"/>
            <w:shd w:val="clear" w:color="auto" w:fill="CCEEFF"/>
          </w:tcPr>
          <w:p>
            <w:pPr>
              <w:spacing w:after="0"/>
              <w:rPr>
                <w:sz w:val="18"/>
                <w:szCs w:val="18"/>
                <w:color w:val="auto"/>
              </w:rPr>
            </w:pPr>
          </w:p>
        </w:tc>
        <w:tc>
          <w:tcPr>
            <w:tcW w:w="47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Basic and diluted - as reported</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10" w:type="dxa"/>
            <w:vAlign w:val="bottom"/>
            <w:gridSpan w:val="2"/>
          </w:tcPr>
          <w:p>
            <w:pPr>
              <w:jc w:val="right"/>
              <w:ind w:right="480"/>
              <w:spacing w:after="0"/>
              <w:rPr>
                <w:sz w:val="20"/>
                <w:szCs w:val="20"/>
                <w:color w:val="auto"/>
              </w:rPr>
            </w:pPr>
            <w:r>
              <w:rPr>
                <w:rFonts w:ascii="Arial" w:cs="Arial" w:eastAsia="Arial" w:hAnsi="Arial"/>
                <w:sz w:val="18"/>
                <w:szCs w:val="18"/>
                <w:color w:val="auto"/>
              </w:rPr>
              <w:t>(0.14)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480"/>
              <w:spacing w:after="0"/>
              <w:rPr>
                <w:sz w:val="20"/>
                <w:szCs w:val="20"/>
                <w:color w:val="auto"/>
              </w:rPr>
            </w:pPr>
            <w:r>
              <w:rPr>
                <w:rFonts w:ascii="Arial" w:cs="Arial" w:eastAsia="Arial" w:hAnsi="Arial"/>
                <w:sz w:val="18"/>
                <w:szCs w:val="18"/>
                <w:color w:val="auto"/>
              </w:rPr>
              <w:t>(0.14)</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90" w:type="dxa"/>
            <w:vAlign w:val="bottom"/>
            <w:gridSpan w:val="3"/>
          </w:tcPr>
          <w:p>
            <w:pPr>
              <w:jc w:val="right"/>
              <w:ind w:right="480"/>
              <w:spacing w:after="0"/>
              <w:rPr>
                <w:sz w:val="20"/>
                <w:szCs w:val="20"/>
                <w:color w:val="auto"/>
              </w:rPr>
            </w:pPr>
            <w:r>
              <w:rPr>
                <w:rFonts w:ascii="Arial" w:cs="Arial" w:eastAsia="Arial" w:hAnsi="Arial"/>
                <w:sz w:val="18"/>
                <w:szCs w:val="18"/>
                <w:color w:val="auto"/>
              </w:rPr>
              <w:t>(0.28)</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 – pro forma</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1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(0.18)</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9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363"/>
        </w:trPr>
        <w:tc>
          <w:tcPr>
            <w:tcW w:w="7240" w:type="dxa"/>
            <w:vAlign w:val="bottom"/>
            <w:gridSpan w:val="2"/>
          </w:tcPr>
          <w:p>
            <w:pPr>
              <w:jc w:val="right"/>
              <w:ind w:right="1392"/>
              <w:spacing w:after="0"/>
              <w:rPr>
                <w:sz w:val="20"/>
                <w:szCs w:val="20"/>
                <w:color w:val="auto"/>
              </w:rPr>
            </w:pPr>
            <w:r>
              <w:rPr>
                <w:rFonts w:ascii="Arial" w:cs="Arial" w:eastAsia="Arial" w:hAnsi="Arial"/>
                <w:sz w:val="18"/>
                <w:szCs w:val="18"/>
                <w:color w:val="auto"/>
              </w:rPr>
              <w:t>7</w:t>
            </w:r>
          </w:p>
        </w:tc>
        <w:tc>
          <w:tcPr>
            <w:tcW w:w="90" w:type="dxa"/>
            <w:vAlign w:val="bottom"/>
          </w:tcPr>
          <w:p>
            <w:pPr>
              <w:spacing w:after="0"/>
              <w:rPr>
                <w:sz w:val="24"/>
                <w:szCs w:val="24"/>
                <w:color w:val="auto"/>
              </w:rPr>
            </w:pPr>
          </w:p>
        </w:tc>
        <w:tc>
          <w:tcPr>
            <w:tcW w:w="47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-737870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-737870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-737870</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-737870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-737870</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-737870</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-737870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-737870</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-737870</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-737870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-737870</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-737870</wp:posOffset>
            </wp:positionV>
            <wp:extent cx="3873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The following discussion should be read in conjunction with, and is qualified in its entirety to, the financial statements and notes thereto included in Item 1 of this Form 10-Q and the financial statements and notes thereto and our Management’s Discussion and Analysis of Financial Condition and Results of Operation in our Form 10-K for the year ended December 31, 2003. This report contains forward-looking statements, within the meaning of Section 27A of the Securities Act of 1933 and Section 21E of the Securities Exchange Act of 1934, that involve risks and uncertainties. Our expectations with respect to future results of operations that may be embodied in oral and written forward-looking statements, including any forward looking statements that may be included in this report, are subject to risks and uncertainties that must be considered when evaluating the likelihood of our realization of such expectations. Our actual results could differ materially. The words “believe,” “expect,” “intend,” “plan,” “project,” “will” and similar phrases as they relate to us are intended to identify such forward-looking statements. In addition, please see the “Risk Factors That May Affect Future Results” below for a discussion of items that may affect our future results.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20" w:firstLine="456"/>
        <w:spacing w:after="0" w:line="279" w:lineRule="auto"/>
        <w:rPr>
          <w:sz w:val="20"/>
          <w:szCs w:val="20"/>
          <w:color w:val="auto"/>
        </w:rPr>
      </w:pPr>
      <w:r>
        <w:rPr>
          <w:rFonts w:ascii="Arial" w:cs="Arial" w:eastAsia="Arial" w:hAnsi="Arial"/>
          <w:sz w:val="16"/>
          <w:szCs w:val="16"/>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the lead-acid batteries used in conventional power quality installations. Our first commercial product was a battery-free DC system (CleanSource DC) that is compatible with all major UPS brands. Leveraging our expertise in this technology, we have developed a battery-free uninterruptible power supply (UPS). We currently sell our CleanSource UPS through Caterpillar under the Caterpillar brand name, Cat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UPS. We distribute many of our products through a variety of channels including OEMs and independent power quality representatives to maximize market coverage and penetration. Our products are sold for use in the facilities of companies across many different industries that all share a critical need for reliable, high-quality power, such as broadcasters, hospitals, credit card processing centers, semiconductor manufacturers, airports, plastics manufacturers, data centers and electric utilities. Sales have been spread across many different countries/regions of the world. Our products perform well in harsh environments where power quality is particularly poor, which makes them a good fit for industrial companies in countries with a poor power infrastructure.</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Since 1996, we have focused our efforts and financial resources primarily on the design and development of our CleanSource line of power quality products and on establishing effective distribution channels to market our two current products, CleanSource DC and CleanSource UPS. As of June 30, 2004, we had generated an accumulated deficit of $141.7 million and we expect to continue to sustain operating losses for the next several quarters. Prior to our initial public offering, we funded our operations primarily through sales of shares of our preferred stock, which resulted in gross proceeds of $42.6 million. Based on the current spending levels and expectations in our current business plan, we believe the proceeds from our August 2000 initial public offering, $138.4 million net of commissions and issuance costs, cash balances on hand prior to August 2000, and cash from revenue and development contracts will be sufficient to meet our cash requirements through the next 24 months. Our cash and investments position at June 30, 2004 was $62.3 million.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Due to a slow down in the global economy during the first half of 2003, and in particular spending on capital equipment, our revenue in 2003 decreased 6% from 2002. Beginning in the second half of 2003 we began to experience an increase in the demand for our products. Revenues in the first half of 2004 were up 99% over the same period in 2003 primarily due to:</w:t>
      </w:r>
    </w:p>
    <w:p>
      <w:pPr>
        <w:spacing w:after="0" w:line="46" w:lineRule="exact"/>
        <w:rPr>
          <w:sz w:val="20"/>
          <w:szCs w:val="20"/>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of new products (65 to 150 kVA and 1200 kVA UPS) launched in the second half of 2003;</w:t>
      </w:r>
    </w:p>
    <w:p>
      <w:pPr>
        <w:spacing w:after="0" w:line="76" w:lineRule="exact"/>
        <w:rPr>
          <w:rFonts w:ascii="Arial" w:cs="Arial" w:eastAsia="Arial" w:hAnsi="Arial"/>
          <w:sz w:val="18"/>
          <w:szCs w:val="18"/>
          <w:color w:val="auto"/>
        </w:rPr>
      </w:pPr>
    </w:p>
    <w:p>
      <w:pPr>
        <w:ind w:left="800" w:right="60" w:hanging="346"/>
        <w:spacing w:after="0" w:line="331" w:lineRule="auto"/>
        <w:tabs>
          <w:tab w:leader="none" w:pos="8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opportunities with industrial manufacturing facilities in countries with poor power infrastructures and from government facilities to provide customers with a complete power quality solutions, also known as continuous power systems (CPS), which generally include our UPS systems and project revenue, derived from sourcing third party equipment such as gensets and transfer switches, and also providing installation and start-up services; and</w:t>
      </w:r>
    </w:p>
    <w:p>
      <w:pPr>
        <w:spacing w:after="0" w:line="2" w:lineRule="exact"/>
        <w:rPr>
          <w:rFonts w:ascii="Arial" w:cs="Arial" w:eastAsia="Arial" w:hAnsi="Arial"/>
          <w:sz w:val="15"/>
          <w:szCs w:val="15"/>
          <w:color w:val="auto"/>
        </w:rPr>
      </w:pPr>
    </w:p>
    <w:p>
      <w:pPr>
        <w:ind w:left="800" w:right="160" w:hanging="346"/>
        <w:spacing w:after="0" w:line="268"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broadened channels to market through independent power quality representatives and sales agents in countries and regions not previously covered by our OEMs.</w:t>
      </w:r>
    </w:p>
    <w:p>
      <w:pPr>
        <w:spacing w:after="0" w:line="11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expect the above factors to continue to have a positive impact on sales throughout 2004. However, our sales growth can be impacted by many factors including, the market adoption rate for new technology in the power quality equipment market, product performance, competition, and general economic conditions, which impact the market for capital equipment.</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2004 product development efforts continue to be focused on two areas, the paralleling of our 1200 kVA UPS product to provide up to a 3600 kVA UPS solution, and a battery-free extended runtime product. We believe these products can open up new market opportunities for us. We expect to ship alpha units of our extended runtime product by year end and a paralleled 1200 kVA system in early 2005.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preparation of financial statements and accompanying notes in conformity with U.S. generally accepted accounting principles generally accepted in the United States requires that we make estimates and assumptions that affect the amounts reported. Changes in the facts and circumstances could have a significant impact on the resulting financial statements. We believe the following critical accounting policies affect our more complex judgments and estimates.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7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estimate an allowance for doubtful accounts based on factors related to the credit risk of each customer. Because to date we have sold to a limited number of large customers (e.g., Caterpillar Inc. and Powerware), credit losses have been minimal. As we integrate additional distribution channels into our business, and begin selling our products to smaller, less established customers, the risk of credit losses may increase. If the financial condition of our customers were to deteriorate, resulting in an impairment of their ability to make payments, additional allowances may be required.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state inventories at the lower of cost or market, using the first-in-first-out-method. If actual future demand or market conditions are less favorable than those projected by management, or if product design changes result in excess or obsolete components beyond current expectations, additional inventory write-downs may be required. We evaluate our inventory valuation on a quarterly basis.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Warranty Liability</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provide for the estimated cost of product warranties at the time revenue is recognized. While we engage in product quality programs and processes, our warranty obligation is affected by product failure rates, material usage and service delivery costs incurred in correcting a product failure. Should actual product failure rates, material usage or service delivery costs differ from our estimates, revisions to the estimated warranty liability may be required. We evaluate the reasonableness of our warranty accrual levels on a quarterly basis.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7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In general, revenue is recognized when title has transferred as stipulated by the delivery terms in the sales contract. In addition, prior to revenue recognition we require persuasive evidence of the arrangement that the price is fixed or determinable, and that collectibility is reasonably assured.</w:t>
      </w:r>
    </w:p>
    <w:p>
      <w:pPr>
        <w:spacing w:after="0" w:line="72"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We also offer various services to customers depending on the type of product the customer has purchased, which may include on-site services or installation and integration services. Such services are not essential to the functionality of the delivered product. Revenue for services is recognized at the time services are provided. When products and services are contracted under a single arrangement, we allocate the total sales price to the multiple deliverables based on their relative fair values. The fair value of our equipment is based on our average historical selling prices, while the fair value of services is based upon the rates that we charge customers in separately negotiated transactions or based on the market price an independent third party would charge to provide these services. To date our service revenues have not been significant. Revenue associated with the sale of extended warranties is recognized ratably over the contract period.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Revenue primarily consists of sales of our CleanSource power quality products. The following table summarizes a quarter and year-to-date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comparison of our revenue from the same periods in the prior year:</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Three months ended</w:t>
            </w:r>
          </w:p>
        </w:tc>
        <w:tc>
          <w:tcPr>
            <w:tcW w:w="420" w:type="dxa"/>
            <w:vAlign w:val="bottom"/>
          </w:tcPr>
          <w:p>
            <w:pPr>
              <w:spacing w:after="0"/>
              <w:rPr>
                <w:sz w:val="14"/>
                <w:szCs w:val="14"/>
                <w:color w:val="auto"/>
              </w:rPr>
            </w:pPr>
          </w:p>
        </w:tc>
        <w:tc>
          <w:tcPr>
            <w:tcW w:w="92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85"/>
              </w:rPr>
              <w:t>Variance</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4"/>
              </w:rPr>
              <w:t>Six months ended</w:t>
            </w:r>
          </w:p>
        </w:tc>
        <w:tc>
          <w:tcPr>
            <w:tcW w:w="1080" w:type="dxa"/>
            <w:vAlign w:val="bottom"/>
            <w:gridSpan w:val="2"/>
          </w:tcPr>
          <w:p>
            <w:pPr>
              <w:jc w:val="center"/>
              <w:ind w:left="167"/>
              <w:spacing w:after="0"/>
              <w:rPr>
                <w:sz w:val="20"/>
                <w:szCs w:val="20"/>
                <w:color w:val="auto"/>
              </w:rPr>
            </w:pPr>
            <w:r>
              <w:rPr>
                <w:rFonts w:ascii="Arial" w:cs="Arial" w:eastAsia="Arial" w:hAnsi="Arial"/>
                <w:sz w:val="14"/>
                <w:szCs w:val="14"/>
                <w:b w:val="1"/>
                <w:bCs w:val="1"/>
                <w:color w:val="auto"/>
                <w:w w:val="89"/>
              </w:rPr>
              <w:t>Variance</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5"/>
                <w:szCs w:val="15"/>
                <w:color w:val="auto"/>
              </w:rPr>
            </w:pPr>
          </w:p>
        </w:tc>
        <w:tc>
          <w:tcPr>
            <w:tcW w:w="14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7"/>
              </w:rPr>
              <w:t>2004 vs. 2003</w:t>
            </w:r>
          </w:p>
        </w:tc>
        <w:tc>
          <w:tcPr>
            <w:tcW w:w="200" w:type="dxa"/>
            <w:vAlign w:val="bottom"/>
          </w:tcPr>
          <w:p>
            <w:pPr>
              <w:spacing w:after="0"/>
              <w:rPr>
                <w:sz w:val="15"/>
                <w:szCs w:val="15"/>
                <w:color w:val="auto"/>
              </w:rPr>
            </w:pPr>
          </w:p>
        </w:tc>
        <w:tc>
          <w:tcPr>
            <w:tcW w:w="18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5"/>
              </w:rPr>
              <w:t>June 30,</w:t>
            </w:r>
          </w:p>
        </w:tc>
        <w:tc>
          <w:tcPr>
            <w:tcW w:w="1080" w:type="dxa"/>
            <w:vAlign w:val="bottom"/>
            <w:gridSpan w:val="2"/>
          </w:tcPr>
          <w:p>
            <w:pPr>
              <w:jc w:val="center"/>
              <w:ind w:left="167"/>
              <w:spacing w:after="0"/>
              <w:rPr>
                <w:sz w:val="20"/>
                <w:szCs w:val="20"/>
                <w:color w:val="auto"/>
              </w:rPr>
            </w:pPr>
            <w:r>
              <w:rPr>
                <w:rFonts w:ascii="Arial" w:cs="Arial" w:eastAsia="Arial" w:hAnsi="Arial"/>
                <w:sz w:val="14"/>
                <w:szCs w:val="14"/>
                <w:b w:val="1"/>
                <w:bCs w:val="1"/>
                <w:color w:val="auto"/>
                <w:w w:val="84"/>
              </w:rPr>
              <w:t>2004 vs. 2003</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454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520" w:type="dxa"/>
            <w:vAlign w:val="bottom"/>
          </w:tcPr>
          <w:p>
            <w:pPr>
              <w:jc w:val="right"/>
              <w:ind w:right="47"/>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92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2"/>
                <w:szCs w:val="22"/>
                <w:color w:val="auto"/>
              </w:rPr>
            </w:pPr>
          </w:p>
        </w:tc>
        <w:tc>
          <w:tcPr>
            <w:tcW w:w="7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2004</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22"/>
                <w:szCs w:val="22"/>
                <w:color w:val="auto"/>
              </w:rPr>
            </w:pPr>
          </w:p>
        </w:tc>
        <w:tc>
          <w:tcPr>
            <w:tcW w:w="520" w:type="dxa"/>
            <w:vAlign w:val="bottom"/>
          </w:tcPr>
          <w:p>
            <w:pPr>
              <w:jc w:val="right"/>
              <w:ind w:right="147"/>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22"/>
                <w:szCs w:val="22"/>
                <w:color w:val="auto"/>
              </w:rPr>
            </w:pPr>
          </w:p>
        </w:tc>
        <w:tc>
          <w:tcPr>
            <w:tcW w:w="24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$ 3,715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$ 1,871</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$ 1,844</w:t>
            </w: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$ 6,955</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$ 3,496</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3"/>
              </w:rPr>
              <w:t>$ 3,459</w:t>
            </w:r>
          </w:p>
        </w:tc>
        <w:tc>
          <w:tcPr>
            <w:tcW w:w="3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83"/>
              </w:rPr>
              <w:t>99%</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 increase in revenue for the three and six month periods ending June 30, 2004 compared to the same periods in 2003 was primarily driven by our continued growth in emerging industrial markets with poor power quality, and the increased sales of our 65 – 150 kVA and 1200 kVA UPS products.</w:t>
      </w:r>
    </w:p>
    <w:p>
      <w:pPr>
        <w:spacing w:after="0" w:line="7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For the three month and six month periods ended June 30, 2004, we sold 37 and 78 flywheel units, respectively, compared to 28 and 51 flywheel units for the same periods in the prior year due to sales of our recently launched 65-150 kVA and 1200 kVA products. In addition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to the increase in demand for our flywheel based products, for the three and six month periods ended June 30, 2004 we generated approximately $1.0 million and $1.3 million respectively in project revenue from two CPS sales which comprised installation and start-up services and third party equipment, CPS project revenue during these same periods in 2003 was less than $100,000. We believe that CPS system sales will continue to be a major component of our revenues throughout the remainder of 2004 and 2005.</w:t>
      </w:r>
    </w:p>
    <w:p>
      <w:pPr>
        <w:spacing w:after="0" w:line="13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average selling price of our flywheel based systems has remained relatively flat for the three and six months ended June 30, 2004 when compared to the same periods in 2003. Our sales prices will vary depending on the power levels of the products sold, the quantity of units and the type of options purchased by our customers.</w:t>
      </w:r>
    </w:p>
    <w:p>
      <w:pPr>
        <w:spacing w:after="0" w:line="12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New product sales (consisting of our 65-150 kVA and 1200 kVA systems), which we introduced in the second half of 2003, accounted for approximately 18% and 19% of revenue for the three months and six months ended June 30, 2004. We expect sales of these products, and in particular our 1200 kVA system, to increase in the second half of 2004 and to become a larger component of our overall revenue.</w:t>
      </w:r>
    </w:p>
    <w:p>
      <w:pPr>
        <w:spacing w:after="0" w:line="127" w:lineRule="exact"/>
        <w:rPr>
          <w:sz w:val="20"/>
          <w:szCs w:val="20"/>
          <w:color w:val="auto"/>
        </w:rPr>
      </w:pPr>
    </w:p>
    <w:p>
      <w:pPr>
        <w:jc w:val="both"/>
        <w:ind w:right="260" w:firstLine="456"/>
        <w:spacing w:after="0" w:line="298" w:lineRule="auto"/>
        <w:rPr>
          <w:sz w:val="20"/>
          <w:szCs w:val="20"/>
          <w:color w:val="auto"/>
        </w:rPr>
      </w:pPr>
      <w:r>
        <w:rPr>
          <w:rFonts w:ascii="Arial" w:cs="Arial" w:eastAsia="Arial" w:hAnsi="Arial"/>
          <w:sz w:val="16"/>
          <w:szCs w:val="16"/>
          <w:color w:val="auto"/>
        </w:rPr>
        <w:t>Sales of Active Power branded products through our direct and manufacturer’s representatives channels increased to 34% in the second quarter of 2004 from 4% in the second quarter of 2003. We believe sales of our Active Power branded products to industrial customers in regions with poor power quality will continue to be a significant driver of revenue growth over the next several quarters. Due to the large size of some of our customer orders relative to our current revenue levels, our quarterly revenue trend can be uneven as these orders ship in various periods.</w:t>
      </w:r>
    </w:p>
    <w:p>
      <w:pPr>
        <w:spacing w:after="0" w:line="9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Based on our estimates stocking inventory at our primary OEM distributor, Caterpillar and its dealer network, dropped approximately $1.0 million sequentially in the second quarter of 2004 and has declined by approximately $2.0 million, or 25% since December 31, 2003. Although we have no obligations to our OEM customers for the products that they hold in their inventory, a significant reduction in our OEM customers’ product levels in any given quarter would negatively impact our sales for that quarter. We are working closely with our OEM customers to place these stocking orders over time. We expect current channel inventory to continue to decline throughout 2004, and for our OEM customers to maintain an appropriate level of stocking units to enable them to respond quickly to time-sensitive customer orders.</w:t>
      </w:r>
    </w:p>
    <w:p>
      <w:pPr>
        <w:spacing w:after="0" w:line="131" w:lineRule="exact"/>
        <w:rPr>
          <w:sz w:val="20"/>
          <w:szCs w:val="20"/>
          <w:color w:val="auto"/>
        </w:rPr>
      </w:pPr>
    </w:p>
    <w:p>
      <w:pPr>
        <w:ind w:right="180" w:firstLine="456"/>
        <w:spacing w:after="0" w:line="239" w:lineRule="auto"/>
        <w:rPr>
          <w:sz w:val="20"/>
          <w:szCs w:val="20"/>
          <w:color w:val="auto"/>
        </w:rPr>
      </w:pPr>
      <w:r>
        <w:rPr>
          <w:rFonts w:ascii="Arial" w:cs="Arial" w:eastAsia="Arial" w:hAnsi="Arial"/>
          <w:sz w:val="18"/>
          <w:szCs w:val="18"/>
          <w:b w:val="1"/>
          <w:bCs w:val="1"/>
          <w:i w:val="1"/>
          <w:iCs w:val="1"/>
          <w:color w:val="auto"/>
        </w:rPr>
        <w:t xml:space="preserve">Cost of revenue. </w:t>
      </w:r>
      <w:r>
        <w:rPr>
          <w:rFonts w:ascii="Arial" w:cs="Arial" w:eastAsia="Arial" w:hAnsi="Arial"/>
          <w:sz w:val="18"/>
          <w:szCs w:val="18"/>
          <w:color w:val="auto"/>
        </w:rPr>
        <w:t>Cost of revenue includes the cost of component parts of our products that are sourced from suppliers, personnel, equipment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associated with our assembly and test operations, shipping costs, warranty costs, the costs of manufacturing support functions such as logistics and quality assurance, and the costs of services and 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party equipment we provide. The following table summarizes a quarter and year-to-date comparison of our cost of revenue from the same periods in the prior year:</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5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Three months ended</w:t>
            </w:r>
          </w:p>
        </w:tc>
        <w:tc>
          <w:tcPr>
            <w:tcW w:w="400" w:type="dxa"/>
            <w:vAlign w:val="bottom"/>
          </w:tcPr>
          <w:p>
            <w:pPr>
              <w:spacing w:after="0"/>
              <w:rPr>
                <w:sz w:val="14"/>
                <w:szCs w:val="14"/>
                <w:color w:val="auto"/>
              </w:rPr>
            </w:pPr>
          </w:p>
        </w:tc>
        <w:tc>
          <w:tcPr>
            <w:tcW w:w="92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85"/>
              </w:rPr>
              <w:t>Variance</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4"/>
              </w:rPr>
              <w:t>Six months ended</w:t>
            </w:r>
          </w:p>
        </w:tc>
        <w:tc>
          <w:tcPr>
            <w:tcW w:w="200" w:type="dxa"/>
            <w:vAlign w:val="bottom"/>
          </w:tcPr>
          <w:p>
            <w:pPr>
              <w:spacing w:after="0"/>
              <w:rPr>
                <w:sz w:val="14"/>
                <w:szCs w:val="14"/>
                <w:color w:val="auto"/>
              </w:rPr>
            </w:pPr>
          </w:p>
        </w:tc>
        <w:tc>
          <w:tcPr>
            <w:tcW w:w="106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89"/>
              </w:rPr>
              <w:t>Variance</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5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5"/>
                <w:szCs w:val="15"/>
                <w:color w:val="auto"/>
              </w:rPr>
            </w:pPr>
          </w:p>
        </w:tc>
        <w:tc>
          <w:tcPr>
            <w:tcW w:w="16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7"/>
              </w:rPr>
              <w:t>2004 vs. 2003</w:t>
            </w:r>
          </w:p>
        </w:tc>
        <w:tc>
          <w:tcPr>
            <w:tcW w:w="17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5"/>
                <w:szCs w:val="15"/>
                <w:color w:val="auto"/>
              </w:rPr>
            </w:pPr>
          </w:p>
        </w:tc>
        <w:tc>
          <w:tcPr>
            <w:tcW w:w="106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84"/>
              </w:rPr>
              <w:t>2004 vs. 2003</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446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560" w:type="dxa"/>
            <w:vAlign w:val="bottom"/>
          </w:tcPr>
          <w:p>
            <w:pPr>
              <w:jc w:val="right"/>
              <w:ind w:right="64"/>
              <w:spacing w:after="0"/>
              <w:rPr>
                <w:sz w:val="20"/>
                <w:szCs w:val="20"/>
                <w:color w:val="auto"/>
              </w:rPr>
            </w:pPr>
            <w:r>
              <w:rPr>
                <w:rFonts w:ascii="Arial" w:cs="Arial" w:eastAsia="Arial" w:hAnsi="Arial"/>
                <w:sz w:val="14"/>
                <w:szCs w:val="14"/>
                <w:b w:val="1"/>
                <w:bCs w:val="1"/>
                <w:color w:val="auto"/>
              </w:rPr>
              <w:t>2004</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92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22"/>
                <w:szCs w:val="22"/>
                <w:color w:val="auto"/>
              </w:rPr>
            </w:pPr>
          </w:p>
        </w:tc>
        <w:tc>
          <w:tcPr>
            <w:tcW w:w="560" w:type="dxa"/>
            <w:vAlign w:val="bottom"/>
          </w:tcPr>
          <w:p>
            <w:pPr>
              <w:jc w:val="right"/>
              <w:ind w:right="84"/>
              <w:spacing w:after="0"/>
              <w:rPr>
                <w:sz w:val="20"/>
                <w:szCs w:val="20"/>
                <w:color w:val="auto"/>
              </w:rPr>
            </w:pPr>
            <w:r>
              <w:rPr>
                <w:rFonts w:ascii="Arial" w:cs="Arial" w:eastAsia="Arial" w:hAnsi="Arial"/>
                <w:sz w:val="14"/>
                <w:szCs w:val="14"/>
                <w:b w:val="1"/>
                <w:bCs w:val="1"/>
                <w:color w:val="auto"/>
              </w:rPr>
              <w:t>2004</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2"/>
                <w:szCs w:val="22"/>
                <w:color w:val="auto"/>
              </w:rPr>
            </w:pPr>
          </w:p>
        </w:tc>
        <w:tc>
          <w:tcPr>
            <w:tcW w:w="70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22"/>
                <w:szCs w:val="22"/>
                <w:color w:val="auto"/>
              </w:rPr>
            </w:pPr>
          </w:p>
        </w:tc>
        <w:tc>
          <w:tcPr>
            <w:tcW w:w="24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$ 4,651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$ 2,881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$ 1,770</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$ 8,472</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$ 6,172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$ 2,300</w:t>
            </w:r>
          </w:p>
        </w:tc>
        <w:tc>
          <w:tcPr>
            <w:tcW w:w="5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83"/>
              </w:rPr>
              <w:t>37%</w:t>
            </w:r>
          </w:p>
        </w:tc>
        <w:tc>
          <w:tcPr>
            <w:tcW w:w="0" w:type="dxa"/>
            <w:vAlign w:val="bottom"/>
          </w:tcPr>
          <w:p>
            <w:pPr>
              <w:spacing w:after="0"/>
              <w:rPr>
                <w:sz w:val="1"/>
                <w:szCs w:val="1"/>
                <w:color w:val="auto"/>
              </w:rPr>
            </w:pPr>
          </w:p>
        </w:tc>
      </w:tr>
      <w:tr>
        <w:trPr>
          <w:trHeight w:val="322"/>
        </w:trPr>
        <w:tc>
          <w:tcPr>
            <w:tcW w:w="4460" w:type="dxa"/>
            <w:vAlign w:val="bottom"/>
            <w:gridSpan w:val="2"/>
          </w:tcPr>
          <w:p>
            <w:pPr>
              <w:spacing w:after="0"/>
              <w:rPr>
                <w:sz w:val="20"/>
                <w:szCs w:val="20"/>
                <w:color w:val="auto"/>
              </w:rPr>
            </w:pPr>
            <w:r>
              <w:rPr>
                <w:rFonts w:ascii="Arial" w:cs="Arial" w:eastAsia="Arial" w:hAnsi="Arial"/>
                <w:sz w:val="18"/>
                <w:szCs w:val="18"/>
                <w:color w:val="auto"/>
              </w:rPr>
              <w:t>Gross Margin/(Loss) Percentage</w:t>
            </w: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The increase in cost of revenue for the three and six month periods ending June 30, 2004 compared to the same periods in 2003 was primarily driven by higher product sales. Our gross margin/(loss), while still negative, improved by 29 and 55 percentage points, respectively, for the three and six month periods ending June 30, 2004 compared to the same periods last year primarily due to the following factors:</w:t>
      </w:r>
    </w:p>
    <w:p>
      <w:pPr>
        <w:spacing w:after="0" w:line="12" w:lineRule="exact"/>
        <w:rPr>
          <w:sz w:val="20"/>
          <w:szCs w:val="20"/>
          <w:color w:val="auto"/>
        </w:rPr>
      </w:pPr>
    </w:p>
    <w:p>
      <w:pPr>
        <w:ind w:left="800" w:right="380" w:hanging="346"/>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material cost reductions on component parts for our flywheel based products due to engineering-driven cost reductions, supplier pricing discounts associated with increased order quantities, and the engagement of several lower priced suppliers;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decrease in our direct and indirect manufacturing capacity and spending levels in April 2003 through a 42% staffing reduction; and</w:t>
      </w:r>
    </w:p>
    <w:p>
      <w:pPr>
        <w:spacing w:after="0" w:line="76" w:lineRule="exact"/>
        <w:rPr>
          <w:rFonts w:ascii="Arial" w:cs="Arial" w:eastAsia="Arial" w:hAnsi="Arial"/>
          <w:sz w:val="18"/>
          <w:szCs w:val="18"/>
          <w:color w:val="auto"/>
        </w:rPr>
      </w:pPr>
    </w:p>
    <w:p>
      <w:pPr>
        <w:ind w:left="800" w:right="40" w:hanging="346"/>
        <w:spacing w:after="0" w:line="332"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sale of several units in the first and second quarters of 2004 that had previously been written down as potentially excess or obsolete inventory. As a result, our cost of revenue benefited by approximately $270,000 in the first quarter and $113,000 in the second quarter.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Our gross margin improvements were reduced due to the following two items:</w:t>
      </w:r>
    </w:p>
    <w:p>
      <w:pPr>
        <w:spacing w:after="0" w:line="77" w:lineRule="exact"/>
        <w:rPr>
          <w:sz w:val="20"/>
          <w:szCs w:val="20"/>
          <w:color w:val="auto"/>
        </w:rPr>
      </w:pPr>
    </w:p>
    <w:p>
      <w:pPr>
        <w:ind w:left="800" w:hanging="346"/>
        <w:spacing w:after="0" w:line="294"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deferral of $334,000 and $207,000 of revenue in the first and second quarters of this year, respectively, due to a 20% performance guarantee as part of a customer sales agreement we entered into during the fourth quarter of 2003. Because of the uncertainties of this performance guarantee, we recognized only 80% of the revenue for this sales agreement and 100% of the cost during the first and second quarters of this year, which negatively affected our gross margin. We expect that the performance guarantee will be satisfied in the fourth quarter of 2004 at which point we will recognize the deferred revenue, thereby improving our gross margin for that quarter; and</w:t>
      </w:r>
    </w:p>
    <w:p>
      <w:pPr>
        <w:spacing w:after="0" w:line="21" w:lineRule="exact"/>
        <w:rPr>
          <w:rFonts w:ascii="Arial" w:cs="Arial" w:eastAsia="Arial" w:hAnsi="Arial"/>
          <w:sz w:val="16"/>
          <w:szCs w:val="16"/>
          <w:color w:val="auto"/>
        </w:rPr>
      </w:pPr>
    </w:p>
    <w:p>
      <w:pPr>
        <w:ind w:left="800" w:right="100" w:hanging="346"/>
        <w:spacing w:after="0" w:line="26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project revenue from the CPS system sale of $1.0 million and $1.3 million for the three and six months ended June 30, 2004 was priced at the cost for which we purchased the components.</w:t>
      </w:r>
    </w:p>
    <w:p>
      <w:pPr>
        <w:spacing w:after="0" w:line="118" w:lineRule="exact"/>
        <w:rPr>
          <w:sz w:val="20"/>
          <w:szCs w:val="20"/>
          <w:color w:val="auto"/>
        </w:rPr>
      </w:pPr>
    </w:p>
    <w:p>
      <w:pPr>
        <w:ind w:right="180" w:firstLine="913"/>
        <w:spacing w:after="0" w:line="306" w:lineRule="auto"/>
        <w:rPr>
          <w:sz w:val="20"/>
          <w:szCs w:val="20"/>
          <w:color w:val="auto"/>
        </w:rPr>
      </w:pPr>
      <w:r>
        <w:rPr>
          <w:rFonts w:ascii="Arial" w:cs="Arial" w:eastAsia="Arial" w:hAnsi="Arial"/>
          <w:sz w:val="16"/>
          <w:szCs w:val="16"/>
          <w:color w:val="auto"/>
        </w:rPr>
        <w:t>We continue to work on reducing our product costs and we believe that we can reach gross margin break even at approximately $5 million in quarterly revenue. Items that could impact our ability to improve our gross margin include pricing discounts and customer incentives, product mix including the level of project revenue from CPS system sales, currency fluctuations, and variations in our manufacturing cost and productivity.</w:t>
      </w:r>
    </w:p>
    <w:p>
      <w:pPr>
        <w:spacing w:after="0" w:line="9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expense primarily consists of compensation and related costs of employees engaged in research,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and engineering activities, third party consulting and development activities, as well as an allocated portion of our occupancy costs. The following table summarizes a quarter and year-to-date comparison of our research and development expense from the same periods in the prior year:</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7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8"/>
              </w:rPr>
              <w:t>Three months</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Six months</w:t>
            </w: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60" w:type="dxa"/>
            <w:vAlign w:val="bottom"/>
            <w:gridSpan w:val="3"/>
          </w:tcPr>
          <w:p>
            <w:pPr>
              <w:jc w:val="center"/>
              <w:ind w:right="880"/>
              <w:spacing w:after="0" w:line="149" w:lineRule="exact"/>
              <w:rPr>
                <w:sz w:val="20"/>
                <w:szCs w:val="20"/>
                <w:color w:val="auto"/>
              </w:rPr>
            </w:pPr>
            <w:r>
              <w:rPr>
                <w:rFonts w:ascii="Arial" w:cs="Arial" w:eastAsia="Arial" w:hAnsi="Arial"/>
                <w:sz w:val="14"/>
                <w:szCs w:val="14"/>
                <w:b w:val="1"/>
                <w:bCs w:val="1"/>
                <w:color w:val="auto"/>
                <w:w w:val="82"/>
              </w:rPr>
              <w:t>ended</w:t>
            </w:r>
          </w:p>
        </w:tc>
        <w:tc>
          <w:tcPr>
            <w:tcW w:w="340" w:type="dxa"/>
            <w:vAlign w:val="bottom"/>
          </w:tcPr>
          <w:p>
            <w:pPr>
              <w:spacing w:after="0"/>
              <w:rPr>
                <w:sz w:val="12"/>
                <w:szCs w:val="12"/>
                <w:color w:val="auto"/>
              </w:rPr>
            </w:pP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Variance</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ended</w:t>
            </w:r>
          </w:p>
        </w:tc>
        <w:tc>
          <w:tcPr>
            <w:tcW w:w="380" w:type="dxa"/>
            <w:vAlign w:val="bottom"/>
          </w:tcPr>
          <w:p>
            <w:pPr>
              <w:spacing w:after="0"/>
              <w:rPr>
                <w:sz w:val="12"/>
                <w:szCs w:val="12"/>
                <w:color w:val="auto"/>
              </w:rPr>
            </w:pPr>
          </w:p>
        </w:tc>
        <w:tc>
          <w:tcPr>
            <w:tcW w:w="1040" w:type="dxa"/>
            <w:vAlign w:val="bottom"/>
            <w:gridSpan w:val="3"/>
          </w:tcPr>
          <w:p>
            <w:pPr>
              <w:jc w:val="center"/>
              <w:ind w:left="192"/>
              <w:spacing w:after="0" w:line="149" w:lineRule="exact"/>
              <w:rPr>
                <w:sz w:val="20"/>
                <w:szCs w:val="20"/>
                <w:color w:val="auto"/>
              </w:rPr>
            </w:pPr>
            <w:r>
              <w:rPr>
                <w:rFonts w:ascii="Arial" w:cs="Arial" w:eastAsia="Arial" w:hAnsi="Arial"/>
                <w:sz w:val="14"/>
                <w:szCs w:val="14"/>
                <w:b w:val="1"/>
                <w:bCs w:val="1"/>
                <w:color w:val="auto"/>
                <w:w w:val="85"/>
              </w:rPr>
              <w:t>Variance</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7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5"/>
              </w:rPr>
              <w:t>June 30,</w:t>
            </w:r>
          </w:p>
        </w:tc>
        <w:tc>
          <w:tcPr>
            <w:tcW w:w="16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7"/>
              </w:rPr>
              <w:t>2004 vs. 2003</w:t>
            </w:r>
          </w:p>
        </w:tc>
        <w:tc>
          <w:tcPr>
            <w:tcW w:w="180" w:type="dxa"/>
            <w:vAlign w:val="bottom"/>
          </w:tcPr>
          <w:p>
            <w:pPr>
              <w:spacing w:after="0"/>
              <w:rPr>
                <w:sz w:val="15"/>
                <w:szCs w:val="15"/>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380" w:type="dxa"/>
            <w:vAlign w:val="bottom"/>
          </w:tcPr>
          <w:p>
            <w:pPr>
              <w:spacing w:after="0"/>
              <w:rPr>
                <w:sz w:val="15"/>
                <w:szCs w:val="15"/>
                <w:color w:val="auto"/>
              </w:rPr>
            </w:pPr>
          </w:p>
        </w:tc>
        <w:tc>
          <w:tcPr>
            <w:tcW w:w="1040" w:type="dxa"/>
            <w:vAlign w:val="bottom"/>
            <w:gridSpan w:val="3"/>
          </w:tcPr>
          <w:p>
            <w:pPr>
              <w:jc w:val="center"/>
              <w:ind w:left="172"/>
              <w:spacing w:after="0"/>
              <w:rPr>
                <w:sz w:val="20"/>
                <w:szCs w:val="20"/>
                <w:color w:val="auto"/>
              </w:rPr>
            </w:pPr>
            <w:r>
              <w:rPr>
                <w:rFonts w:ascii="Arial" w:cs="Arial" w:eastAsia="Arial" w:hAnsi="Arial"/>
                <w:sz w:val="14"/>
                <w:szCs w:val="14"/>
                <w:b w:val="1"/>
                <w:bCs w:val="1"/>
                <w:color w:val="auto"/>
                <w:w w:val="84"/>
              </w:rPr>
              <w:t>2004 vs. 2003</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454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520" w:type="dxa"/>
            <w:vAlign w:val="bottom"/>
          </w:tcPr>
          <w:p>
            <w:pPr>
              <w:jc w:val="right"/>
              <w:ind w:right="44"/>
              <w:spacing w:after="0"/>
              <w:rPr>
                <w:sz w:val="20"/>
                <w:szCs w:val="20"/>
                <w:color w:val="auto"/>
              </w:rPr>
            </w:pPr>
            <w:r>
              <w:rPr>
                <w:rFonts w:ascii="Arial" w:cs="Arial" w:eastAsia="Arial" w:hAnsi="Arial"/>
                <w:sz w:val="14"/>
                <w:szCs w:val="14"/>
                <w:b w:val="1"/>
                <w:bCs w:val="1"/>
                <w:color w:val="auto"/>
              </w:rPr>
              <w:t>2004</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22"/>
                <w:szCs w:val="22"/>
                <w:color w:val="auto"/>
              </w:rPr>
            </w:pPr>
          </w:p>
        </w:tc>
        <w:tc>
          <w:tcPr>
            <w:tcW w:w="340" w:type="dxa"/>
            <w:vAlign w:val="bottom"/>
          </w:tcPr>
          <w:p>
            <w:pPr>
              <w:jc w:val="right"/>
              <w:ind w:right="66"/>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jc w:val="right"/>
              <w:ind w:right="62"/>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22"/>
                <w:szCs w:val="22"/>
                <w:color w:val="auto"/>
              </w:rPr>
            </w:pPr>
          </w:p>
        </w:tc>
        <w:tc>
          <w:tcPr>
            <w:tcW w:w="7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8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jc w:val="right"/>
              <w:ind w:right="62"/>
              <w:spacing w:after="0"/>
              <w:rPr>
                <w:sz w:val="20"/>
                <w:szCs w:val="20"/>
                <w:color w:val="auto"/>
              </w:rPr>
            </w:pPr>
            <w:r>
              <w:rPr>
                <w:rFonts w:ascii="Arial" w:cs="Arial" w:eastAsia="Arial" w:hAnsi="Arial"/>
                <w:sz w:val="14"/>
                <w:szCs w:val="14"/>
                <w:b w:val="1"/>
                <w:bCs w:val="1"/>
                <w:color w:val="auto"/>
                <w:w w:val="79"/>
              </w:rPr>
              <w:t>%</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$ 2,271</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$ 2,352</w:t>
            </w:r>
          </w:p>
        </w:tc>
        <w:tc>
          <w:tcPr>
            <w:tcW w:w="8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80"/>
              </w:rPr>
              <w:t>$ (81)</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$ 4,624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$ 4,894</w:t>
            </w: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(270)</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2"/>
        </w:trPr>
        <w:tc>
          <w:tcPr>
            <w:tcW w:w="4540" w:type="dxa"/>
            <w:vAlign w:val="bottom"/>
            <w:gridSpan w:val="2"/>
          </w:tcPr>
          <w:p>
            <w:pPr>
              <w:spacing w:after="0"/>
              <w:rPr>
                <w:sz w:val="20"/>
                <w:szCs w:val="20"/>
                <w:color w:val="auto"/>
              </w:rPr>
            </w:pPr>
            <w:r>
              <w:rPr>
                <w:rFonts w:ascii="Arial" w:cs="Arial" w:eastAsia="Arial" w:hAnsi="Arial"/>
                <w:sz w:val="18"/>
                <w:szCs w:val="18"/>
                <w:color w:val="auto"/>
              </w:rPr>
              <w:t>Percent of revenue</w:t>
            </w:r>
          </w:p>
        </w:tc>
        <w:tc>
          <w:tcPr>
            <w:tcW w:w="520" w:type="dxa"/>
            <w:vAlign w:val="bottom"/>
          </w:tcPr>
          <w:p>
            <w:pPr>
              <w:jc w:val="right"/>
              <w:spacing w:after="0"/>
              <w:rPr>
                <w:sz w:val="20"/>
                <w:szCs w:val="20"/>
                <w:color w:val="auto"/>
              </w:rPr>
            </w:pPr>
            <w:r>
              <w:rPr>
                <w:rFonts w:ascii="Arial" w:cs="Arial" w:eastAsia="Arial" w:hAnsi="Arial"/>
                <w:sz w:val="18"/>
                <w:szCs w:val="18"/>
                <w:color w:val="auto"/>
              </w:rPr>
              <w:t>61%</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The decrease in research and development expense for the three month period ended June 30, 2004 compared to the same period of 2003 remained relatively flat. For the six month period ending June 30, 2004 compared to the same period of 2003 the decrease is primarily attributable to a reduction in spending on outside research and development services. We believe that research and development expenses in the second half of 2004 will increase by an approximate range of $400,000 to $600,000 compared to the first half of 2004 as spending on our extended runtime product development increases, including expenses required to build several alpha units for customer evaluation.</w:t>
      </w:r>
    </w:p>
    <w:p>
      <w:pPr>
        <w:spacing w:after="0" w:line="10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Selling, general and administrative. </w:t>
      </w:r>
      <w:r>
        <w:rPr>
          <w:rFonts w:ascii="Arial" w:cs="Arial" w:eastAsia="Arial" w:hAnsi="Arial"/>
          <w:sz w:val="16"/>
          <w:szCs w:val="16"/>
          <w:color w:val="auto"/>
        </w:rPr>
        <w:t>Selling, general and administrative expense is primarily comprised of compensation and related costs for sales,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marketing and administrative personnel, selling and marketing expenses, professional fees, and bad debt costs. The following table summarizes a quarter and year-to-date comparison of our selling, general and administrative expense from the same periods in the prior year:</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7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8"/>
              </w:rPr>
              <w:t>Three months</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Six months</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70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ended</w:t>
            </w: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Variance</w:t>
            </w: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2"/>
              </w:rPr>
              <w:t>ended</w:t>
            </w: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Variance</w:t>
            </w:r>
          </w:p>
        </w:tc>
        <w:tc>
          <w:tcPr>
            <w:tcW w:w="0" w:type="dxa"/>
            <w:vAlign w:val="bottom"/>
          </w:tcPr>
          <w:p>
            <w:pPr>
              <w:spacing w:after="0"/>
              <w:rPr>
                <w:sz w:val="1"/>
                <w:szCs w:val="1"/>
                <w:color w:val="auto"/>
              </w:rPr>
            </w:pPr>
          </w:p>
        </w:tc>
      </w:tr>
      <w:tr>
        <w:trPr>
          <w:trHeight w:val="174"/>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7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5"/>
              </w:rPr>
              <w:t>June 30,</w:t>
            </w: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2004 vs. 2003</w:t>
            </w:r>
          </w:p>
        </w:tc>
        <w:tc>
          <w:tcPr>
            <w:tcW w:w="340" w:type="dxa"/>
            <w:vAlign w:val="bottom"/>
          </w:tcPr>
          <w:p>
            <w:pPr>
              <w:spacing w:after="0"/>
              <w:rPr>
                <w:sz w:val="15"/>
                <w:szCs w:val="15"/>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5"/>
              </w:rPr>
              <w:t>June 30,</w:t>
            </w:r>
          </w:p>
        </w:tc>
        <w:tc>
          <w:tcPr>
            <w:tcW w:w="320" w:type="dxa"/>
            <w:vAlign w:val="bottom"/>
          </w:tcPr>
          <w:p>
            <w:pPr>
              <w:spacing w:after="0"/>
              <w:rPr>
                <w:sz w:val="15"/>
                <w:szCs w:val="15"/>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2004 vs. 2003</w:t>
            </w:r>
          </w:p>
        </w:tc>
        <w:tc>
          <w:tcPr>
            <w:tcW w:w="0" w:type="dxa"/>
            <w:vAlign w:val="bottom"/>
          </w:tcPr>
          <w:p>
            <w:pPr>
              <w:spacing w:after="0"/>
              <w:rPr>
                <w:sz w:val="1"/>
                <w:szCs w:val="1"/>
                <w:color w:val="auto"/>
              </w:rPr>
            </w:pPr>
          </w:p>
        </w:tc>
      </w:tr>
      <w:tr>
        <w:trPr>
          <w:trHeight w:val="68"/>
        </w:trPr>
        <w:tc>
          <w:tcPr>
            <w:tcW w:w="512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00" w:type="dxa"/>
            <w:vAlign w:val="bottom"/>
          </w:tcPr>
          <w:p>
            <w:pPr>
              <w:spacing w:after="0"/>
              <w:rPr>
                <w:sz w:val="22"/>
                <w:szCs w:val="22"/>
                <w:color w:val="auto"/>
              </w:rPr>
            </w:pPr>
          </w:p>
        </w:tc>
        <w:tc>
          <w:tcPr>
            <w:tcW w:w="520" w:type="dxa"/>
            <w:vAlign w:val="bottom"/>
          </w:tcPr>
          <w:p>
            <w:pPr>
              <w:jc w:val="right"/>
              <w:ind w:right="46"/>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22"/>
                <w:szCs w:val="22"/>
                <w:color w:val="auto"/>
              </w:rPr>
            </w:pPr>
          </w:p>
        </w:tc>
        <w:tc>
          <w:tcPr>
            <w:tcW w:w="380" w:type="dxa"/>
            <w:vAlign w:val="bottom"/>
          </w:tcPr>
          <w:p>
            <w:pPr>
              <w:jc w:val="right"/>
              <w:ind w:right="67"/>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2"/>
                <w:szCs w:val="22"/>
                <w:color w:val="auto"/>
              </w:rPr>
            </w:pPr>
          </w:p>
        </w:tc>
        <w:tc>
          <w:tcPr>
            <w:tcW w:w="440" w:type="dxa"/>
            <w:vAlign w:val="bottom"/>
          </w:tcPr>
          <w:p>
            <w:pPr>
              <w:jc w:val="right"/>
              <w:ind w:right="62"/>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7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&amp; admin</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$ 3,202</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$ 2,910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79"/>
              </w:rPr>
              <w:t>$ 292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$ 6,211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$ 5,616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$ 595</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2"/>
        </w:trPr>
        <w:tc>
          <w:tcPr>
            <w:tcW w:w="5120" w:type="dxa"/>
            <w:vAlign w:val="bottom"/>
            <w:gridSpan w:val="2"/>
          </w:tcPr>
          <w:p>
            <w:pPr>
              <w:spacing w:after="0"/>
              <w:rPr>
                <w:sz w:val="20"/>
                <w:szCs w:val="20"/>
                <w:color w:val="auto"/>
              </w:rPr>
            </w:pPr>
            <w:r>
              <w:rPr>
                <w:rFonts w:ascii="Arial" w:cs="Arial" w:eastAsia="Arial" w:hAnsi="Arial"/>
                <w:sz w:val="18"/>
                <w:szCs w:val="18"/>
                <w:color w:val="auto"/>
              </w:rPr>
              <w:t>Percent of revenue</w:t>
            </w:r>
          </w:p>
        </w:tc>
        <w:tc>
          <w:tcPr>
            <w:tcW w:w="520" w:type="dxa"/>
            <w:vAlign w:val="bottom"/>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156%</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increase in selling, general and administrative expenses for the three and six month periods ended June 30, 2004 compared to the same periods of 2003 were primarily driven by a significant increase in legal expenses related to our ongoing litigation, described in “Legal Proceedings” in Part II, Item 1 below. Legal fees associated with this litigation were approximately $500,000 and $400,000 in the first quarter and second quarters of 2004, respectively. In addition our second quarter costs included a $280,000 settlement payment for one of the portions this litigation. We believe that selling, general and administrative expense will remain at second quarter spending levels as we continue to incur significant legal expenses to prepare for trial expected later this year.</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Interest income. </w:t>
      </w:r>
      <w:r>
        <w:rPr>
          <w:rFonts w:ascii="Arial" w:cs="Arial" w:eastAsia="Arial" w:hAnsi="Arial"/>
          <w:sz w:val="16"/>
          <w:szCs w:val="16"/>
          <w:color w:val="auto"/>
        </w:rPr>
        <w:t>The following table summarizes a quarter and year-to-date comparison of interest income from the same periods in the prior year:</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Three months</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7"/>
              </w:rPr>
              <w:t>Six months</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2"/>
              </w:rPr>
              <w:t>ended</w:t>
            </w:r>
          </w:p>
        </w:tc>
        <w:tc>
          <w:tcPr>
            <w:tcW w:w="340" w:type="dxa"/>
            <w:vAlign w:val="bottom"/>
          </w:tcPr>
          <w:p>
            <w:pPr>
              <w:spacing w:after="0"/>
              <w:rPr>
                <w:sz w:val="12"/>
                <w:szCs w:val="12"/>
                <w:color w:val="auto"/>
              </w:rPr>
            </w:pPr>
          </w:p>
        </w:tc>
        <w:tc>
          <w:tcPr>
            <w:tcW w:w="13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Variance</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2"/>
              </w:rPr>
              <w:t>ended</w:t>
            </w:r>
          </w:p>
        </w:tc>
        <w:tc>
          <w:tcPr>
            <w:tcW w:w="13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Variance</w:t>
            </w:r>
          </w:p>
        </w:tc>
        <w:tc>
          <w:tcPr>
            <w:tcW w:w="0" w:type="dxa"/>
            <w:vAlign w:val="bottom"/>
          </w:tcPr>
          <w:p>
            <w:pPr>
              <w:spacing w:after="0"/>
              <w:rPr>
                <w:sz w:val="1"/>
                <w:szCs w:val="1"/>
                <w:color w:val="auto"/>
              </w:rPr>
            </w:pPr>
          </w:p>
        </w:tc>
      </w:tr>
      <w:tr>
        <w:trPr>
          <w:trHeight w:val="174"/>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340" w:type="dxa"/>
            <w:vAlign w:val="bottom"/>
          </w:tcPr>
          <w:p>
            <w:pPr>
              <w:spacing w:after="0"/>
              <w:rPr>
                <w:sz w:val="15"/>
                <w:szCs w:val="15"/>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2004 vs. 2003</w:t>
            </w:r>
          </w:p>
        </w:tc>
        <w:tc>
          <w:tcPr>
            <w:tcW w:w="340" w:type="dxa"/>
            <w:vAlign w:val="bottom"/>
          </w:tcPr>
          <w:p>
            <w:pPr>
              <w:spacing w:after="0"/>
              <w:rPr>
                <w:sz w:val="15"/>
                <w:szCs w:val="15"/>
                <w:color w:val="auto"/>
              </w:rPr>
            </w:pPr>
          </w:p>
        </w:tc>
        <w:tc>
          <w:tcPr>
            <w:tcW w:w="15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5"/>
              </w:rPr>
              <w:t>June 30,</w:t>
            </w: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2004 vs. 2003</w:t>
            </w:r>
          </w:p>
        </w:tc>
        <w:tc>
          <w:tcPr>
            <w:tcW w:w="0" w:type="dxa"/>
            <w:vAlign w:val="bottom"/>
          </w:tcPr>
          <w:p>
            <w:pPr>
              <w:spacing w:after="0"/>
              <w:rPr>
                <w:sz w:val="1"/>
                <w:szCs w:val="1"/>
                <w:color w:val="auto"/>
              </w:rPr>
            </w:pPr>
          </w:p>
        </w:tc>
      </w:tr>
      <w:tr>
        <w:trPr>
          <w:trHeight w:val="68"/>
        </w:trPr>
        <w:tc>
          <w:tcPr>
            <w:tcW w:w="532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82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2"/>
                <w:szCs w:val="22"/>
                <w:color w:val="auto"/>
              </w:rPr>
            </w:pPr>
          </w:p>
        </w:tc>
        <w:tc>
          <w:tcPr>
            <w:tcW w:w="480" w:type="dxa"/>
            <w:vAlign w:val="bottom"/>
          </w:tcPr>
          <w:p>
            <w:pPr>
              <w:jc w:val="right"/>
              <w:ind w:right="127"/>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$ 272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$ 669</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$ 1,006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640" w:firstLine="456"/>
        <w:spacing w:after="0" w:line="375" w:lineRule="auto"/>
        <w:rPr>
          <w:sz w:val="20"/>
          <w:szCs w:val="20"/>
          <w:color w:val="auto"/>
        </w:rPr>
      </w:pPr>
      <w:r>
        <w:rPr>
          <w:rFonts w:ascii="Arial" w:cs="Arial" w:eastAsia="Arial" w:hAnsi="Arial"/>
          <w:sz w:val="18"/>
          <w:szCs w:val="18"/>
          <w:color w:val="auto"/>
        </w:rPr>
        <w:t xml:space="preserve">The decrease in interest income over all periods presented is attributable to a decrease in our average cash and investments balances. </w:t>
      </w:r>
      <w:r>
        <w:rPr>
          <w:rFonts w:ascii="Arial" w:cs="Arial" w:eastAsia="Arial" w:hAnsi="Arial"/>
          <w:sz w:val="18"/>
          <w:szCs w:val="18"/>
          <w:b w:val="1"/>
          <w:bCs w:val="1"/>
          <w:color w:val="auto"/>
        </w:rPr>
        <w:t>Liquidity and Capital Resources</w:t>
      </w:r>
    </w:p>
    <w:p>
      <w:pPr>
        <w:spacing w:after="0" w:line="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principal sources of liquidity as of June 30, 2004 consisted of $62.3 million of cash and investments. We have primarily funded our operations through our initial public offering in August 2000, resulting in net proceeds of $138.4 million, sales of shares of our preferred stock, which resulted in gross proceeds of approximately $42.6 million, as well as $10 million 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development funding received from Caterpillar since 1999, and our revenue. The following table summarizes the yearly changes in cash used in operating activities:</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4"/>
              </w:rPr>
              <w:t>Six months ended</w:t>
            </w:r>
          </w:p>
        </w:tc>
        <w:tc>
          <w:tcPr>
            <w:tcW w:w="240" w:type="dxa"/>
            <w:vAlign w:val="bottom"/>
          </w:tcPr>
          <w:p>
            <w:pPr>
              <w:spacing w:after="0"/>
              <w:rPr>
                <w:sz w:val="14"/>
                <w:szCs w:val="14"/>
                <w:color w:val="auto"/>
              </w:rPr>
            </w:pPr>
          </w:p>
        </w:tc>
        <w:tc>
          <w:tcPr>
            <w:tcW w:w="1000" w:type="dxa"/>
            <w:vAlign w:val="bottom"/>
            <w:gridSpan w:val="2"/>
          </w:tcPr>
          <w:p>
            <w:pPr>
              <w:jc w:val="center"/>
              <w:ind w:left="292"/>
              <w:spacing w:after="0"/>
              <w:rPr>
                <w:sz w:val="20"/>
                <w:szCs w:val="20"/>
                <w:color w:val="auto"/>
              </w:rPr>
            </w:pPr>
            <w:r>
              <w:rPr>
                <w:rFonts w:ascii="Arial" w:cs="Arial" w:eastAsia="Arial" w:hAnsi="Arial"/>
                <w:sz w:val="14"/>
                <w:szCs w:val="14"/>
                <w:b w:val="1"/>
                <w:bCs w:val="1"/>
                <w:color w:val="auto"/>
                <w:w w:val="89"/>
              </w:rPr>
              <w:t>Variance</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2004 vs. 2003</w:t>
            </w:r>
          </w:p>
        </w:tc>
        <w:tc>
          <w:tcPr>
            <w:tcW w:w="0" w:type="dxa"/>
            <w:vAlign w:val="bottom"/>
          </w:tcPr>
          <w:p>
            <w:pPr>
              <w:spacing w:after="0"/>
              <w:rPr>
                <w:sz w:val="1"/>
                <w:szCs w:val="1"/>
                <w:color w:val="auto"/>
              </w:rPr>
            </w:pPr>
          </w:p>
        </w:tc>
      </w:tr>
      <w:tr>
        <w:trPr>
          <w:trHeight w:val="68"/>
        </w:trPr>
        <w:tc>
          <w:tcPr>
            <w:tcW w:w="3960" w:type="dxa"/>
            <w:vAlign w:val="bottom"/>
            <w:gridSpan w:val="2"/>
            <w:vMerge w:val="continue"/>
          </w:tcPr>
          <w:p>
            <w:pPr>
              <w:spacing w:after="0"/>
              <w:rPr>
                <w:sz w:val="5"/>
                <w:szCs w:val="5"/>
                <w:color w:val="auto"/>
              </w:rPr>
            </w:pPr>
          </w:p>
        </w:tc>
        <w:tc>
          <w:tcPr>
            <w:tcW w:w="1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22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22"/>
                <w:szCs w:val="2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72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22"/>
                <w:szCs w:val="22"/>
                <w:color w:val="auto"/>
              </w:rPr>
            </w:pPr>
          </w:p>
        </w:tc>
        <w:tc>
          <w:tcPr>
            <w:tcW w:w="360" w:type="dxa"/>
            <w:vAlign w:val="bottom"/>
          </w:tcPr>
          <w:p>
            <w:pPr>
              <w:jc w:val="right"/>
              <w:ind w:right="4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274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color w:val="auto"/>
              </w:rPr>
              <w:t>$(9,608)</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9"/>
              </w:rPr>
              <w:t>$(8,731)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increase in cash consumed for operating activities was primarily due to increases in our working capital balance to support increased sales.</w:t>
      </w:r>
    </w:p>
    <w:p>
      <w:pPr>
        <w:spacing w:after="0" w:line="18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Capital expenditures were $137,000 in the first six months of 2004 for general corporate purposes including engineering equipment to support our advanced development efforts on our extended runtime product. Capital spending of $627,000 for the same period of 2003 was principally for leasehold improvements associated with the consolidation of our sales and marketing and administrative groups into our manufacturing facility, as well as additional engineering lab equipment, and computer equipment and software for general corporate purposes For the second half of 2004 we expect capital additions to be approximately $400,000 to $600,000 and for the first half of 2005 we expect expenditures to increase to a range of $1.0 to $1.5 million to support the production and testing of our high power 1200 kVA UPS systems in paralleled applications and the scale up our facilities for the production of our extended runtime product.</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addition to other cash used in our business, the outcome of the litigation described under “Legal Proceedings” below in this report may require additional cash in order to fund additional legal expenses or to pay any settlement or damages, as to which amounts we are unable to estimate at this time.</w:t>
      </w:r>
    </w:p>
    <w:p>
      <w:pPr>
        <w:spacing w:after="0" w:line="7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believe our existing cash and investments balances at June 30, 2004 will be sufficient to meet our cash requirements through the next 24 months, although we might elect to seek additional funding prior to that time. Beyond the next 24 months, our cash requirements will depend on many factors, including the rate of sales growth, the market acceptance of our products, the timing and level of development funding, the rate of expansion of our sales and marketing activities, the rate of expansion of our manufacturing processes, and the timing and extent of research and development projects. Although we are not a party to any agreement or letter of intent with respect to a potential acquisition or merger, we may enter into acquisitions or strategic arrangements in the future, which could also require us to seek additional equity or debt financing.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January 2003, the Financial Accounting Standards Board (FASB) issued FASB Interpretation No. 46 (FIN 46), CONSOLIDATION OF VARIABLE INTEREST ENTITIES, AN INTERPRETATION OF ARB NO. 51, which addresses consolidation by business enterprises of variable interest entities (VIEs) either: (1) that do not have sufficient equity investment at risk to permit the entity to finance its activities without additional subordinated financial support, or (2) in which the equity investors lack an essential characteristic of a controlling financial interest. In December 2003, the FASB completed deliberations of proposed modifications to FIN 46 (Revised Interpretations) resulting in multiple effective dates based on the nature as well as the creation date of the VIE. VIEs created after January 31, 2003, but prior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to January 1, 2004, may be accounted for either based on the original interpretation or the Revised Interpretations. However, the Revised Interpretations must be applied no later than the first quarter of 2004. VIEs created after January 1, 2004 must be accounted for under the Revised Interpretations. There has been no material impact to the Company’s financial statements from potential VIEs entered into after January 31, 2003 or from the adoption of the deferred provisions in the first quarter of 2004.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8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invest our cash in a variety of financial instruments, including bank time deposits, as well as, variable rate and fixed rate obligations of corporations, municipalities, and local, state and national government entities and agencies. These investments are denominated in U.S. dollars.</w:t>
      </w:r>
    </w:p>
    <w:p>
      <w:pPr>
        <w:spacing w:after="0" w:line="7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interest income is sensitive to changes in the general level of U.S. interest rates, particularly since the majority of our investments are in interest bearing instruments. We believe that our investment policy is conservative, both in terms of the average maturity of investments that we allow and in terms of the credit quality of the investments we hold. We estimate that a 1% decrease in market interest rates would decrease our annual interest income by $672,000.</w:t>
      </w:r>
    </w:p>
    <w:p>
      <w:pPr>
        <w:spacing w:after="0" w:line="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international sales are made primarily in U.S. dollars. Those sales in currencies other than U.S. dollars can result in translation gains and losses, which have not been significant to date. Currently, we do not engage in hedging activities for our international operations. However, we may engage in hedging activities in the future.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That May Affect Future Results</w:t>
      </w:r>
    </w:p>
    <w:p>
      <w:pPr>
        <w:spacing w:after="0" w:line="8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i w:val="1"/>
          <w:iCs w:val="1"/>
          <w:color w:val="auto"/>
        </w:rPr>
        <w:t>You should carefully consider the risks described below before making a decision to invest in our common stock or in evaluating Active Power and our business. The risks and uncertainties described below are not the only ones we face. Additional risks and uncertainties that we do not presently know, or that we currently view as immaterial, may also impair our business operations. This report is qualified in its entirety by these risk factors.</w:t>
      </w:r>
    </w:p>
    <w:p>
      <w:pPr>
        <w:spacing w:after="0" w:line="9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The actual occurrence of any of the following risks could materially harm our business, financial condition and results of operations. In that case, the trading price of our common stock could decline.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significant losses and anticipate losses for the next several quarters.</w:t>
      </w:r>
    </w:p>
    <w:p>
      <w:pPr>
        <w:spacing w:after="0" w:line="8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have incurred operating losses since our inception and expect to continue to incur losses for the next several quarters. As of June 30, 2004, we had an accumulated deficit of $141.7 million. To date, we have funded our operations principally through the sale of our stock, as well as our revenue and $10.0 million in development funding payments from Caterpillar. We will need to generate significant additional revenue to achieve profitability, and we cannot assure you that we will ever realize additional revenue at such levels. We also expect to incur product development, sales and marketing and administrative expenses significantly in excess of our revenue after costs, and, as a result, we expect to continue to incur losses for the next several quarters.</w:t>
      </w:r>
    </w:p>
    <w:p>
      <w:pPr>
        <w:spacing w:after="0" w:line="96"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Due to our limited operating history and the uncertain market acceptance of our products, we may never achieve significant revenue and may have difficulty accurately predicting revenue for future periods and appropriately budgeting for expenses.</w:t>
      </w:r>
    </w:p>
    <w:p>
      <w:pPr>
        <w:spacing w:after="0" w:line="3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have generated a total of $53.7 million in revenue since January 1, 1998, with approximately $3.7 million generated in the three months ended June 30, 2004. We are uncertain whether our products will achieve market acceptance such that our revenue will increase or whether we will be able to achieve significant revenue. Therefore, we have a very limited ability to predict future revenue. Our limited operating experience, the uncertain market acceptance for our products, and other factors that are beyond our control make it difficult for us to accurately forecast our quarterly and annual revenue. However, we use our forecasted revenue to establish our expense budget. Most of our expenses are fixed in the short term or incurred in advance of anticipated revenue. As a result, we may not be able to decrease our expenses, if desired, in a timely manner to offset any revenue shortfall. If our revenue does not increase as anticipated, we will continue to incur significant losses.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quarterly operating results fluctuate and are difficult to predict, which could negatively impact the price of our stock.</w:t>
      </w:r>
    </w:p>
    <w:p>
      <w:pPr>
        <w:spacing w:after="0" w:line="8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revenue, expense and quarterly operating results have varied in the past and may fluctuate significantly from quarter to quarter in the future due to a variety of factors, many of which are outside of our control. As a result you should not rely on our operating results during any particular quarter as an indication of our future performance in any quarterly period or fiscal year. These factors include, among others:</w:t>
      </w:r>
    </w:p>
    <w:p>
      <w:pPr>
        <w:spacing w:after="0" w:line="46" w:lineRule="exact"/>
        <w:rPr>
          <w:sz w:val="20"/>
          <w:szCs w:val="20"/>
          <w:color w:val="auto"/>
        </w:rPr>
      </w:pPr>
    </w:p>
    <w:p>
      <w:pPr>
        <w:ind w:left="800" w:right="140" w:hanging="346"/>
        <w:spacing w:after="0" w:line="26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orders from our customers and the possibility that these customers may change their order requirements with little or no advance notice to us;</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large size of some of our customer orders relative to our current revenue levels;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of adoption of our flywheel-based energy storage system as an alternative to lead-acid batteries;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deferral of customer orders in anticipation of new products from us or other providers of power quality systems;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ongoing need for short-term power outage protection in traditional UPS systems;</w:t>
      </w:r>
    </w:p>
    <w:p>
      <w:pPr>
        <w:spacing w:after="0" w:line="76" w:lineRule="exact"/>
        <w:rPr>
          <w:rFonts w:ascii="Arial" w:cs="Arial" w:eastAsia="Arial" w:hAnsi="Arial"/>
          <w:sz w:val="18"/>
          <w:szCs w:val="18"/>
          <w:color w:val="auto"/>
        </w:rPr>
      </w:pPr>
    </w:p>
    <w:p>
      <w:pPr>
        <w:ind w:left="800" w:right="160" w:hanging="346"/>
        <w:spacing w:after="0" w:line="26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uncertainty regarding the adoption of our current and future products, including the CleanSource UPS and CleanSource2 DC products, as well as our other products which are currently under development;</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of growth of the markets for our products;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accounting rules, such as recording expenses for employee stock option grants;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risks described herein.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involved in litigation that has been both costly and has caused the diversion of management’s time and attention. In the event that we or Mr.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Pinkerton are not successful in defending ourselves in this litigation, our business could be significantly and adversely harmed.</w:t>
      </w:r>
    </w:p>
    <w:p>
      <w:pPr>
        <w:spacing w:after="0" w:line="7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along with Joseph F. Pinkerton, III, our chairman and chief executive officer, were named in a lawsuit alleging a breach of contract and unjust enrichment against Mr. Pinkerton and the tortious interference with a business relationship against Active Power that we describe in further detail in “Legal Proceedings” in Part II, Item 1 below. This has caused our management to spend a significant portion of their time involved in activities relating to the litigation. We have incurred approximately $2.1 million of expenses to defend this lawsuit and we anticipate significant future expenditures if this lawsuit goes to trial. In the event that either Active Power or Mr. Pinkerton is not successful in defending this litigation, we could be forced to pay substantial damages that could seriously harm our business.</w:t>
      </w:r>
    </w:p>
    <w:p>
      <w:pPr>
        <w:spacing w:after="0" w:line="125"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There is a substantial amount of product held as inventory by several of our OEM customers. If these OEMs fill their orders from existing stock instead of our factory, our revenue will suffer.</w:t>
      </w:r>
    </w:p>
    <w:p>
      <w:pPr>
        <w:spacing w:after="0" w:line="3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Several OEMs purchased a substantial number of our CleanSource DC and UPS systems during 2001, many of which have remained in those OEMs’ inventories rather than being sold to end-user customers. As these OEMs fill some of their orders with existing inventory stock, rather than placing orders with us, our revenue will suffer for the next several fiscal quarters until this inventory held by these OEMs is reduced.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We have increased our international activities significantly and plan to continue such efforts, which subjects us to additional business risks including increased logistical and financial complexity, political instability and currency fluctuations.</w:t>
      </w:r>
    </w:p>
    <w:p>
      <w:pPr>
        <w:spacing w:after="0" w:line="3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percentage of our revenue derived from customers located outside of the United States was 48% in 2003, 37% in 2002 and 13% in 2001. In the three months and six months ended June 30, 2004, this percentage was 63% and 52%, respectively. We may not be able to maintain or increase international market demand for our products. Our international operations are subject to a number of risks, including:</w:t>
      </w:r>
    </w:p>
    <w:p>
      <w:pPr>
        <w:spacing w:after="0" w:line="46" w:lineRule="exact"/>
        <w:rPr>
          <w:sz w:val="20"/>
          <w:szCs w:val="20"/>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complexity and costs of managing international operations;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protectionist laws and business practices that favor local competition in some countries;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multiple, conflicting and changing laws, regulations and tax schemes;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difficulty in accounts receivable collection and longer collection periods;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military and economic instability, including possible effects of terrorism;</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currency fluctuations;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difficulty in hiring qualified personnel, including technical sales and applications engineers.</w:t>
      </w:r>
    </w:p>
    <w:p>
      <w:pPr>
        <w:spacing w:after="0" w:line="158"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To date, the majority of our sales to international customers and purchases of components from international suppliers have been denominated in U.S. dollars. As a result, an increase in the value of the U.S. dollar relative to foreign currencies could make our products more expensive for our international customers to purchase, thus rendering our products less competitive.</w:t>
      </w:r>
    </w:p>
    <w:p>
      <w:pPr>
        <w:spacing w:after="0" w:line="127"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Recent turmoil in the geopolitical environment in many parts of the world, including terrorist activities and military actions, particularly the continuing tension in and surrounding Iraq and Afghanistan, may continue to put pressure on global economic conditions. If the economic and market conditions in the United States and globally do not improve, or if they deteriorate as a result of the ongoing geopolitical turmoil or otherwise, we may continue to experience material adverse impacts on our business, operating results, and financial condition as a consequence of the above factors or otherwise.</w:t>
      </w:r>
    </w:p>
    <w:p>
      <w:pPr>
        <w:spacing w:after="0" w:line="93"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b w:val="1"/>
          <w:bCs w:val="1"/>
          <w:color w:val="auto"/>
        </w:rPr>
        <w:t>A significant portion of our operating expenses, including rent and salaries, is largely fixed in nature. Accordingly, if our revenue is below expectations, our operating results are likely to be adversely and disproportionately affected because these operating expenses are not variable in the short term and cannot be quickly reduced to respond to unanticipated decreases in revenues.</w:t>
      </w:r>
    </w:p>
    <w:p>
      <w:pPr>
        <w:spacing w:after="0" w:line="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a result of all of the foregoing, we cannot assure you that our revenues will grow or remain stable in future periods or that we will become profitable. In addition, in some future quarters our financial results may be below the expectations of public market analysts or investors. In such event, the market price of our common stock would likely fall.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Our business is dependent on the market for power quality products and the health of the overall economy, and if this market does not expand as we anticipate, if alternatives to our products are successful, or if the potential end-user customers limit capital spending due to overall economic conditions, our business will continue to suffer.</w:t>
      </w:r>
    </w:p>
    <w:p>
      <w:pPr>
        <w:spacing w:after="0" w:line="44"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market for power quality products is evolving and it is difficult to predict its potential size or future growth rate. Most of the organizations that may purchase our products have invested substantial resources in their existing power systems and, as a result, have been reluctant or slow to adopt a new approach, particularly during a period of reduced capital expenditures. Moreover, our current products are alternatives to existing UPS and battery-based systems and may never be accepted by our customers or may be made obsolete by other advances in power quality technologies. Improvements may also be made to the existing alternatives to our products that could render them less desirable or obsolete. Furthermore, our business depends on capital expenditures by organizations, which tend to decrease when the U.S. or global economy slows. Our business suffered significantly as a result of the economic slowdown that continued through much of 2003. Our business will continue to suffer if the anticipated economic recovery is not realized and capital expenditures by our customers do not increase and stabilize.</w:t>
      </w:r>
    </w:p>
    <w:p>
      <w:pPr>
        <w:spacing w:after="0" w:line="99"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The impact of global economic conditions on our customers may cause us to fail to meet analyst and investors’ expectations, which would negatively impact the price of our stock.</w:t>
      </w:r>
    </w:p>
    <w:p>
      <w:pPr>
        <w:spacing w:after="0" w:line="3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operating results can vary significantly based upon the impact of global economic conditions on our customers. More specifically, the macroeconomic environment and capital spending has declined in recent years. While the economic environment is showing signs of improvement, we have yet to notice a significant increase in capital expenditures by our customers or potential customers. Our operating results depend on the overall demand for power quality products. Because our sales are primarily to major corporate customers whose businesses fluctuate with general economic and business conditions, a softening of demand for power quality products caused by a weakening economy resulted in decreased revenues. We may be especially prone to this as a result of the relatively high percentage of revenue we have historically derived from the high-tech industry, which was more significantly impacted by the economic decline than other industries. Customers may defer or reconsider purchasing our products if they continue to experience a lack of growth in their business or if the general economy fails to significantly improve and stabilize.</w:t>
      </w:r>
    </w:p>
    <w:p>
      <w:pPr>
        <w:spacing w:after="0" w:line="10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As a result of all of the foregoing, we cannot assure you that our revenues will grow or remain stable in future periods or that we will become profitable. In addition, in some future quarters our financial results may be below the expectations of public market analysts or investors. In such event, the market price of our common stock would likely fall.</w:t>
      </w:r>
    </w:p>
    <w:p>
      <w:pPr>
        <w:spacing w:after="0" w:line="121"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We have limited product offerings and our success depends on our ability to develop, in a timely manner, new and enhanced products that achieve market acceptance.</w:t>
      </w:r>
    </w:p>
    <w:p>
      <w:pPr>
        <w:spacing w:after="0" w:line="3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To grow our revenue, we must develop and introduce to the market new products and product enhancements in a timely manner. Specifically, our ability to capture significant market share depends on our ability to develop and market extensions to our existing UPS product line at higher and lower power range offerings, and on our ability to develop and market extended runtime products. Even if we are able to develop and commercially introduce new products and enhancements, they may not achieve market acceptance, which would substantially impair our revenue, profitability and overall financial prospects.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expand our distribution channels and manage our existing and new product distribution relationships could impede our future growth.</w:t>
      </w:r>
    </w:p>
    <w:p>
      <w:pPr>
        <w:spacing w:after="0" w:line="10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future growth of our business will depend in part on our ability to expand our existing relationships with distributors, to identify and develop additional channels for the distribution and sale of our products and to manage these relationships. As part of our growth strategy, we may expand our relationships with distributors and develop relationships with new distributors. We will also look to identify and develop new relationships with additional parties that could serve as an outlet for our products. For example, we recently broadened our sales and distribution channel by offering our products through manufacturers representatives throughout North America and internationally. Our inability to successfully execute this strategy, and to integrate and manage our existing OEM channel partners, Caterpillar and Powerware, and our new manufacturers representatives could impede our future growth.</w:t>
      </w:r>
    </w:p>
    <w:p>
      <w:pPr>
        <w:spacing w:after="0" w:line="10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are heavily dependent on our relationship with Caterpillar, our primary OEM customer. If our relationship is unsuccessful, for whatever reason, our business and financial prospects would likely suffer.</w:t>
      </w:r>
    </w:p>
    <w:p>
      <w:pPr>
        <w:spacing w:after="0" w:line="31"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If our relationship with Caterpillar is not successful, or if Caterpillar’s distribution of the Cat UPS product is not successful, our business and financial prospects would likely suffer. During 2003, 2002 and 2001, Caterpillar and its dealer network accounted for 60%, 81% and 87% of our revenue, respectively. During the three months and six months ended June 30, 2004, Caterpillar and its dealer network accounted for 63% and 56%, respectively. Pursuant to our distribution agreement with Caterpillar, they are the exclusive OEM distributor, subject to limited exceptions, of our CleanSource UPS product. Caterpillar is not obligated to purchase any CleanSource UPS units. Through June 30, 2004, pursuant to our development agreements Caterpillar has provided us with $10.0 million in funding to support the development of the Cat UPS product line and other development efforts. In exchange for these payments, Caterpillar received co-ownership of the proprietary rights in this product. Either Caterpillar or we may license to others the intellectual property that we jointly own without seeking the consent of the other, and the licensing party will solely retain all licensing revenue generated by licensing this intellectual property. However, we may not license the joint intellectual property to specifically identified competitors of Caterpillar until January 1, 2007. Caterpillar may terminate this agreement at any time by giving us 90 days advance written notice.</w:t>
      </w:r>
    </w:p>
    <w:p>
      <w:pPr>
        <w:spacing w:after="0" w:line="103" w:lineRule="exact"/>
        <w:rPr>
          <w:sz w:val="20"/>
          <w:szCs w:val="20"/>
          <w:color w:val="auto"/>
        </w:rPr>
      </w:pPr>
    </w:p>
    <w:p>
      <w:pPr>
        <w:ind w:right="900"/>
        <w:spacing w:after="0" w:line="275" w:lineRule="auto"/>
        <w:rPr>
          <w:sz w:val="20"/>
          <w:szCs w:val="20"/>
          <w:color w:val="auto"/>
        </w:rPr>
      </w:pPr>
      <w:r>
        <w:rPr>
          <w:rFonts w:ascii="Arial" w:cs="Arial" w:eastAsia="Arial" w:hAnsi="Arial"/>
          <w:sz w:val="18"/>
          <w:szCs w:val="18"/>
          <w:b w:val="1"/>
          <w:bCs w:val="1"/>
          <w:color w:val="auto"/>
        </w:rPr>
        <w:t>The results of the recent sale of Powerware Corporation to Eaton Corporation in April 2004 are still unsettled and could adversely affect our relationship with Powerware and future revenue generating opportunities.</w:t>
      </w:r>
    </w:p>
    <w:p>
      <w:pPr>
        <w:spacing w:after="0" w:line="3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Powerware Corporation currently distributes our CleanSource DC products in North America and internationally on a non-exclusive basis. Powerware Corporation was purchased by Eaton Corporation in April 2004. While we believe that our business relationship with Powerware will continue on good terms and that Powerware will continue to sell our products, we cannot be guaranteed of this result in light of Powerware’s new owner. Sales of our products through Powerware in 2003 were 6% of our revenue, and 0% and 1% of our revenue for the three and six months ended June 30, 2004.</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 experience manufacturing our products in large quantities.</w:t>
      </w:r>
    </w:p>
    <w:p>
      <w:pPr>
        <w:spacing w:after="0" w:line="8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To be financially successful, we will have to manufacture our products in commercial quantities at acceptable costs while also preserving the quality levels we achieved when manufacturing these products in more limited quantities. This presents a number of technological and engineering challenges for us.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10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expanded our manufacturing facility in 2001 based on anticipated sales volume increases. If we do not achieve these forecasted sales volumes, we will continue to underutilize our manufacturing capacity and our business will continue to suffer.</w:t>
      </w:r>
    </w:p>
    <w:p>
      <w:pPr>
        <w:spacing w:after="0" w:line="3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May 2001 we completed a 127,000 square foot facility used for manufacturing and testing our three-phase product line, including our DC and UPS products. In order for us to fully utilize the capacity of the facility and allocate its associated overhead, we must achieve significantly higher sales volumes. We have not been successful at increasing our sales volume following the facility expansion and we may never increase our sales volume to necessary levels. If we do not reach these sales volume levels, or if we cannot sell our products at our suggested prices, our ability to reach profitability will be materially limited.</w:t>
      </w:r>
    </w:p>
    <w:p>
      <w:pPr>
        <w:spacing w:after="0" w:line="93"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Quality problems relating to one or more of our new or existing products could negatively impact the market’s acceptance of our products and cause us to miss our revenue goals and/or to incur significant liability.</w:t>
      </w:r>
    </w:p>
    <w:p>
      <w:pPr>
        <w:spacing w:after="0" w:line="3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Because of the nature of the power quality and reliability market, quality problems attributable to the CleanSource DC or CleanSource UPS product lines could significantly affect the market’s perception of our products and slow or limit their acceptance. This would substantially impair our revenue prospects. Moreover, quality problems for our product lines could cause us to delay or cease shipments of products, or recall products, thus impairing our revenue or cost targets. In addition, while we seek to limit our liability as a result of product failures or defects through warranty and other limitations, if one of our products fails, a customer could suffer a significant loss and seek to hold us responsible for that loss.</w:t>
      </w:r>
    </w:p>
    <w:p>
      <w:pPr>
        <w:spacing w:after="0" w:line="96"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We are subject to increased inventory risks and costs because we outsource the manufacturing of certain components of our products in advance of binding commitments from our customers to purchase our products.</w:t>
      </w:r>
    </w:p>
    <w:p>
      <w:pPr>
        <w:spacing w:after="0" w:line="31"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To assure the availability of our products to our customers, we outsource the manufacturing of certain components prior to the receipt of purchase orders from customers based on their forecasts of their product needs, as well as internal product sales revenue forecasts. However, these forecasts do not represent binding purchase commitments and we do not recognize revenue for such products until title to the product is transferred to the customer. As a result, we incur inventory and manufacturing costs in advance of anticipated revenue. As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900"/>
        <w:spacing w:after="0" w:line="259" w:lineRule="auto"/>
        <w:rPr>
          <w:sz w:val="20"/>
          <w:szCs w:val="20"/>
          <w:color w:val="auto"/>
        </w:rPr>
      </w:pPr>
      <w:r>
        <w:rPr>
          <w:rFonts w:ascii="Arial" w:cs="Arial" w:eastAsia="Arial" w:hAnsi="Arial"/>
          <w:sz w:val="18"/>
          <w:szCs w:val="18"/>
          <w:color w:val="auto"/>
        </w:rPr>
        <w:t>demand for our products may not materialize, this product delivery method subjects us to increased risks of high inventory carrying costs, excess and obsolescence, and may increase our operating costs. In addition, we may from time to time make design changes to our products, which could lead to obsolescence of inventory.</w:t>
      </w:r>
    </w:p>
    <w:p>
      <w:pPr>
        <w:spacing w:after="0" w:line="121" w:lineRule="exact"/>
        <w:rPr>
          <w:sz w:val="20"/>
          <w:szCs w:val="20"/>
          <w:color w:val="auto"/>
        </w:rPr>
      </w:pPr>
    </w:p>
    <w:p>
      <w:pPr>
        <w:ind w:right="100"/>
        <w:spacing w:after="0" w:line="329" w:lineRule="auto"/>
        <w:rPr>
          <w:sz w:val="20"/>
          <w:szCs w:val="20"/>
          <w:color w:val="auto"/>
        </w:rPr>
      </w:pPr>
      <w:r>
        <w:rPr>
          <w:rFonts w:ascii="Arial" w:cs="Arial" w:eastAsia="Arial" w:hAnsi="Arial"/>
          <w:sz w:val="16"/>
          <w:szCs w:val="16"/>
          <w:b w:val="1"/>
          <w:bCs w:val="1"/>
          <w:color w:val="auto"/>
        </w:rPr>
        <w:t>We depend on sole source and limited source suppliers for certain key components, and if we are unable to buy these components on a timely basis, our inability to deliver our products to our customers in a timely manner may result in reduced revenue and lost sales.</w:t>
      </w:r>
    </w:p>
    <w:p>
      <w:pPr>
        <w:spacing w:after="0" w:line="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At current sales levels we purchase several component parts from sole source and limited source suppliers. As a result, if our suppliers receive excess demand for their products, we may receive a low priority for order fulfillment as large volume customers will receive priority. If we are delayed in acquiring components for our products, the manufacture and shipment of our products also will be delayed. We are, however, continuing to enter into long-term agreements with our sole suppliers and other key suppliers, when available, using a rolling sales volume forecast to stabilize component availability.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several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may be required to manufacture the component internally, which will also result in delays. Manufacturing delays could negatively impact our ability to sell our products and could damage our customer relationships.</w:t>
      </w:r>
    </w:p>
    <w:p>
      <w:pPr>
        <w:spacing w:after="0" w:line="108"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depend on key personnel to manage our business and develop new products in a rapidly changing market, and if we are unable to retain our current personnel and hire additional personnel, our ability to develop and sell our products could be impaired.</w:t>
      </w:r>
    </w:p>
    <w:p>
      <w:pPr>
        <w:spacing w:after="0" w:line="3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believe our future success will depend in large part upon our ability to attract and retain highly skilled managerial, engineering and sales and marketing personnel. In particular, we believe that our future success is highly dependent on Joseph F. Pinkerton, III, our founder, chief executive officer and president. There is a limited supply of skilled employees in the power quality marketplace. Volatility or lack of positive performance in our stock price may also adversely affect our ability to retain our other key employees, all of whom have been granted stock options. The decline in our stock price since our IPO has resulted in a substantial number of “underwater” stock options, which may cause certain of our employees to seek employment elsewhere as a result of this decreased financial incentive. In April 2003, we reduced our workforce throughout all of our departments. If we experience significant demand for our products in the near term, we may have difficulty hiring and training qualified new employees to meet this demand. If we are unable to retain the personnel we currently employ, or if we are unable to quickly replace departing employees, our operations and new product development may suffer. Further, an adverse outcome or adverse developments in the ongoing litigation in which the company and Mr. Pinkerton are joint defendants could cause conflicts to arise in our relationship with Mr. Pinkerton or otherwise adversely affect our relationship with Mr. Pinkerton.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We are a relatively small company with limited resources compared to some of our current and potential competitors, and competition within our markets may limit our sales growth.</w:t>
      </w:r>
    </w:p>
    <w:p>
      <w:pPr>
        <w:spacing w:after="0" w:line="3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markets for power quality and power reliability are intensely competitive. There are many companies engaged in all areas of traditional and alternative UPS and backup systems in the United States and abroad, including, among others, major electric and specialized electronics firms, as well as universities, research institutions and foreign government-sponsored companies. There are many companies that are developing flywheel-based energy storage systems and flywheel-based power quality systems. We also compete indirectly with companies that are developing other types of power technologies, such as high-speed composite flywheels and ultra capacitors.</w:t>
      </w:r>
    </w:p>
    <w:p>
      <w:pPr>
        <w:spacing w:after="0" w:line="1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Many of our current and potential competitors have longer operating histories, significantly greater resources, broader name recognition and a larger customer base than we have. As a result, these competitors may have greater credibility with our existing and potential customers.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protect our intellectual property, we may be unable to compete.</w:t>
      </w:r>
    </w:p>
    <w:p>
      <w:pPr>
        <w:spacing w:after="0" w:line="8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products rely on our proprietary technology, and we expect that future technological advancements made by us will be critical to sustain market acceptance of our products. Therefore, we believe that the protection of our intellectual property rights is, and will continue to be, important to the success of our business.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Our efforts to protect our intellectual property may cause us to become involved in costly and lengthy litigation, which could seriously harm our business.</w:t>
      </w:r>
    </w:p>
    <w:p>
      <w:pPr>
        <w:spacing w:after="0" w:line="3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recent years, there has been significant litigation in the United States involving patents, trademarks and other intellectual property rights. In addition to our current litigation, we may become involved in additional litigation in the future to protect our intellectual property or defend allegations of infringement asserted by others. Legal proceedings, including the current lawsuit in which we are named as a defendant, could subject us to significant liability for damages or invalidate our intellectual property rights. Any litigation, regardless of its outcome, would likely be time consuming and expensive to resolve and would divert management’s time and attention. Any potential intellectual property litigation also could force us to take specific actions, including:</w:t>
      </w:r>
    </w:p>
    <w:p>
      <w:pPr>
        <w:spacing w:after="0" w:line="21" w:lineRule="exact"/>
        <w:rPr>
          <w:sz w:val="20"/>
          <w:szCs w:val="20"/>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cease selling our products that use the challenged intellectual property;</w:t>
      </w:r>
    </w:p>
    <w:p>
      <w:pPr>
        <w:spacing w:after="0" w:line="76" w:lineRule="exact"/>
        <w:rPr>
          <w:rFonts w:ascii="Arial" w:cs="Arial" w:eastAsia="Arial" w:hAnsi="Arial"/>
          <w:sz w:val="18"/>
          <w:szCs w:val="18"/>
          <w:color w:val="auto"/>
        </w:rPr>
      </w:pPr>
    </w:p>
    <w:p>
      <w:pPr>
        <w:ind w:left="800" w:right="120" w:hanging="346"/>
        <w:spacing w:after="0" w:line="268"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or trademark, which license may not be available on reasonable terms, or at all; or</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redesign those products that use infringing intellectual property or cease to use an infringing trademark.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acquisitions we make could disrupt our business and harm our financial condition.</w:t>
      </w:r>
    </w:p>
    <w:p>
      <w:pPr>
        <w:spacing w:after="0" w:line="83"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From time to time, as part of our corporate strategy, we may review opportunities to acquire other businesses or technologies that would complement our current products, expand the breadth of our markets or enhance our technical capabilities. We have no experience in making acquisitions. Acquisitions entail a number of risks that could materially and adversely affect our business and operating results, including:</w:t>
      </w:r>
    </w:p>
    <w:p>
      <w:pPr>
        <w:spacing w:after="0" w:line="12" w:lineRule="exact"/>
        <w:rPr>
          <w:sz w:val="20"/>
          <w:szCs w:val="20"/>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problems integrating the acquired operations, technologies or products with our existing business and products;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disruption of our ongoing business and distraction of our management;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retaining business relationships with suppliers and customers of the acquired companies;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coordinating and integrating overall business strategies, sales and marketing, and research and development efforts;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maintenance of corporate cultures, controls, procedures and policies;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lack prior experience;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require substantial additional funds in the future to finance our product development and commercialization plans.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product development and commercialization schedule could be delayed if we are unable to fund our research and development activities or the development of our manufacturing capabilities with our revenue and our cash on hand. We expect that our current cash and investments, together with our other available sources of working capital, will be sufficient to fund development activities for at least 24 months. However, unforeseen delays or difficulties in these activities could increase costs and exhaust our resources prior to the full commercialization of our products under development. We do not know whether we will be able to secure</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459" w:right="3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112"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Provisions in our charter documents and of Delaware law, and provisions in our agreements with Caterpillar, could prevent, delay or impede a change in control of our company and may depress the market price of our common stock.</w:t>
      </w:r>
    </w:p>
    <w:p>
      <w:pPr>
        <w:spacing w:after="0" w:line="3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Provisions of our certificate of incorporation and bylaws could have the effect of discouraging, delaying or preventing a merger or acquisition that a stockholder may consider favorable. Additionally, in December of 2001 our board of directors approved a stockholder rights plan, which would require a potential acquirer to negotiate directly with our board of directors regarding any planned acquisition.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acquirers and may substantially limit the number of possible acquirers. All of these factors may decrease the likelihood that we would be acquired, which may depress the market price of our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our stock price could result in claims against us.</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Historically the market price of our common stock has fluctuated significantly. Since January 1, 2003 the sales prices of our common stock have ranged from $0.98 to $4.28. The market price of our common stock can be expected to fluctuate significantly in response to numerous factors, some of which are beyond our control, including the following:</w:t>
      </w:r>
    </w:p>
    <w:p>
      <w:pPr>
        <w:spacing w:after="0" w:line="46" w:lineRule="exact"/>
        <w:rPr>
          <w:sz w:val="20"/>
          <w:szCs w:val="20"/>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such estimates;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market valuations of other technology companies, particularly those that sell products used in power quality systems;</w:t>
      </w:r>
    </w:p>
    <w:p>
      <w:pPr>
        <w:spacing w:after="0" w:line="76" w:lineRule="exact"/>
        <w:rPr>
          <w:rFonts w:ascii="Arial" w:cs="Arial" w:eastAsia="Arial" w:hAnsi="Arial"/>
          <w:sz w:val="18"/>
          <w:szCs w:val="18"/>
          <w:color w:val="auto"/>
        </w:rPr>
      </w:pPr>
    </w:p>
    <w:p>
      <w:pPr>
        <w:ind w:left="800" w:right="1000" w:hanging="346"/>
        <w:spacing w:after="0" w:line="268"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introduction of technologies or product enhancements that reduce the need for flywheel energy storage systems;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loss of one or more key OEM customers;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expand our distribution channels;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departures of key personnel;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changing external capital market conditions.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3" w:lineRule="exact"/>
        <w:rPr>
          <w:sz w:val="20"/>
          <w:szCs w:val="20"/>
          <w:color w:val="auto"/>
        </w:rPr>
      </w:pPr>
    </w:p>
    <w:p>
      <w:pPr>
        <w:ind w:left="460" w:right="320" w:firstLine="438"/>
        <w:spacing w:after="0" w:line="332" w:lineRule="auto"/>
        <w:rPr>
          <w:sz w:val="20"/>
          <w:szCs w:val="20"/>
          <w:color w:val="auto"/>
        </w:rPr>
      </w:pPr>
      <w:r>
        <w:rPr>
          <w:rFonts w:ascii="Arial" w:cs="Arial" w:eastAsia="Arial" w:hAnsi="Arial"/>
          <w:sz w:val="16"/>
          <w:szCs w:val="16"/>
          <w:color w:val="auto"/>
        </w:rPr>
        <w:t>This information is included in the section captioned “Management’s Discussion and Analysis of Financial Condition and Results of Operation – Quantitative and Qualitative Disclosures About Market Risk” in Item 2 above. Such information is incorporated by reference herein.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ind w:left="900" w:hanging="446"/>
        <w:spacing w:after="0" w:line="302" w:lineRule="auto"/>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u w:val="single" w:color="auto"/>
          <w:color w:val="auto"/>
        </w:rPr>
        <w:t>Evaluation of disclosure controls and procedures</w:t>
      </w:r>
      <w:r>
        <w:rPr>
          <w:rFonts w:ascii="Arial" w:cs="Arial" w:eastAsia="Arial" w:hAnsi="Arial"/>
          <w:sz w:val="15"/>
          <w:szCs w:val="15"/>
          <w:color w:val="auto"/>
        </w:rPr>
        <w:t>. We performed an evaluation under the supervision and with the participation of our management, including our Chief Executive Officer (CEO) and Chief Financial Officer (CFO), of the effectiveness of the design and operation of our disclosure controls and procedures, as defined in Rules 13a-15(e) under the Securities Exchange Act of 1934 (the Exchange Act). Based on their evaluation, our management, including our CEO and CFO, concluded that our disclosure controls and procedures were effective as of June 30, 2004 (a date within</w:t>
      </w:r>
    </w:p>
    <w:p>
      <w:pPr>
        <w:spacing w:after="0" w:line="2" w:lineRule="exact"/>
        <w:rPr>
          <w:rFonts w:ascii="Arial" w:cs="Arial" w:eastAsia="Arial" w:hAnsi="Arial"/>
          <w:sz w:val="15"/>
          <w:szCs w:val="15"/>
          <w:color w:val="auto"/>
        </w:rPr>
      </w:pPr>
    </w:p>
    <w:p>
      <w:pPr>
        <w:ind w:left="900"/>
        <w:spacing w:after="0" w:line="321" w:lineRule="auto"/>
        <w:rPr>
          <w:rFonts w:ascii="Arial" w:cs="Arial" w:eastAsia="Arial" w:hAnsi="Arial"/>
          <w:sz w:val="15"/>
          <w:szCs w:val="15"/>
          <w:color w:val="auto"/>
        </w:rPr>
      </w:pPr>
      <w:r>
        <w:rPr>
          <w:rFonts w:ascii="Arial" w:cs="Arial" w:eastAsia="Arial" w:hAnsi="Arial"/>
          <w:sz w:val="16"/>
          <w:szCs w:val="16"/>
          <w:color w:val="auto"/>
        </w:rPr>
        <w:t>90 days of the filing of this Quarterly Report on Form 10-Q) to ensure that information required to be disclosed by us in the reports filed or submitted by us under the Exchange Act is recorded, processed, summarized and reported within the time periods specified in the SEC’s rules and forms.</w:t>
      </w:r>
    </w:p>
    <w:p>
      <w:pPr>
        <w:spacing w:after="0" w:line="1" w:lineRule="exact"/>
        <w:rPr>
          <w:rFonts w:ascii="Arial" w:cs="Arial" w:eastAsia="Arial" w:hAnsi="Arial"/>
          <w:sz w:val="15"/>
          <w:szCs w:val="15"/>
          <w:color w:val="auto"/>
        </w:rPr>
      </w:pPr>
    </w:p>
    <w:p>
      <w:pPr>
        <w:ind w:left="900" w:right="32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There was no change in our internal control over financial reporting that occurred during the three months ended June 30, 2004 that has materially affected, or is reasonably likely to materially affect, our internal control over financial reporting.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ACTIVE POWER,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Magnex Corp, et al. v. Joseph Pinkerton et al.</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March 25, 2002, we, along with Joseph F. Pinkerton, III, our chairman, president and chief executive officer, Pinkerton Generator, Inc. (a corporation in which Mr. Pinkerton was an officer, director and the primary shareholder), and Caterpillar Inc. were named as defendants in a complaint filed in Michigan state court in the Circuit Court for the County of Wayne. The plaintiffs, currently listed as Magnex Corp., White Enigma, LLC and their individual principals (Paul Hodges and Randy Bergeron, respectively), were originally seeking unspecified damages for: alleged breach of a joint venture agreement dated June 23, 1989, which was entered into by and among Pinkerton Generator, Inc., Magnex Corp. and Enigma Corp.; breach of fiduciary duties; misappropriation of trade secrets; and the commission of other torts relating to this joint venture. Neither Active Power nor any of its predecessors in interest was a party to the joint venture agreement that is the subject of the litigation.</w:t>
      </w:r>
    </w:p>
    <w:p>
      <w:pPr>
        <w:spacing w:after="0" w:line="10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 First Amended Complaint was filed on April 16, 2002. The plaintiffs filed a Second Amended Complaint on June 3, 2003, and a Third Amended Complaint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November 14, 2003. Caterpillar has been dismissed from the case. Only two causes of action remain against Mr. Pinkerton and Pinkerton Generator, Inc.: breach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 contract and unjust enrichment. Only one cause of action remains against Active Power: tortious interference with a business relationship.</w:t>
      </w:r>
    </w:p>
    <w:p>
      <w:pPr>
        <w:spacing w:after="0" w:line="15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discovery phase of this litigation has concluded. On April 8, 2004 the parties participated in mediation and a court-mandated case evaluation in Detroit, Michigan. The case did not settle during the mediation. In the case evaluation, a panel of three attorneys – one of whom was selected by the plaintiffs, one of whom was selected by the defendants and one of whom was independent – made an evaluation of the dollar amount, broken down by cause of action for each plaintiff against each defendant, for which they believe the case should settle. This evaluation award is non-binding on the parties, unless both parties accept the evaluation award. However, should a party refuse to settle for the evaluated amount and the other party accept the evaluation amount, the refusing party will be responsible for all attorney fees incurred by the accepting party from the evaluation date through trial unless the refusing party “beats” the evaluation amount by at least 10% following a full trial on the merits.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April 8, 2004, the panel of evaluators determined evaluation amounts against Active Power of $280,000 for Bergeron/White Enigma, LLC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$220,000 for Hodges/Magnex Corporation, for a total amount of $500,000. Active Power accepted both of these evaluation amounts. Bergeron/White Enigma,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LLC accepted its evaluation amount and, therefore, settled that portion of the case for $280,000. This settlement amount is included in the selling, general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section of our income statement for the three month period ended June 30, 2004. Hodges/Magnex Corporation rejected their respective evaluation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A trial date for the unresolved claims against Active Power and Mr. Pinkerton has been set for August 16, 2004 in Detroit, Michigan. While we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unable to estimate the range of potential liability at this time and strongly deny any liability, an adverse outcome in this litigation nonetheless could be material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 whether such damages are assessed directly against Active Power itself or to Mr. Pinkerton and/or Pinkerton Generator should we either agree to indemnify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Pinkerton and/or Pinkerton Generator in whole or in part or if we are found to be liable in whole or in part for any liability Mr. Pinkerton and/or Pinkerton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Generator may incur.</w:t>
      </w:r>
    </w:p>
    <w:p>
      <w:pPr>
        <w:spacing w:after="0" w:line="1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board created a special litigation committee consisting of independent directors to assist the full board in monitoring and assessing and creating strategy with respect to this litigation. The special committee has authority to, among other things, engage its own legal and other advisers, and to recommend litigation and settlement strategy to the full board. The committee has engaged outside independent counsel to advise the committee regarding this litigation. Because the board determined, among other things, that the interests of Active Power and Mr. Pinkerton were aligned, Active Power has borne all legal fees and other defense costs relating to this litigation to date (including those relating to Caterpillar pursuant to an indemnity agreement). The special committee regularly evaluates this position. The special committee is also assessing whether and to what extent Active Power should continue to bear defense, settlement, judgment or other costs relating to this litigation, including whether and to what extent to indemnify Mr. Pinkerton and Pinkerton Generator, both with respect to the continued cost of legal defense as well as for any damages actually incurred.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Due to the uncertain nature of all litigation and jury proceedings, our assessments of potential liability, if any, for defense, settlement, judgment or other costs relating to this litigation could vary significantly from the actual amounts, if any, as well as from the evaluation amounts determined by the panel of evaluators. The evaluation amounts are not made known to a jury, nor are they otherwise considered in the jury’s deliberations or the trial process. Moreover, notwithstanding the decision of the case evaluators and Active Power’s decision to accept the evaluations applicable to it, Active Power continues to believe very strongly that the claims against it and the other defendants are wholly without merit. Therefore, Active Power has determined that, at this time, it is not appropriate to make any accruals with respect to this litigation. We are unable to estimate the range of potential liability at this time and strongly deny any liability. However, an adverse outcome in this litigation nonetheless could be material to us, whether such damages are assessed directly against Active Power itself or to Mr. Pinkerton and/or Pinkerton Generator should we either agree to indemnify Mr. Pinkerton and/or Pinkerton Generator in whole or in part or if we are found to be liable in whole or in part for any liability Mr. Pinkerton and/or Pinkerton Generator may incur.</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Active Power, Inc., et al. v. Greenwich Insurance Company</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On July 16, 2004 Active Power filed a lawsuit against Greenwich Insurance Company seeking coverage under an insurance policy providing for management liability and company reimbursement coverage in connection with the </w:t>
      </w:r>
      <w:r>
        <w:rPr>
          <w:rFonts w:ascii="Arial" w:cs="Arial" w:eastAsia="Arial" w:hAnsi="Arial"/>
          <w:sz w:val="18"/>
          <w:szCs w:val="18"/>
          <w:i w:val="1"/>
          <w:iCs w:val="1"/>
          <w:color w:val="auto"/>
        </w:rPr>
        <w:t>Magnex</w:t>
      </w:r>
      <w:r>
        <w:rPr>
          <w:rFonts w:ascii="Arial" w:cs="Arial" w:eastAsia="Arial" w:hAnsi="Arial"/>
          <w:sz w:val="18"/>
          <w:szCs w:val="18"/>
          <w:color w:val="auto"/>
        </w:rPr>
        <w:t xml:space="preserve"> litigation described above. The case seeks a declaratory judgment that Active Power is entitled to coverage under its policy with Greenwich Insurance Company and also alleges breach of contract for Greenwich’s failure to fulfill its contractual obligations under the policy. This case was filed in the Travis County District Court, in Texas state court. Defendant in this case has yet to respond to the original petition.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Changes in Securities, Use of Proceeds and Issuer Purchases of Equity Securities.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Securities and Exchange Commission on August 7, 2000 declared effective our registration statement on Form S-1 (File No. 333-36946) relating to the initial public offering of our common stock. As of June 30, 2004, we have used all of the net offering proceeds for the purchase of investments, consisting of cash, cash equivalents, short-term and long-term investments. We currently intend to use the net proceeds of the offering for working capital and general corporate purposes, including financing accounts receivable and capital expenditures made in the ordinary course of business. We also may apply a portion of the proceeds of the offering to acquire businesses, products and technologies, or enter into joint venture arrangements, that are complementary to our business and product offerings; however, at this time we have not identified a specific acquisition or joint venture or allocated a specific amount for this purpose. We also may apply a portion of the proceeds to the payment of cash dividends or for additional stock repurchases or other similar transactions.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purchase any of our equity securities during the second fiscal quarter of 2004.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our annual meeting of stockholders held on April 29, 2004, our stockholders voted on the following matters:</w:t>
      </w:r>
    </w:p>
    <w:p>
      <w:pPr>
        <w:spacing w:after="0" w:line="77" w:lineRule="exact"/>
        <w:rPr>
          <w:sz w:val="20"/>
          <w:szCs w:val="20"/>
          <w:color w:val="auto"/>
        </w:rPr>
      </w:pPr>
    </w:p>
    <w:p>
      <w:pPr>
        <w:ind w:right="40" w:firstLine="464"/>
        <w:spacing w:after="0" w:line="268"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election of three Class I directors to serve until our 2007 annual meeting or until their successors have been elected and qualified. The nominees of the board of directors were elected by the following vote:</w:t>
      </w:r>
    </w:p>
    <w:p>
      <w:pPr>
        <w:spacing w:after="0" w:line="114" w:lineRule="exact"/>
        <w:rPr>
          <w:sz w:val="20"/>
          <w:szCs w:val="20"/>
          <w:color w:val="auto"/>
        </w:rPr>
      </w:pPr>
    </w:p>
    <w:tbl>
      <w:tblPr>
        <w:tblLayout w:type="fixed"/>
        <w:tblInd w:w="1100" w:type="dxa"/>
        <w:tblCellMar>
          <w:top w:w="0" w:type="dxa"/>
          <w:left w:w="0" w:type="dxa"/>
          <w:bottom w:w="0" w:type="dxa"/>
          <w:right w:w="0" w:type="dxa"/>
        </w:tblCellMar>
      </w:tblPr>
      <w:tr>
        <w:trPr>
          <w:trHeight w:val="174"/>
        </w:trPr>
        <w:tc>
          <w:tcPr>
            <w:tcW w:w="160" w:type="dxa"/>
            <w:vAlign w:val="bottom"/>
          </w:tcPr>
          <w:p>
            <w:pPr>
              <w:spacing w:after="0"/>
              <w:rPr>
                <w:sz w:val="15"/>
                <w:szCs w:val="15"/>
                <w:color w:val="auto"/>
              </w:rPr>
            </w:pPr>
          </w:p>
        </w:tc>
        <w:tc>
          <w:tcPr>
            <w:tcW w:w="3660" w:type="dxa"/>
            <w:vAlign w:val="bottom"/>
            <w:gridSpan w:val="2"/>
          </w:tcPr>
          <w:p>
            <w:pPr>
              <w:jc w:val="center"/>
              <w:ind w:right="2500"/>
              <w:spacing w:after="0"/>
              <w:rPr>
                <w:sz w:val="20"/>
                <w:szCs w:val="20"/>
                <w:color w:val="auto"/>
              </w:rPr>
            </w:pPr>
            <w:r>
              <w:rPr>
                <w:rFonts w:ascii="Arial" w:cs="Arial" w:eastAsia="Arial" w:hAnsi="Arial"/>
                <w:sz w:val="14"/>
                <w:szCs w:val="14"/>
                <w:b w:val="1"/>
                <w:bCs w:val="1"/>
                <w:color w:val="auto"/>
                <w:w w:val="89"/>
              </w:rPr>
              <w:t>Class I Director</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6"/>
              </w:rPr>
              <w:t>Shares Voted in Favor</w:t>
            </w:r>
          </w:p>
        </w:tc>
        <w:tc>
          <w:tcPr>
            <w:tcW w:w="2420" w:type="dxa"/>
            <w:vAlign w:val="bottom"/>
          </w:tcPr>
          <w:p>
            <w:pPr>
              <w:spacing w:after="0"/>
              <w:rPr>
                <w:sz w:val="15"/>
                <w:szCs w:val="15"/>
                <w:color w:val="auto"/>
              </w:rPr>
            </w:pPr>
          </w:p>
        </w:tc>
        <w:tc>
          <w:tcPr>
            <w:tcW w:w="1220" w:type="dxa"/>
            <w:vAlign w:val="bottom"/>
          </w:tcPr>
          <w:p>
            <w:pPr>
              <w:ind w:left="140"/>
              <w:spacing w:after="0"/>
              <w:rPr>
                <w:sz w:val="20"/>
                <w:szCs w:val="20"/>
                <w:color w:val="auto"/>
              </w:rPr>
            </w:pPr>
            <w:r>
              <w:rPr>
                <w:rFonts w:ascii="Arial" w:cs="Arial" w:eastAsia="Arial" w:hAnsi="Arial"/>
                <w:sz w:val="14"/>
                <w:szCs w:val="14"/>
                <w:b w:val="1"/>
                <w:bCs w:val="1"/>
                <w:color w:val="auto"/>
                <w:w w:val="96"/>
              </w:rPr>
              <w:t>Shares Withheld</w:t>
            </w:r>
          </w:p>
        </w:tc>
      </w:tr>
      <w:tr>
        <w:trPr>
          <w:trHeight w:val="95"/>
        </w:trPr>
        <w:tc>
          <w:tcPr>
            <w:tcW w:w="16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50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24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r>
      <w:tr>
        <w:trPr>
          <w:trHeight w:val="309"/>
        </w:trPr>
        <w:tc>
          <w:tcPr>
            <w:tcW w:w="3820" w:type="dxa"/>
            <w:vAlign w:val="bottom"/>
            <w:gridSpan w:val="3"/>
          </w:tcPr>
          <w:p>
            <w:pPr>
              <w:jc w:val="center"/>
              <w:ind w:right="2340"/>
              <w:spacing w:after="0"/>
              <w:rPr>
                <w:sz w:val="20"/>
                <w:szCs w:val="20"/>
                <w:color w:val="auto"/>
              </w:rPr>
            </w:pPr>
            <w:r>
              <w:rPr>
                <w:rFonts w:ascii="Arial" w:cs="Arial" w:eastAsia="Arial" w:hAnsi="Arial"/>
                <w:sz w:val="18"/>
                <w:szCs w:val="18"/>
                <w:color w:val="auto"/>
                <w:w w:val="89"/>
              </w:rPr>
              <w:t>Richard E. Anderson</w:t>
            </w:r>
          </w:p>
        </w:tc>
        <w:tc>
          <w:tcPr>
            <w:tcW w:w="1640" w:type="dxa"/>
            <w:vAlign w:val="bottom"/>
          </w:tcPr>
          <w:p>
            <w:pPr>
              <w:jc w:val="center"/>
              <w:spacing w:after="0"/>
              <w:rPr>
                <w:sz w:val="20"/>
                <w:szCs w:val="20"/>
                <w:color w:val="auto"/>
              </w:rPr>
            </w:pPr>
            <w:r>
              <w:rPr>
                <w:rFonts w:ascii="Arial" w:cs="Arial" w:eastAsia="Arial" w:hAnsi="Arial"/>
                <w:sz w:val="18"/>
                <w:szCs w:val="18"/>
                <w:color w:val="auto"/>
                <w:w w:val="86"/>
              </w:rPr>
              <w:t>32,517,794</w:t>
            </w:r>
          </w:p>
        </w:tc>
        <w:tc>
          <w:tcPr>
            <w:tcW w:w="3640" w:type="dxa"/>
            <w:vAlign w:val="bottom"/>
            <w:gridSpan w:val="2"/>
          </w:tcPr>
          <w:p>
            <w:pPr>
              <w:jc w:val="center"/>
              <w:ind w:left="2332"/>
              <w:spacing w:after="0"/>
              <w:rPr>
                <w:sz w:val="20"/>
                <w:szCs w:val="20"/>
                <w:color w:val="auto"/>
              </w:rPr>
            </w:pPr>
            <w:r>
              <w:rPr>
                <w:rFonts w:ascii="Arial" w:cs="Arial" w:eastAsia="Arial" w:hAnsi="Arial"/>
                <w:sz w:val="18"/>
                <w:szCs w:val="18"/>
                <w:color w:val="auto"/>
                <w:w w:val="87"/>
              </w:rPr>
              <w:t>4,776,355</w:t>
            </w:r>
          </w:p>
        </w:tc>
      </w:tr>
      <w:tr>
        <w:trPr>
          <w:trHeight w:val="216"/>
        </w:trPr>
        <w:tc>
          <w:tcPr>
            <w:tcW w:w="3820" w:type="dxa"/>
            <w:vAlign w:val="bottom"/>
            <w:gridSpan w:val="3"/>
          </w:tcPr>
          <w:p>
            <w:pPr>
              <w:jc w:val="center"/>
              <w:ind w:right="2340"/>
              <w:spacing w:after="0"/>
              <w:rPr>
                <w:sz w:val="20"/>
                <w:szCs w:val="20"/>
                <w:color w:val="auto"/>
              </w:rPr>
            </w:pPr>
            <w:r>
              <w:rPr>
                <w:rFonts w:ascii="Arial" w:cs="Arial" w:eastAsia="Arial" w:hAnsi="Arial"/>
                <w:sz w:val="18"/>
                <w:szCs w:val="18"/>
                <w:color w:val="auto"/>
                <w:w w:val="88"/>
              </w:rPr>
              <w:t>Rodney S. Bond</w:t>
            </w:r>
          </w:p>
        </w:tc>
        <w:tc>
          <w:tcPr>
            <w:tcW w:w="1640" w:type="dxa"/>
            <w:vAlign w:val="bottom"/>
          </w:tcPr>
          <w:p>
            <w:pPr>
              <w:jc w:val="center"/>
              <w:spacing w:after="0"/>
              <w:rPr>
                <w:sz w:val="20"/>
                <w:szCs w:val="20"/>
                <w:color w:val="auto"/>
              </w:rPr>
            </w:pPr>
            <w:r>
              <w:rPr>
                <w:rFonts w:ascii="Arial" w:cs="Arial" w:eastAsia="Arial" w:hAnsi="Arial"/>
                <w:sz w:val="18"/>
                <w:szCs w:val="18"/>
                <w:color w:val="auto"/>
                <w:w w:val="86"/>
              </w:rPr>
              <w:t>36,732,591</w:t>
            </w:r>
          </w:p>
        </w:tc>
        <w:tc>
          <w:tcPr>
            <w:tcW w:w="3640" w:type="dxa"/>
            <w:vAlign w:val="bottom"/>
            <w:gridSpan w:val="2"/>
          </w:tcPr>
          <w:p>
            <w:pPr>
              <w:jc w:val="center"/>
              <w:ind w:left="2352"/>
              <w:spacing w:after="0"/>
              <w:rPr>
                <w:sz w:val="20"/>
                <w:szCs w:val="20"/>
                <w:color w:val="auto"/>
              </w:rPr>
            </w:pPr>
            <w:r>
              <w:rPr>
                <w:rFonts w:ascii="Arial" w:cs="Arial" w:eastAsia="Arial" w:hAnsi="Arial"/>
                <w:sz w:val="18"/>
                <w:szCs w:val="18"/>
                <w:color w:val="auto"/>
                <w:w w:val="86"/>
              </w:rPr>
              <w:t>561,558</w:t>
            </w:r>
          </w:p>
        </w:tc>
      </w:tr>
      <w:tr>
        <w:trPr>
          <w:trHeight w:val="222"/>
        </w:trPr>
        <w:tc>
          <w:tcPr>
            <w:tcW w:w="3820" w:type="dxa"/>
            <w:vAlign w:val="bottom"/>
            <w:gridSpan w:val="3"/>
          </w:tcPr>
          <w:p>
            <w:pPr>
              <w:jc w:val="center"/>
              <w:ind w:right="2340"/>
              <w:spacing w:after="0"/>
              <w:rPr>
                <w:sz w:val="20"/>
                <w:szCs w:val="20"/>
                <w:color w:val="auto"/>
              </w:rPr>
            </w:pPr>
            <w:r>
              <w:rPr>
                <w:rFonts w:ascii="Arial" w:cs="Arial" w:eastAsia="Arial" w:hAnsi="Arial"/>
                <w:sz w:val="18"/>
                <w:szCs w:val="18"/>
                <w:color w:val="auto"/>
                <w:w w:val="90"/>
              </w:rPr>
              <w:t>Benjamin L. Scott</w:t>
            </w:r>
          </w:p>
        </w:tc>
        <w:tc>
          <w:tcPr>
            <w:tcW w:w="1640" w:type="dxa"/>
            <w:vAlign w:val="bottom"/>
          </w:tcPr>
          <w:p>
            <w:pPr>
              <w:jc w:val="center"/>
              <w:spacing w:after="0"/>
              <w:rPr>
                <w:sz w:val="20"/>
                <w:szCs w:val="20"/>
                <w:color w:val="auto"/>
              </w:rPr>
            </w:pPr>
            <w:r>
              <w:rPr>
                <w:rFonts w:ascii="Arial" w:cs="Arial" w:eastAsia="Arial" w:hAnsi="Arial"/>
                <w:sz w:val="18"/>
                <w:szCs w:val="18"/>
                <w:color w:val="auto"/>
                <w:w w:val="86"/>
              </w:rPr>
              <w:t>36,600,257</w:t>
            </w:r>
          </w:p>
        </w:tc>
        <w:tc>
          <w:tcPr>
            <w:tcW w:w="3640" w:type="dxa"/>
            <w:vAlign w:val="bottom"/>
            <w:gridSpan w:val="2"/>
          </w:tcPr>
          <w:p>
            <w:pPr>
              <w:jc w:val="center"/>
              <w:ind w:left="2352"/>
              <w:spacing w:after="0"/>
              <w:rPr>
                <w:sz w:val="20"/>
                <w:szCs w:val="20"/>
                <w:color w:val="auto"/>
              </w:rPr>
            </w:pPr>
            <w:r>
              <w:rPr>
                <w:rFonts w:ascii="Arial" w:cs="Arial" w:eastAsia="Arial" w:hAnsi="Arial"/>
                <w:sz w:val="18"/>
                <w:szCs w:val="18"/>
                <w:color w:val="auto"/>
                <w:w w:val="86"/>
              </w:rPr>
              <w:t>693,892</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our other directors whose term of office continued after our annual meeting:</w:t>
      </w:r>
    </w:p>
    <w:p>
      <w:pPr>
        <w:spacing w:after="0" w:line="77" w:lineRule="exact"/>
        <w:rPr>
          <w:sz w:val="20"/>
          <w:szCs w:val="20"/>
          <w:color w:val="auto"/>
        </w:rPr>
      </w:pPr>
    </w:p>
    <w:p>
      <w:pPr>
        <w:ind w:left="800" w:hanging="346"/>
        <w:spacing w:after="0" w:line="268"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Class II directors, Jan H. Lindelow and Terrence L. Rock, who will continue to serve until our 2005 Annual Meeting or until their successors have been elected and qualified.</w:t>
      </w:r>
    </w:p>
    <w:p>
      <w:pPr>
        <w:spacing w:after="0" w:line="37" w:lineRule="exact"/>
        <w:rPr>
          <w:rFonts w:ascii="Arial" w:cs="Arial" w:eastAsia="Arial" w:hAnsi="Arial"/>
          <w:sz w:val="18"/>
          <w:szCs w:val="18"/>
          <w:color w:val="auto"/>
        </w:rPr>
      </w:pPr>
    </w:p>
    <w:p>
      <w:pPr>
        <w:ind w:left="800" w:right="100" w:hanging="346"/>
        <w:spacing w:after="0" w:line="268"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Class III directors, Joseph F. Pinkerton, III and Ake Almgren, who will continue to serve until our 2006 Annual Meeting or until their successors have been elected and qualified.</w:t>
      </w:r>
    </w:p>
    <w:p>
      <w:pPr>
        <w:spacing w:after="0" w:line="118" w:lineRule="exact"/>
        <w:rPr>
          <w:rFonts w:ascii="Arial" w:cs="Arial" w:eastAsia="Arial" w:hAnsi="Arial"/>
          <w:sz w:val="18"/>
          <w:szCs w:val="18"/>
          <w:color w:val="auto"/>
        </w:rPr>
      </w:pPr>
    </w:p>
    <w:p>
      <w:pPr>
        <w:ind w:right="200" w:firstLine="464"/>
        <w:spacing w:after="0" w:line="268" w:lineRule="auto"/>
        <w:tabs>
          <w:tab w:leader="none" w:pos="705"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approval of the appointment of Ernst &amp; Young LLP as independent auditors for the fiscal year ending December 31, 2004. The appointment was approved by the following vote: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7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6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4"/>
        </w:trPr>
        <w:tc>
          <w:tcPr>
            <w:tcW w:w="12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Voted in Favor</w:t>
            </w:r>
          </w:p>
        </w:tc>
        <w:tc>
          <w:tcPr>
            <w:tcW w:w="276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5"/>
              </w:rPr>
              <w:t>Voted Opposed</w:t>
            </w:r>
          </w:p>
        </w:tc>
        <w:tc>
          <w:tcPr>
            <w:tcW w:w="264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4"/>
              </w:rPr>
              <w:t>Shares Abstaining</w:t>
            </w:r>
          </w:p>
        </w:tc>
      </w:tr>
      <w:tr>
        <w:trPr>
          <w:trHeight w:val="95"/>
        </w:trPr>
        <w:tc>
          <w:tcPr>
            <w:tcW w:w="128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76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64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r>
      <w:tr>
        <w:trPr>
          <w:trHeight w:val="316"/>
        </w:trPr>
        <w:tc>
          <w:tcPr>
            <w:tcW w:w="2400" w:type="dxa"/>
            <w:vAlign w:val="bottom"/>
            <w:gridSpan w:val="2"/>
          </w:tcPr>
          <w:p>
            <w:pPr>
              <w:jc w:val="center"/>
              <w:ind w:left="1192"/>
              <w:spacing w:after="0"/>
              <w:rPr>
                <w:sz w:val="20"/>
                <w:szCs w:val="20"/>
                <w:color w:val="auto"/>
              </w:rPr>
            </w:pPr>
            <w:r>
              <w:rPr>
                <w:rFonts w:ascii="Arial" w:cs="Arial" w:eastAsia="Arial" w:hAnsi="Arial"/>
                <w:sz w:val="18"/>
                <w:szCs w:val="18"/>
                <w:color w:val="auto"/>
                <w:w w:val="88"/>
              </w:rPr>
              <w:t>36,894,321</w:t>
            </w:r>
          </w:p>
        </w:tc>
        <w:tc>
          <w:tcPr>
            <w:tcW w:w="3900" w:type="dxa"/>
            <w:vAlign w:val="bottom"/>
            <w:gridSpan w:val="2"/>
          </w:tcPr>
          <w:p>
            <w:pPr>
              <w:jc w:val="center"/>
              <w:ind w:left="2672"/>
              <w:spacing w:after="0"/>
              <w:rPr>
                <w:sz w:val="20"/>
                <w:szCs w:val="20"/>
                <w:color w:val="auto"/>
              </w:rPr>
            </w:pPr>
            <w:r>
              <w:rPr>
                <w:rFonts w:ascii="Arial" w:cs="Arial" w:eastAsia="Arial" w:hAnsi="Arial"/>
                <w:sz w:val="18"/>
                <w:szCs w:val="18"/>
                <w:color w:val="auto"/>
                <w:w w:val="89"/>
              </w:rPr>
              <w:t>371,316</w:t>
            </w:r>
          </w:p>
        </w:tc>
        <w:tc>
          <w:tcPr>
            <w:tcW w:w="3980" w:type="dxa"/>
            <w:vAlign w:val="bottom"/>
            <w:gridSpan w:val="2"/>
          </w:tcPr>
          <w:p>
            <w:pPr>
              <w:jc w:val="right"/>
              <w:ind w:right="372"/>
              <w:spacing w:after="0"/>
              <w:rPr>
                <w:sz w:val="20"/>
                <w:szCs w:val="20"/>
                <w:color w:val="auto"/>
              </w:rPr>
            </w:pPr>
            <w:r>
              <w:rPr>
                <w:rFonts w:ascii="Arial" w:cs="Arial" w:eastAsia="Arial" w:hAnsi="Arial"/>
                <w:sz w:val="18"/>
                <w:szCs w:val="18"/>
                <w:color w:val="auto"/>
              </w:rPr>
              <w:t>28,512</w:t>
            </w:r>
          </w:p>
        </w:tc>
      </w:tr>
      <w:tr>
        <w:trPr>
          <w:trHeight w:val="365"/>
        </w:trPr>
        <w:tc>
          <w:tcPr>
            <w:tcW w:w="2400" w:type="dxa"/>
            <w:vAlign w:val="bottom"/>
            <w:gridSpan w:val="2"/>
          </w:tcPr>
          <w:p>
            <w:pPr>
              <w:jc w:val="center"/>
              <w:ind w:right="292"/>
              <w:spacing w:after="0"/>
              <w:rPr>
                <w:sz w:val="20"/>
                <w:szCs w:val="20"/>
                <w:color w:val="auto"/>
              </w:rPr>
            </w:pPr>
            <w:r>
              <w:rPr>
                <w:rFonts w:ascii="Arial" w:cs="Arial" w:eastAsia="Arial" w:hAnsi="Arial"/>
                <w:sz w:val="18"/>
                <w:szCs w:val="18"/>
                <w:b w:val="1"/>
                <w:bCs w:val="1"/>
                <w:color w:val="auto"/>
                <w:w w:val="93"/>
              </w:rPr>
              <w:t>Item 5. Other Information.</w:t>
            </w:r>
          </w:p>
        </w:tc>
        <w:tc>
          <w:tcPr>
            <w:tcW w:w="2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84"/>
        </w:trPr>
        <w:tc>
          <w:tcPr>
            <w:tcW w:w="2400" w:type="dxa"/>
            <w:vAlign w:val="bottom"/>
            <w:gridSpan w:val="2"/>
          </w:tcPr>
          <w:p>
            <w:pPr>
              <w:jc w:val="center"/>
              <w:ind w:right="332"/>
              <w:spacing w:after="0"/>
              <w:rPr>
                <w:sz w:val="20"/>
                <w:szCs w:val="20"/>
                <w:color w:val="auto"/>
              </w:rPr>
            </w:pPr>
            <w:r>
              <w:rPr>
                <w:rFonts w:ascii="Arial" w:cs="Arial" w:eastAsia="Arial" w:hAnsi="Arial"/>
                <w:sz w:val="18"/>
                <w:szCs w:val="18"/>
                <w:color w:val="auto"/>
                <w:w w:val="90"/>
              </w:rPr>
              <w:t>Not applicable.</w:t>
            </w:r>
          </w:p>
        </w:tc>
        <w:tc>
          <w:tcPr>
            <w:tcW w:w="2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65"/>
        </w:trPr>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900" w:type="dxa"/>
            <w:vAlign w:val="bottom"/>
            <w:gridSpan w:val="2"/>
          </w:tcPr>
          <w:p>
            <w:pPr>
              <w:jc w:val="center"/>
              <w:ind w:left="2632"/>
              <w:spacing w:after="0"/>
              <w:rPr>
                <w:sz w:val="20"/>
                <w:szCs w:val="20"/>
                <w:color w:val="auto"/>
              </w:rPr>
            </w:pPr>
            <w:r>
              <w:rPr>
                <w:rFonts w:ascii="Arial" w:cs="Arial" w:eastAsia="Arial" w:hAnsi="Arial"/>
                <w:sz w:val="18"/>
                <w:szCs w:val="18"/>
                <w:color w:val="auto"/>
                <w:w w:val="89"/>
              </w:rPr>
              <w:t>29</w:t>
            </w:r>
          </w:p>
        </w:tc>
        <w:tc>
          <w:tcPr>
            <w:tcW w:w="26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83"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Exhibits</w:t>
      </w:r>
    </w:p>
    <w:p>
      <w:pPr>
        <w:spacing w:after="0" w:line="76"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The following documents are filed as exhibits to this report:</w:t>
      </w:r>
    </w:p>
    <w:p>
      <w:pPr>
        <w:spacing w:after="0" w:line="76"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31.1  Rule 13a-15(e)/15d-15(e) Certification of Principal Executive Officer</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31.2  Rule 13a-15(e)/15d-15(e) Certification of Principal Financial Officer</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32.1  Section 1350 Certification of Principal Executive Officer</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32.2  Section 1350 Certification of Principal Financial Officer</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76"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We furnished one report on Form 8-K during the quarter ended June 30, 2004.</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460" w:type="dxa"/>
            <w:vAlign w:val="bottom"/>
            <w:gridSpan w:val="2"/>
          </w:tcPr>
          <w:p>
            <w:pPr>
              <w:spacing w:after="0"/>
              <w:rPr>
                <w:sz w:val="20"/>
                <w:szCs w:val="20"/>
                <w:color w:val="auto"/>
              </w:rPr>
            </w:pPr>
            <w:r>
              <w:rPr>
                <w:rFonts w:ascii="Arial" w:cs="Arial" w:eastAsia="Arial" w:hAnsi="Arial"/>
                <w:sz w:val="14"/>
                <w:szCs w:val="14"/>
                <w:b w:val="1"/>
                <w:bCs w:val="1"/>
                <w:color w:val="auto"/>
              </w:rPr>
              <w:t>Date Filed or</w:t>
            </w:r>
          </w:p>
        </w:tc>
        <w:tc>
          <w:tcPr>
            <w:tcW w:w="1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74"/>
        </w:trPr>
        <w:tc>
          <w:tcPr>
            <w:tcW w:w="2460" w:type="dxa"/>
            <w:vAlign w:val="bottom"/>
            <w:gridSpan w:val="2"/>
          </w:tcPr>
          <w:p>
            <w:pPr>
              <w:spacing w:after="0"/>
              <w:rPr>
                <w:sz w:val="20"/>
                <w:szCs w:val="20"/>
                <w:color w:val="auto"/>
              </w:rPr>
            </w:pPr>
            <w:r>
              <w:rPr>
                <w:rFonts w:ascii="Arial" w:cs="Arial" w:eastAsia="Arial" w:hAnsi="Arial"/>
                <w:sz w:val="14"/>
                <w:szCs w:val="14"/>
                <w:b w:val="1"/>
                <w:bCs w:val="1"/>
                <w:color w:val="auto"/>
              </w:rPr>
              <w:t>Furnished</w:t>
            </w:r>
          </w:p>
        </w:tc>
        <w:tc>
          <w:tcPr>
            <w:tcW w:w="2080" w:type="dxa"/>
            <w:vAlign w:val="bottom"/>
            <w:gridSpan w:val="2"/>
          </w:tcPr>
          <w:p>
            <w:pPr>
              <w:ind w:left="1420"/>
              <w:spacing w:after="0"/>
              <w:rPr>
                <w:sz w:val="20"/>
                <w:szCs w:val="20"/>
                <w:color w:val="auto"/>
              </w:rPr>
            </w:pPr>
            <w:r>
              <w:rPr>
                <w:rFonts w:ascii="Arial" w:cs="Arial" w:eastAsia="Arial" w:hAnsi="Arial"/>
                <w:sz w:val="14"/>
                <w:szCs w:val="14"/>
                <w:b w:val="1"/>
                <w:bCs w:val="1"/>
                <w:color w:val="auto"/>
              </w:rPr>
              <w:t>Item No.</w:t>
            </w:r>
          </w:p>
        </w:tc>
        <w:tc>
          <w:tcPr>
            <w:tcW w:w="4360" w:type="dxa"/>
            <w:vAlign w:val="bottom"/>
            <w:gridSpan w:val="3"/>
          </w:tcPr>
          <w:p>
            <w:pPr>
              <w:ind w:left="17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980" w:type="dxa"/>
            <w:vAlign w:val="bottom"/>
            <w:tcBorders>
              <w:bottom w:val="single" w:sz="8" w:color="auto"/>
            </w:tcBorders>
          </w:tcPr>
          <w:p>
            <w:pPr>
              <w:spacing w:after="0"/>
              <w:rPr>
                <w:sz w:val="8"/>
                <w:szCs w:val="8"/>
                <w:color w:val="auto"/>
              </w:rPr>
            </w:pPr>
          </w:p>
        </w:tc>
        <w:tc>
          <w:tcPr>
            <w:tcW w:w="14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r>
      <w:tr>
        <w:trPr>
          <w:trHeight w:val="309"/>
        </w:trPr>
        <w:tc>
          <w:tcPr>
            <w:tcW w:w="2460" w:type="dxa"/>
            <w:vAlign w:val="bottom"/>
            <w:gridSpan w:val="2"/>
          </w:tcPr>
          <w:p>
            <w:pPr>
              <w:spacing w:after="0"/>
              <w:rPr>
                <w:sz w:val="20"/>
                <w:szCs w:val="20"/>
                <w:color w:val="auto"/>
              </w:rPr>
            </w:pPr>
            <w:r>
              <w:rPr>
                <w:rFonts w:ascii="Arial" w:cs="Arial" w:eastAsia="Arial" w:hAnsi="Arial"/>
                <w:sz w:val="18"/>
                <w:szCs w:val="18"/>
                <w:color w:val="auto"/>
              </w:rPr>
              <w:t>April 28, 2004</w:t>
            </w:r>
          </w:p>
        </w:tc>
        <w:tc>
          <w:tcPr>
            <w:tcW w:w="2080" w:type="dxa"/>
            <w:vAlign w:val="bottom"/>
            <w:gridSpan w:val="2"/>
          </w:tcPr>
          <w:p>
            <w:pPr>
              <w:ind w:left="1420"/>
              <w:spacing w:after="0"/>
              <w:rPr>
                <w:sz w:val="20"/>
                <w:szCs w:val="20"/>
                <w:color w:val="auto"/>
              </w:rPr>
            </w:pPr>
            <w:r>
              <w:rPr>
                <w:rFonts w:ascii="Arial" w:cs="Arial" w:eastAsia="Arial" w:hAnsi="Arial"/>
                <w:sz w:val="18"/>
                <w:szCs w:val="18"/>
                <w:color w:val="auto"/>
              </w:rPr>
              <w:t>Item 12</w:t>
            </w:r>
          </w:p>
        </w:tc>
        <w:tc>
          <w:tcPr>
            <w:tcW w:w="4360" w:type="dxa"/>
            <w:vAlign w:val="bottom"/>
            <w:gridSpan w:val="3"/>
          </w:tcPr>
          <w:p>
            <w:pPr>
              <w:ind w:left="1700"/>
              <w:spacing w:after="0"/>
              <w:rPr>
                <w:sz w:val="20"/>
                <w:szCs w:val="20"/>
                <w:color w:val="auto"/>
              </w:rPr>
            </w:pPr>
            <w:r>
              <w:rPr>
                <w:rFonts w:ascii="Arial" w:cs="Arial" w:eastAsia="Arial" w:hAnsi="Arial"/>
                <w:sz w:val="18"/>
                <w:szCs w:val="18"/>
                <w:color w:val="auto"/>
                <w:w w:val="88"/>
              </w:rPr>
              <w:t>On April 28, 2004, we announced the</w:t>
            </w:r>
          </w:p>
        </w:tc>
      </w:tr>
      <w:tr>
        <w:trPr>
          <w:trHeight w:val="216"/>
        </w:trPr>
        <w:tc>
          <w:tcPr>
            <w:tcW w:w="9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360" w:type="dxa"/>
            <w:vAlign w:val="bottom"/>
            <w:gridSpan w:val="3"/>
          </w:tcPr>
          <w:p>
            <w:pPr>
              <w:ind w:left="1700"/>
              <w:spacing w:after="0"/>
              <w:rPr>
                <w:sz w:val="20"/>
                <w:szCs w:val="20"/>
                <w:color w:val="auto"/>
              </w:rPr>
            </w:pPr>
            <w:r>
              <w:rPr>
                <w:rFonts w:ascii="Arial" w:cs="Arial" w:eastAsia="Arial" w:hAnsi="Arial"/>
                <w:sz w:val="18"/>
                <w:szCs w:val="18"/>
                <w:color w:val="auto"/>
                <w:w w:val="89"/>
              </w:rPr>
              <w:t>results of our operations for the fiscal</w:t>
            </w:r>
          </w:p>
        </w:tc>
      </w:tr>
      <w:tr>
        <w:trPr>
          <w:trHeight w:val="222"/>
        </w:trPr>
        <w:tc>
          <w:tcPr>
            <w:tcW w:w="9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360" w:type="dxa"/>
            <w:vAlign w:val="bottom"/>
            <w:gridSpan w:val="3"/>
          </w:tcPr>
          <w:p>
            <w:pPr>
              <w:ind w:left="1700"/>
              <w:spacing w:after="0"/>
              <w:rPr>
                <w:sz w:val="20"/>
                <w:szCs w:val="20"/>
                <w:color w:val="auto"/>
              </w:rPr>
            </w:pPr>
            <w:r>
              <w:rPr>
                <w:rFonts w:ascii="Arial" w:cs="Arial" w:eastAsia="Arial" w:hAnsi="Arial"/>
                <w:sz w:val="18"/>
                <w:szCs w:val="18"/>
                <w:color w:val="auto"/>
              </w:rPr>
              <w:t>quarter ended March 31, 2004.*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5620" w:right="3379" w:hanging="5612"/>
        <w:spacing w:after="0" w:line="440" w:lineRule="auto"/>
        <w:tabs>
          <w:tab w:leader="none" w:pos="21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furnished Form 8-K is not to be deemed filed or incorporated by reference into any filing. 30</w:t>
      </w:r>
    </w:p>
    <w:p>
      <w:pPr>
        <w:sectPr>
          <w:pgSz w:w="11900" w:h="16838" w:orient="portrait"/>
          <w:cols w:equalWidth="0" w:num="1">
            <w:col w:w="10219"/>
          </w:cols>
          <w:pgMar w:left="240" w:top="459"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to be signed on its behalf by the undersigned thereunto duly authorized.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9"/>
              </w:rPr>
              <w:t>ACTIVE POWER, INC.</w:t>
            </w:r>
          </w:p>
        </w:tc>
      </w:tr>
      <w:tr>
        <w:trPr>
          <w:trHeight w:val="222"/>
        </w:trPr>
        <w:tc>
          <w:tcPr>
            <w:tcW w:w="33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89"/>
              </w:rPr>
              <w:t>(Registrant)</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July 28, 2004</w:t>
            </w:r>
          </w:p>
        </w:tc>
        <w:tc>
          <w:tcPr>
            <w:tcW w:w="336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87"/>
              </w:rPr>
              <w:t>/s/ Joseph F. Pinkerton, III</w:t>
            </w:r>
          </w:p>
        </w:tc>
      </w:tr>
      <w:tr>
        <w:trPr>
          <w:trHeight w:val="110"/>
        </w:trPr>
        <w:tc>
          <w:tcPr>
            <w:tcW w:w="3300" w:type="dxa"/>
            <w:vAlign w:val="bottom"/>
          </w:tcPr>
          <w:p>
            <w:pPr>
              <w:spacing w:after="0"/>
              <w:rPr>
                <w:sz w:val="9"/>
                <w:szCs w:val="9"/>
                <w:color w:val="auto"/>
              </w:rPr>
            </w:pPr>
          </w:p>
        </w:tc>
        <w:tc>
          <w:tcPr>
            <w:tcW w:w="3360" w:type="dxa"/>
            <w:vAlign w:val="bottom"/>
          </w:tcPr>
          <w:p>
            <w:pPr>
              <w:spacing w:after="0"/>
              <w:rPr>
                <w:sz w:val="9"/>
                <w:szCs w:val="9"/>
                <w:color w:val="auto"/>
              </w:rPr>
            </w:pPr>
          </w:p>
        </w:tc>
        <w:tc>
          <w:tcPr>
            <w:tcW w:w="4500" w:type="dxa"/>
            <w:vAlign w:val="bottom"/>
            <w:tcBorders>
              <w:bottom w:val="single" w:sz="8" w:color="auto"/>
            </w:tcBorders>
          </w:tcPr>
          <w:p>
            <w:pPr>
              <w:spacing w:after="0"/>
              <w:rPr>
                <w:sz w:val="9"/>
                <w:szCs w:val="9"/>
                <w:color w:val="auto"/>
              </w:rPr>
            </w:pPr>
          </w:p>
        </w:tc>
      </w:tr>
      <w:tr>
        <w:trPr>
          <w:trHeight w:val="309"/>
        </w:trPr>
        <w:tc>
          <w:tcPr>
            <w:tcW w:w="3300" w:type="dxa"/>
            <w:vAlign w:val="bottom"/>
          </w:tcPr>
          <w:p>
            <w:pPr>
              <w:spacing w:after="0"/>
              <w:rPr>
                <w:sz w:val="20"/>
                <w:szCs w:val="20"/>
                <w:color w:val="auto"/>
              </w:rPr>
            </w:pPr>
            <w:r>
              <w:rPr>
                <w:rFonts w:ascii="Arial" w:cs="Arial" w:eastAsia="Arial" w:hAnsi="Arial"/>
                <w:sz w:val="18"/>
                <w:szCs w:val="18"/>
                <w:color w:val="auto"/>
              </w:rPr>
              <w:t>(Date)</w:t>
            </w:r>
          </w:p>
        </w:tc>
        <w:tc>
          <w:tcPr>
            <w:tcW w:w="336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88"/>
              </w:rPr>
              <w:t>Joseph F. Pinkerton, III</w:t>
            </w:r>
          </w:p>
        </w:tc>
      </w:tr>
      <w:tr>
        <w:trPr>
          <w:trHeight w:val="216"/>
        </w:trPr>
        <w:tc>
          <w:tcPr>
            <w:tcW w:w="3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88"/>
              </w:rPr>
              <w:t>Chairman of the Board, President and</w:t>
            </w:r>
          </w:p>
        </w:tc>
      </w:tr>
      <w:tr>
        <w:trPr>
          <w:trHeight w:val="216"/>
        </w:trPr>
        <w:tc>
          <w:tcPr>
            <w:tcW w:w="3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1"/>
              </w:rPr>
              <w:t>Chief Executive Officer</w:t>
            </w:r>
          </w:p>
        </w:tc>
      </w:tr>
      <w:tr>
        <w:trPr>
          <w:trHeight w:val="222"/>
        </w:trPr>
        <w:tc>
          <w:tcPr>
            <w:tcW w:w="33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1"/>
              </w:rPr>
              <w:t>(Principal Executive Officer)</w:t>
            </w:r>
          </w:p>
        </w:tc>
      </w:tr>
      <w:tr>
        <w:trPr>
          <w:trHeight w:val="446"/>
        </w:trPr>
        <w:tc>
          <w:tcPr>
            <w:tcW w:w="3300" w:type="dxa"/>
            <w:vAlign w:val="bottom"/>
          </w:tcPr>
          <w:p>
            <w:pPr>
              <w:spacing w:after="0"/>
              <w:rPr>
                <w:sz w:val="20"/>
                <w:szCs w:val="20"/>
                <w:color w:val="auto"/>
              </w:rPr>
            </w:pPr>
            <w:r>
              <w:rPr>
                <w:rFonts w:ascii="Arial" w:cs="Arial" w:eastAsia="Arial" w:hAnsi="Arial"/>
                <w:sz w:val="18"/>
                <w:szCs w:val="18"/>
                <w:color w:val="auto"/>
              </w:rPr>
              <w:t>July 28, 2004</w:t>
            </w:r>
          </w:p>
        </w:tc>
        <w:tc>
          <w:tcPr>
            <w:tcW w:w="336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0"/>
              </w:rPr>
              <w:t>/s/ David S. Gino</w:t>
            </w:r>
          </w:p>
        </w:tc>
      </w:tr>
      <w:tr>
        <w:trPr>
          <w:trHeight w:val="110"/>
        </w:trPr>
        <w:tc>
          <w:tcPr>
            <w:tcW w:w="3300" w:type="dxa"/>
            <w:vAlign w:val="bottom"/>
          </w:tcPr>
          <w:p>
            <w:pPr>
              <w:spacing w:after="0"/>
              <w:rPr>
                <w:sz w:val="9"/>
                <w:szCs w:val="9"/>
                <w:color w:val="auto"/>
              </w:rPr>
            </w:pPr>
          </w:p>
        </w:tc>
        <w:tc>
          <w:tcPr>
            <w:tcW w:w="3360" w:type="dxa"/>
            <w:vAlign w:val="bottom"/>
          </w:tcPr>
          <w:p>
            <w:pPr>
              <w:spacing w:after="0"/>
              <w:rPr>
                <w:sz w:val="9"/>
                <w:szCs w:val="9"/>
                <w:color w:val="auto"/>
              </w:rPr>
            </w:pPr>
          </w:p>
        </w:tc>
        <w:tc>
          <w:tcPr>
            <w:tcW w:w="4500" w:type="dxa"/>
            <w:vAlign w:val="bottom"/>
            <w:tcBorders>
              <w:bottom w:val="single" w:sz="8" w:color="auto"/>
            </w:tcBorders>
          </w:tcPr>
          <w:p>
            <w:pPr>
              <w:spacing w:after="0"/>
              <w:rPr>
                <w:sz w:val="9"/>
                <w:szCs w:val="9"/>
                <w:color w:val="auto"/>
              </w:rPr>
            </w:pPr>
          </w:p>
        </w:tc>
      </w:tr>
      <w:tr>
        <w:trPr>
          <w:trHeight w:val="309"/>
        </w:trPr>
        <w:tc>
          <w:tcPr>
            <w:tcW w:w="3300" w:type="dxa"/>
            <w:vAlign w:val="bottom"/>
          </w:tcPr>
          <w:p>
            <w:pPr>
              <w:spacing w:after="0"/>
              <w:rPr>
                <w:sz w:val="20"/>
                <w:szCs w:val="20"/>
                <w:color w:val="auto"/>
              </w:rPr>
            </w:pPr>
            <w:r>
              <w:rPr>
                <w:rFonts w:ascii="Arial" w:cs="Arial" w:eastAsia="Arial" w:hAnsi="Arial"/>
                <w:sz w:val="18"/>
                <w:szCs w:val="18"/>
                <w:color w:val="auto"/>
              </w:rPr>
              <w:t>(Date)</w:t>
            </w:r>
          </w:p>
        </w:tc>
        <w:tc>
          <w:tcPr>
            <w:tcW w:w="336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0"/>
              </w:rPr>
              <w:t>David S. Gino</w:t>
            </w:r>
          </w:p>
        </w:tc>
      </w:tr>
      <w:tr>
        <w:trPr>
          <w:trHeight w:val="216"/>
        </w:trPr>
        <w:tc>
          <w:tcPr>
            <w:tcW w:w="3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89"/>
              </w:rPr>
              <w:t>Chief Operating Officer, Vice President of Finance,</w:t>
            </w:r>
          </w:p>
        </w:tc>
      </w:tr>
      <w:tr>
        <w:trPr>
          <w:trHeight w:val="216"/>
        </w:trPr>
        <w:tc>
          <w:tcPr>
            <w:tcW w:w="3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89"/>
              </w:rPr>
              <w:t>Chief Financial Officer and Secretary</w:t>
            </w:r>
          </w:p>
        </w:tc>
      </w:tr>
      <w:tr>
        <w:trPr>
          <w:trHeight w:val="222"/>
        </w:trPr>
        <w:tc>
          <w:tcPr>
            <w:tcW w:w="33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2"/>
              </w:rPr>
              <w:t>(Principal Accounting Officer)</w:t>
            </w:r>
          </w:p>
        </w:tc>
      </w:tr>
      <w:tr>
        <w:trPr>
          <w:trHeight w:val="378"/>
        </w:trPr>
        <w:tc>
          <w:tcPr>
            <w:tcW w:w="3300" w:type="dxa"/>
            <w:vAlign w:val="bottom"/>
          </w:tcPr>
          <w:p>
            <w:pPr>
              <w:spacing w:after="0"/>
              <w:rPr>
                <w:sz w:val="24"/>
                <w:szCs w:val="24"/>
                <w:color w:val="auto"/>
              </w:rPr>
            </w:pPr>
          </w:p>
        </w:tc>
        <w:tc>
          <w:tcPr>
            <w:tcW w:w="3360" w:type="dxa"/>
            <w:vAlign w:val="bottom"/>
          </w:tcPr>
          <w:p>
            <w:pPr>
              <w:jc w:val="right"/>
              <w:ind w:right="772"/>
              <w:spacing w:after="0"/>
              <w:rPr>
                <w:sz w:val="20"/>
                <w:szCs w:val="20"/>
                <w:color w:val="auto"/>
              </w:rPr>
            </w:pPr>
            <w:r>
              <w:rPr>
                <w:rFonts w:ascii="Arial" w:cs="Arial" w:eastAsia="Arial" w:hAnsi="Arial"/>
                <w:sz w:val="18"/>
                <w:szCs w:val="18"/>
                <w:color w:val="auto"/>
              </w:rPr>
              <w:t>31</w:t>
            </w:r>
          </w:p>
        </w:tc>
        <w:tc>
          <w:tcPr>
            <w:tcW w:w="4500" w:type="dxa"/>
            <w:vAlign w:val="bottom"/>
          </w:tcPr>
          <w:p>
            <w:pPr>
              <w:spacing w:after="0"/>
              <w:rPr>
                <w:sz w:val="24"/>
                <w:szCs w:val="24"/>
                <w:color w:val="auto"/>
              </w:rPr>
            </w:pPr>
          </w:p>
        </w:tc>
      </w:tr>
    </w:tbl>
    <w:p>
      <w:pPr>
        <w:sectPr>
          <w:pgSz w:w="11900" w:h="16838" w:orient="portrait"/>
          <w:cols w:equalWidth="0" w:num="1">
            <w:col w:w="11160"/>
          </w:cols>
          <w:pgMar w:left="240" w:top="459" w:right="49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Joseph F. Pinkerton, III, Chairman of the Board, President and Chief Executive Officer of Active Power, Inc., certify that:</w:t>
      </w:r>
    </w:p>
    <w:p>
      <w:pPr>
        <w:spacing w:after="0" w:line="77" w:lineRule="exact"/>
        <w:rPr>
          <w:sz w:val="20"/>
          <w:szCs w:val="20"/>
          <w:color w:val="auto"/>
        </w:rPr>
      </w:pPr>
    </w:p>
    <w:p>
      <w:pPr>
        <w:ind w:left="440" w:hanging="216"/>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w:t>
      </w:r>
    </w:p>
    <w:p>
      <w:pPr>
        <w:spacing w:after="0" w:line="76" w:lineRule="exact"/>
        <w:rPr>
          <w:rFonts w:ascii="Arial" w:cs="Arial" w:eastAsia="Arial" w:hAnsi="Arial"/>
          <w:sz w:val="18"/>
          <w:szCs w:val="18"/>
          <w:color w:val="auto"/>
        </w:rPr>
      </w:pPr>
    </w:p>
    <w:p>
      <w:pPr>
        <w:ind w:left="440" w:right="280" w:hanging="216"/>
        <w:spacing w:after="0" w:line="347" w:lineRule="auto"/>
        <w:tabs>
          <w:tab w:leader="none" w:pos="4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40" w:right="80" w:hanging="216"/>
        <w:spacing w:after="0" w:line="268" w:lineRule="auto"/>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40" w:right="220" w:hanging="216"/>
        <w:spacing w:after="0" w:line="268" w:lineRule="auto"/>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37" w:lineRule="exact"/>
        <w:rPr>
          <w:rFonts w:ascii="Arial" w:cs="Arial" w:eastAsia="Arial" w:hAnsi="Arial"/>
          <w:sz w:val="18"/>
          <w:szCs w:val="18"/>
          <w:color w:val="auto"/>
        </w:rPr>
      </w:pPr>
    </w:p>
    <w:p>
      <w:pPr>
        <w:ind w:left="1480" w:right="340" w:hanging="567"/>
        <w:spacing w:after="0" w:line="347" w:lineRule="auto"/>
        <w:tabs>
          <w:tab w:leader="none" w:pos="1480" w:val="left"/>
        </w:tabs>
        <w:numPr>
          <w:ilvl w:val="1"/>
          <w:numId w:val="17"/>
        </w:numPr>
        <w:rPr>
          <w:rFonts w:ascii="Arial" w:cs="Arial" w:eastAsia="Arial" w:hAnsi="Arial"/>
          <w:sz w:val="15"/>
          <w:szCs w:val="15"/>
          <w:color w:val="auto"/>
        </w:rPr>
      </w:pPr>
      <w:r>
        <w:rPr>
          <w:rFonts w:ascii="Arial" w:cs="Arial" w:eastAsia="Arial" w:hAnsi="Arial"/>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report is being prepared;</w:t>
      </w:r>
    </w:p>
    <w:p>
      <w:pPr>
        <w:jc w:val="both"/>
        <w:ind w:left="1480" w:right="440" w:hanging="567"/>
        <w:spacing w:after="0" w:line="347" w:lineRule="auto"/>
        <w:tabs>
          <w:tab w:leader="none" w:pos="1480" w:val="left"/>
        </w:tabs>
        <w:numPr>
          <w:ilvl w:val="1"/>
          <w:numId w:val="1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40" w:right="660" w:hanging="216"/>
        <w:spacing w:after="0" w:line="325" w:lineRule="auto"/>
        <w:tabs>
          <w:tab w:leader="none" w:pos="4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 w:lineRule="exact"/>
        <w:rPr>
          <w:rFonts w:ascii="Arial" w:cs="Arial" w:eastAsia="Arial" w:hAnsi="Arial"/>
          <w:sz w:val="16"/>
          <w:szCs w:val="16"/>
          <w:color w:val="auto"/>
        </w:rPr>
      </w:pPr>
    </w:p>
    <w:p>
      <w:pPr>
        <w:ind w:left="1480" w:right="680" w:hanging="567"/>
        <w:spacing w:after="0" w:line="325" w:lineRule="auto"/>
        <w:tabs>
          <w:tab w:leader="none" w:pos="14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Dated: July 28,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42201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 David S. Gino, Vice President, Chief Operating Officer and Chief Financial Officer of Active Power, Inc., certify that:</w:t>
      </w:r>
    </w:p>
    <w:p>
      <w:pPr>
        <w:spacing w:after="0" w:line="77"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w:t>
      </w:r>
    </w:p>
    <w:p>
      <w:pPr>
        <w:spacing w:after="0" w:line="76" w:lineRule="exact"/>
        <w:rPr>
          <w:rFonts w:ascii="Arial" w:cs="Arial" w:eastAsia="Arial" w:hAnsi="Arial"/>
          <w:sz w:val="18"/>
          <w:szCs w:val="18"/>
          <w:color w:val="auto"/>
        </w:rPr>
      </w:pPr>
    </w:p>
    <w:p>
      <w:pPr>
        <w:ind w:left="220" w:right="200" w:hanging="212"/>
        <w:spacing w:after="0" w:line="325" w:lineRule="auto"/>
        <w:tabs>
          <w:tab w:leader="none" w:pos="2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220" w:right="280" w:hanging="212"/>
        <w:spacing w:after="0" w:line="268" w:lineRule="auto"/>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220" w:right="140" w:hanging="212"/>
        <w:spacing w:after="0" w:line="268" w:lineRule="auto"/>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37" w:lineRule="exact"/>
        <w:rPr>
          <w:rFonts w:ascii="Arial" w:cs="Arial" w:eastAsia="Arial" w:hAnsi="Arial"/>
          <w:sz w:val="18"/>
          <w:szCs w:val="18"/>
          <w:color w:val="auto"/>
        </w:rPr>
      </w:pPr>
    </w:p>
    <w:p>
      <w:pPr>
        <w:ind w:left="660" w:right="60" w:hanging="206"/>
        <w:spacing w:after="0" w:line="325" w:lineRule="auto"/>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660" w:right="140" w:hanging="206"/>
        <w:spacing w:after="0" w:line="325" w:lineRule="auto"/>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660" w:right="180" w:hanging="206"/>
        <w:spacing w:after="0" w:line="259"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220" w:right="40" w:hanging="212"/>
        <w:spacing w:after="0" w:line="268" w:lineRule="auto"/>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37" w:lineRule="exact"/>
        <w:rPr>
          <w:rFonts w:ascii="Arial" w:cs="Arial" w:eastAsia="Arial" w:hAnsi="Arial"/>
          <w:sz w:val="18"/>
          <w:szCs w:val="18"/>
          <w:color w:val="auto"/>
        </w:rPr>
      </w:pPr>
    </w:p>
    <w:p>
      <w:pPr>
        <w:ind w:left="660" w:right="60" w:hanging="206"/>
        <w:spacing w:after="0" w:line="268"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660" w:right="300" w:hanging="206"/>
        <w:spacing w:after="0" w:line="268"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Dated: July 28,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David S. Gino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4220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David S. Gino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Operating Officer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connection with the Quarterly Report on Form 10-Q of Active Power, Inc. (the “Company”) for the period ending June 30, 2004, as filed with the Securities and Exchange Commission on the date hereof (the “Report”), I, Joseph F. Pinkerton, III, Chairman of the Board, President and Chief Executive Officer of the Company, certify, pursuant to 18 U.S.C. Section 1350, as adopted pursuant to Section 906 of the Sarbanes-Oxley Act of 2002, that, to my knowledge:</w:t>
      </w:r>
    </w:p>
    <w:p>
      <w:pPr>
        <w:spacing w:after="0" w:line="12"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 (Principal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July 28, 2004</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connection with the Quarterly Report on Form 10-Q of Active Power, Inc. (the “Company”) for the period ending June 30, 2004 as filed with the Securities and Exchange Commission on the date hereof (the “Report”), I, David S. Gino, Vice President, Chief Operating Officer and Chief Financial Officer of the Company, certify, pursuant to 18 U.S.C.ss. 1350, as adopted pursuant to ss. 906 of the Sarbanes-Oxley Act of 2002, that, to my knowledge:</w:t>
      </w:r>
    </w:p>
    <w:p>
      <w:pPr>
        <w:spacing w:after="0" w:line="12"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S. Gino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S. Gino</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Chief Operating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 (Principal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July 28, 2004</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
      <w:numFmt w:val="bullet"/>
      <w:start w:val="1"/>
    </w:lvl>
    <w:lvl w:ilvl="1">
      <w:lvlJc w:val="left"/>
      <w:lvlText w:val="(%2)"/>
      <w:numFmt w:val="decimal"/>
      <w:start w:val="2"/>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2019-12-14T18:14:40Z</dcterms:created>
  <dcterms:modified xsi:type="dcterms:W3CDTF">2019-12-14T18:14:40Z</dcterms:modified>
</cp:coreProperties>
</file>