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Coussens Amanda 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60" w:type="dxa"/>
            <w:vAlign w:val="bottom"/>
            <w:tcBorders>
              <w:top w:val="single" w:sz="8" w:color="0000EE"/>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10/20/2021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P10,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PX</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1760" w:type="dxa"/>
            <w:vAlign w:val="bottom"/>
            <w:gridSpan w:val="2"/>
          </w:tcPr>
          <w:p>
            <w:pPr>
              <w:ind w:left="40"/>
              <w:spacing w:after="0"/>
              <w:rPr>
                <w:sz w:val="20"/>
                <w:szCs w:val="20"/>
                <w:color w:val="auto"/>
              </w:rPr>
            </w:pPr>
            <w:r>
              <w:rPr>
                <w:rFonts w:ascii="Arial" w:cs="Arial" w:eastAsia="Arial" w:hAnsi="Arial"/>
                <w:sz w:val="20"/>
                <w:szCs w:val="20"/>
                <w:color w:val="0000FF"/>
              </w:rPr>
              <w:t>C/O P10, INC.</w:t>
            </w:r>
          </w:p>
        </w:tc>
        <w:tc>
          <w:tcPr>
            <w:tcW w:w="134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7"/>
              </w:rPr>
              <w:t>4514 COLE AVENUE, SUITE 1600</w:t>
            </w: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940" w:type="dxa"/>
            <w:vAlign w:val="bottom"/>
          </w:tcPr>
          <w:p>
            <w:pPr>
              <w:ind w:left="40"/>
              <w:spacing w:after="0"/>
              <w:rPr>
                <w:sz w:val="20"/>
                <w:szCs w:val="20"/>
                <w:color w:val="auto"/>
              </w:rPr>
            </w:pPr>
            <w:r>
              <w:rPr>
                <w:rFonts w:ascii="Arial" w:cs="Arial" w:eastAsia="Arial" w:hAnsi="Arial"/>
                <w:sz w:val="20"/>
                <w:szCs w:val="20"/>
                <w:color w:val="0000FF"/>
              </w:rPr>
              <w:t>DALLAS</w:t>
            </w:r>
          </w:p>
        </w:tc>
        <w:tc>
          <w:tcPr>
            <w:tcW w:w="820" w:type="dxa"/>
            <w:vAlign w:val="bottom"/>
          </w:tcPr>
          <w:p>
            <w:pPr>
              <w:ind w:left="120"/>
              <w:spacing w:after="0"/>
              <w:rPr>
                <w:sz w:val="20"/>
                <w:szCs w:val="20"/>
                <w:color w:val="auto"/>
              </w:rPr>
            </w:pPr>
            <w:r>
              <w:rPr>
                <w:rFonts w:ascii="Arial" w:cs="Arial" w:eastAsia="Arial" w:hAnsi="Arial"/>
                <w:sz w:val="20"/>
                <w:szCs w:val="20"/>
                <w:color w:val="0000FF"/>
              </w:rPr>
              <w:t>TX</w:t>
            </w:r>
          </w:p>
        </w:tc>
        <w:tc>
          <w:tcPr>
            <w:tcW w:w="1340" w:type="dxa"/>
            <w:vAlign w:val="bottom"/>
          </w:tcPr>
          <w:p>
            <w:pPr>
              <w:ind w:left="340"/>
              <w:spacing w:after="0"/>
              <w:rPr>
                <w:sz w:val="20"/>
                <w:szCs w:val="20"/>
                <w:color w:val="auto"/>
              </w:rPr>
            </w:pPr>
            <w:r>
              <w:rPr>
                <w:rFonts w:ascii="Arial" w:cs="Arial" w:eastAsia="Arial" w:hAnsi="Arial"/>
                <w:sz w:val="20"/>
                <w:szCs w:val="20"/>
                <w:color w:val="0000FF"/>
              </w:rPr>
              <w:t>75205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8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ind w:left="14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60" w:type="dxa"/>
            <w:vAlign w:val="bottom"/>
            <w:vMerge w:val="restart"/>
          </w:tcPr>
          <w:p>
            <w:pPr>
              <w:ind w:left="80"/>
              <w:spacing w:after="0"/>
              <w:rPr>
                <w:sz w:val="20"/>
                <w:szCs w:val="20"/>
                <w:color w:val="auto"/>
              </w:rPr>
            </w:pPr>
            <w:r>
              <w:rPr>
                <w:rFonts w:ascii="Arial" w:cs="Arial" w:eastAsia="Arial" w:hAnsi="Arial"/>
                <w:sz w:val="20"/>
                <w:szCs w:val="20"/>
                <w:color w:val="0000FF"/>
              </w:rPr>
              <w:t>Stock Option (right to buy)</w:t>
            </w:r>
            <w:r>
              <w:rPr>
                <w:rFonts w:ascii="Arial" w:cs="Arial" w:eastAsia="Arial" w:hAnsi="Arial"/>
                <w:sz w:val="25"/>
                <w:szCs w:val="25"/>
                <w:color w:val="008000"/>
                <w:vertAlign w:val="superscript"/>
              </w:rPr>
              <w:t>(1)</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(2)</w:t>
            </w:r>
          </w:p>
        </w:tc>
        <w:tc>
          <w:tcPr>
            <w:tcW w:w="900" w:type="dxa"/>
            <w:vAlign w:val="bottom"/>
            <w:vMerge w:val="restart"/>
          </w:tcPr>
          <w:p>
            <w:pPr>
              <w:jc w:val="right"/>
              <w:ind w:right="25"/>
              <w:spacing w:after="0"/>
              <w:rPr>
                <w:sz w:val="20"/>
                <w:szCs w:val="20"/>
                <w:color w:val="auto"/>
              </w:rPr>
            </w:pPr>
            <w:r>
              <w:rPr>
                <w:rFonts w:ascii="Arial" w:cs="Arial" w:eastAsia="Arial" w:hAnsi="Arial"/>
                <w:sz w:val="15"/>
                <w:szCs w:val="15"/>
                <w:color w:val="0000FF"/>
              </w:rPr>
              <w:t>02/02/2031</w:t>
            </w:r>
          </w:p>
        </w:tc>
        <w:tc>
          <w:tcPr>
            <w:tcW w:w="1780" w:type="dxa"/>
            <w:vAlign w:val="bottom"/>
          </w:tcPr>
          <w:p>
            <w:pPr>
              <w:ind w:left="220"/>
              <w:spacing w:after="0"/>
              <w:rPr>
                <w:sz w:val="20"/>
                <w:szCs w:val="20"/>
                <w:color w:val="auto"/>
              </w:rPr>
            </w:pPr>
            <w:r>
              <w:rPr>
                <w:rFonts w:ascii="Arial" w:cs="Arial" w:eastAsia="Arial" w:hAnsi="Arial"/>
                <w:sz w:val="20"/>
                <w:szCs w:val="20"/>
                <w:color w:val="0000FF"/>
                <w:w w:val="98"/>
              </w:rPr>
              <w:t>Class A Common</w:t>
            </w:r>
          </w:p>
        </w:tc>
        <w:tc>
          <w:tcPr>
            <w:tcW w:w="800" w:type="dxa"/>
            <w:vAlign w:val="bottom"/>
            <w:vMerge w:val="restart"/>
          </w:tcPr>
          <w:p>
            <w:pPr>
              <w:ind w:left="160"/>
              <w:spacing w:after="0"/>
              <w:rPr>
                <w:sz w:val="20"/>
                <w:szCs w:val="20"/>
                <w:color w:val="auto"/>
              </w:rPr>
            </w:pPr>
            <w:r>
              <w:rPr>
                <w:rFonts w:ascii="Arial" w:cs="Arial" w:eastAsia="Arial" w:hAnsi="Arial"/>
                <w:sz w:val="20"/>
                <w:szCs w:val="20"/>
                <w:color w:val="0000FF"/>
              </w:rPr>
              <w:t>70,000</w:t>
            </w:r>
          </w:p>
        </w:tc>
        <w:tc>
          <w:tcPr>
            <w:tcW w:w="980" w:type="dxa"/>
            <w:vAlign w:val="bottom"/>
            <w:vMerge w:val="restart"/>
          </w:tcPr>
          <w:p>
            <w:pPr>
              <w:ind w:left="320"/>
              <w:spacing w:after="0"/>
              <w:rPr>
                <w:sz w:val="20"/>
                <w:szCs w:val="20"/>
                <w:color w:val="auto"/>
              </w:rPr>
            </w:pPr>
            <w:r>
              <w:rPr>
                <w:rFonts w:ascii="Arial" w:cs="Arial" w:eastAsia="Arial" w:hAnsi="Arial"/>
                <w:sz w:val="20"/>
                <w:szCs w:val="20"/>
                <w:color w:val="0000FF"/>
              </w:rPr>
              <w:t>8.07</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0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80" w:type="dxa"/>
            <w:vAlign w:val="bottom"/>
            <w:vMerge w:val="restart"/>
          </w:tcPr>
          <w:p>
            <w:pPr>
              <w:ind w:left="700"/>
              <w:spacing w:after="0"/>
              <w:rPr>
                <w:sz w:val="20"/>
                <w:szCs w:val="20"/>
                <w:color w:val="auto"/>
              </w:rPr>
            </w:pPr>
            <w:r>
              <w:rPr>
                <w:rFonts w:ascii="Arial" w:cs="Arial" w:eastAsia="Arial" w:hAnsi="Arial"/>
                <w:sz w:val="20"/>
                <w:szCs w:val="20"/>
                <w:color w:val="0000FF"/>
              </w:rPr>
              <w:t>Stock</w:t>
            </w:r>
          </w:p>
        </w:tc>
        <w:tc>
          <w:tcPr>
            <w:tcW w:w="8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3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32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Reporting Person disclaims beneficial ownership of the securities of the Issuer reported herein, except to the extent of her pecuniary interest therein, and the filing of this Form 3 shall not be construed as an admission that the Reporting Person is the beneficial owner of the securities of the Issuer reported herein.</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stock option is currently exercisable as to 6,650 shares and becomes exercisable as to the remaining 63,350 shares on February 2, 2026.</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20"/>
                <w:szCs w:val="20"/>
                <w:color w:val="0000FF"/>
                <w:w w:val="84"/>
              </w:rPr>
              <w:t>/s/ Amanda Coussens</w:t>
            </w:r>
          </w:p>
        </w:tc>
        <w:tc>
          <w:tcPr>
            <w:tcW w:w="1400" w:type="dxa"/>
            <w:vAlign w:val="bottom"/>
            <w:gridSpan w:val="2"/>
          </w:tcPr>
          <w:p>
            <w:pPr>
              <w:ind w:left="500"/>
              <w:spacing w:after="0"/>
              <w:rPr>
                <w:sz w:val="20"/>
                <w:szCs w:val="20"/>
                <w:color w:val="auto"/>
              </w:rPr>
            </w:pPr>
            <w:r>
              <w:rPr>
                <w:rFonts w:ascii="Arial" w:cs="Arial" w:eastAsia="Arial" w:hAnsi="Arial"/>
                <w:sz w:val="20"/>
                <w:szCs w:val="20"/>
                <w:color w:val="0000FF"/>
                <w:w w:val="87"/>
              </w:rPr>
              <w:t>10/20/2021</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500" w:type="dxa"/>
            <w:vAlign w:val="bottom"/>
          </w:tcPr>
          <w:p>
            <w:pPr>
              <w:spacing w:after="0"/>
              <w:rPr>
                <w:sz w:val="21"/>
                <w:szCs w:val="21"/>
                <w:color w:val="auto"/>
              </w:rPr>
            </w:pPr>
          </w:p>
        </w:tc>
        <w:tc>
          <w:tcPr>
            <w:tcW w:w="90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680" w:type="dxa"/>
            <w:vAlign w:val="bottom"/>
            <w:vMerge w:val="restart"/>
          </w:tcPr>
          <w:p>
            <w:pPr>
              <w:spacing w:after="0"/>
              <w:rPr>
                <w:sz w:val="20"/>
                <w:szCs w:val="20"/>
                <w:color w:val="auto"/>
              </w:rPr>
            </w:pPr>
            <w:r>
              <w:rPr>
                <w:rFonts w:ascii="Arial" w:cs="Arial" w:eastAsia="Arial" w:hAnsi="Arial"/>
                <w:sz w:val="15"/>
                <w:szCs w:val="15"/>
                <w:color w:val="auto"/>
              </w:rPr>
              <w:t>Person</w:t>
            </w:r>
          </w:p>
        </w:tc>
        <w:tc>
          <w:tcPr>
            <w:tcW w:w="5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220" w:type="dxa"/>
            <w:vAlign w:val="bottom"/>
            <w:gridSpan w:val="2"/>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20" w:type="dxa"/>
            <w:vAlign w:val="bottom"/>
            <w:gridSpan w:val="2"/>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color w:val="auto"/>
        </w:rPr>
        <w:t>Exhibit 24</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180" w:firstLine="720"/>
        <w:spacing w:after="0" w:line="264" w:lineRule="auto"/>
        <w:rPr>
          <w:sz w:val="20"/>
          <w:szCs w:val="20"/>
          <w:color w:val="auto"/>
        </w:rPr>
      </w:pPr>
      <w:r>
        <w:rPr>
          <w:rFonts w:ascii="Arial" w:cs="Arial" w:eastAsia="Arial" w:hAnsi="Arial"/>
          <w:sz w:val="20"/>
          <w:szCs w:val="20"/>
          <w:color w:val="auto"/>
        </w:rPr>
        <w:t>Know all by these presents, that, for good and valuable consideration, the sufficiency and receipt of which are hereby acknowledged, the undersigned hereby constitutes and appoints each of Robert Alpert and C. Clark Webb, and any of their substitutes, signing singly, the undersigned’s true and lawful attorney-in-fact to:</w:t>
      </w:r>
    </w:p>
    <w:p>
      <w:pPr>
        <w:spacing w:after="0" w:line="202" w:lineRule="exact"/>
        <w:rPr>
          <w:sz w:val="20"/>
          <w:szCs w:val="20"/>
          <w:color w:val="auto"/>
        </w:rPr>
      </w:pPr>
    </w:p>
    <w:p>
      <w:pPr>
        <w:ind w:left="720" w:right="60" w:firstLine="721"/>
        <w:spacing w:after="0" w:line="297" w:lineRule="auto"/>
        <w:tabs>
          <w:tab w:leader="none" w:pos="2024"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(in accordance with Section 16(a) of the Securities Exchange Act of 1934, as amended, and the rules thereunder (the “Exchange Act”)), in the undersigned’s capacity as an officer and/or director of P10, Inc., a Delaware corporation (the “Company”), any and all Forms 3, 4 and/or 5, and any amendments thereto, that are necessary or advisable for the undersigned to file under Section 16(a) (collectively, “Documents”);</w:t>
      </w:r>
    </w:p>
    <w:p>
      <w:pPr>
        <w:spacing w:after="0" w:line="175" w:lineRule="exact"/>
        <w:rPr>
          <w:rFonts w:ascii="Arial" w:cs="Arial" w:eastAsia="Arial" w:hAnsi="Arial"/>
          <w:sz w:val="18"/>
          <w:szCs w:val="18"/>
          <w:color w:val="auto"/>
        </w:rPr>
      </w:pPr>
    </w:p>
    <w:p>
      <w:pPr>
        <w:ind w:left="720" w:right="340" w:firstLine="721"/>
        <w:spacing w:after="0" w:line="264" w:lineRule="auto"/>
        <w:tabs>
          <w:tab w:leader="none" w:pos="2024" w:val="left"/>
        </w:tabs>
        <w:numPr>
          <w:ilvl w:val="0"/>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that may be necessary or desirable to complete and execute any such Documents and timely file such Documents with the United States Securities and Exchange Commission and any stock exchange or similar authority; and</w:t>
      </w:r>
    </w:p>
    <w:p>
      <w:pPr>
        <w:spacing w:after="0" w:line="201" w:lineRule="exact"/>
        <w:rPr>
          <w:rFonts w:ascii="Arial" w:cs="Arial" w:eastAsia="Arial" w:hAnsi="Arial"/>
          <w:sz w:val="20"/>
          <w:szCs w:val="20"/>
          <w:color w:val="auto"/>
        </w:rPr>
      </w:pPr>
    </w:p>
    <w:p>
      <w:pPr>
        <w:ind w:left="720" w:right="20" w:firstLine="721"/>
        <w:spacing w:after="0" w:line="297" w:lineRule="auto"/>
        <w:tabs>
          <w:tab w:leader="none" w:pos="20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6" w:lineRule="exact"/>
        <w:rPr>
          <w:sz w:val="20"/>
          <w:szCs w:val="20"/>
          <w:color w:val="auto"/>
        </w:rPr>
      </w:pPr>
    </w:p>
    <w:p>
      <w:pPr>
        <w:ind w:right="20" w:firstLine="720"/>
        <w:spacing w:after="0" w:line="285"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acknowledges that each attorney-in-fact, in serving in such capacity at the request of the undersigned, is not assuming, nor is such attorney-in-fact’s substitute or substitutes or the Company assuming, any of the undersigned’s responsibilities to comply with the Exchange Act. The undersigned agrees to defend and hold harmless each attorney-in-fact (and such attorney-in-fact’s substitute or substitutes) from and against any and all loss, damage or liability that such attorney-in-fact may sustain as a result of any action taken in good faith hereunder.</w:t>
      </w:r>
    </w:p>
    <w:p>
      <w:pPr>
        <w:spacing w:after="0" w:line="189" w:lineRule="exact"/>
        <w:rPr>
          <w:sz w:val="20"/>
          <w:szCs w:val="20"/>
          <w:color w:val="auto"/>
        </w:rPr>
      </w:pPr>
    </w:p>
    <w:p>
      <w:pPr>
        <w:jc w:val="both"/>
        <w:ind w:right="6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each of the foregoing attorneys-in-fact.</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has caused this Power of Attorney to be executed as of this 20th day of October,</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2021.</w:t>
      </w:r>
    </w:p>
    <w:p>
      <w:pPr>
        <w:spacing w:after="0" w:line="234"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/s/ Amanda Coussens</w:t>
      </w:r>
    </w:p>
    <w:p>
      <w:pPr>
        <w:spacing w:after="0" w:line="26"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-145415</wp:posOffset>
            </wp:positionV>
            <wp:extent cx="333502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335020" cy="9525"/>
                    </a:xfrm>
                    <a:prstGeom prst="rect">
                      <a:avLst/>
                    </a:prstGeom>
                    <a:noFill/>
                  </pic:spPr>
                </pic:pic>
              </a:graphicData>
            </a:graphic>
          </wp:anchor>
        </w:drawing>
      </w:r>
    </w:p>
    <w:sectPr>
      <w:pgSz w:w="11900" w:h="16838" w:orient="portrait"/>
      <w:cols w:equalWidth="0" w:num="1">
        <w:col w:w="10940"/>
      </w:cols>
      <w:pgMar w:left="480" w:top="12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88563" TargetMode="External"/><Relationship Id="rId11"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2021-10-20T20:13:50Z</dcterms:created>
  <dcterms:modified xsi:type="dcterms:W3CDTF">2021-10-20T20:13:50Z</dcterms:modified>
</cp:coreProperties>
</file>