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Under the Securities Exchange Act of 1934</w:t>
      </w:r>
    </w:p>
    <w:p>
      <w:pPr>
        <w:ind w:left="244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Active Power, Inc.</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$0.001 par value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00504W100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December 31, 2011</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779"/>
        <w:spacing w:after="0" w:line="536" w:lineRule="auto"/>
        <w:tabs>
          <w:tab w:leader="none" w:pos="85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860" w:hanging="220"/>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CUSIP No. 00504W100</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Rho Management Partners L.P.</w:t>
      </w:r>
    </w:p>
    <w:p>
      <w:pPr>
        <w:spacing w:after="0" w:line="20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540" w:right="5899" w:hanging="532"/>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1257" w:right="1440" w:bottom="0" w:gutter="0" w:footer="0" w:header="0"/>
        </w:sectPr>
      </w:pPr>
    </w:p>
    <w:bookmarkStart w:id="1" w:name="page2"/>
    <w:bookmarkEnd w:id="1"/>
    <w:p>
      <w:pPr>
        <w:ind w:left="532"/>
        <w:spacing w:after="0"/>
        <w:rPr>
          <w:sz w:val="20"/>
          <w:szCs w:val="20"/>
          <w:color w:val="auto"/>
        </w:rPr>
      </w:pPr>
      <w:r>
        <w:rPr>
          <w:rFonts w:ascii="Courier New" w:cs="Courier New" w:eastAsia="Courier New" w:hAnsi="Courier New"/>
          <w:sz w:val="18"/>
          <w:szCs w:val="18"/>
          <w:color w:val="auto"/>
        </w:rPr>
        <w:t>NUMBER OF SHARES BENEFICIALLY OWNED BY</w:t>
      </w:r>
    </w:p>
    <w:p>
      <w:pPr>
        <w:ind w:left="532"/>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7" w:lineRule="exact"/>
        <w:rPr>
          <w:sz w:val="20"/>
          <w:szCs w:val="20"/>
          <w:color w:val="auto"/>
        </w:rPr>
      </w:pPr>
    </w:p>
    <w:p>
      <w:pPr>
        <w:ind w:left="1272" w:right="7159" w:hanging="640"/>
        <w:spacing w:after="0" w:line="536" w:lineRule="auto"/>
        <w:tabs>
          <w:tab w:leader="none" w:pos="127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4,545,828 Shares</w:t>
      </w:r>
    </w:p>
    <w:p>
      <w:pPr>
        <w:spacing w:after="0" w:line="1" w:lineRule="exact"/>
        <w:rPr>
          <w:sz w:val="20"/>
          <w:szCs w:val="20"/>
          <w:color w:val="auto"/>
        </w:rPr>
      </w:pPr>
    </w:p>
    <w:p>
      <w:pPr>
        <w:ind w:left="1272" w:right="6939" w:hanging="640"/>
        <w:spacing w:after="0" w:line="470" w:lineRule="auto"/>
        <w:tabs>
          <w:tab w:leader="none" w:pos="127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272" w:right="6639" w:hanging="640"/>
        <w:spacing w:after="0" w:line="558" w:lineRule="auto"/>
        <w:tabs>
          <w:tab w:leader="none" w:pos="127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4,545,828 Shares</w:t>
      </w:r>
    </w:p>
    <w:p>
      <w:pPr>
        <w:spacing w:after="0" w:line="170" w:lineRule="exact"/>
        <w:rPr>
          <w:sz w:val="20"/>
          <w:szCs w:val="20"/>
          <w:color w:val="auto"/>
        </w:rPr>
      </w:pPr>
    </w:p>
    <w:p>
      <w:pPr>
        <w:ind w:left="1272" w:right="6419" w:hanging="640"/>
        <w:spacing w:after="0" w:line="470" w:lineRule="auto"/>
        <w:tabs>
          <w:tab w:leader="none" w:pos="127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532" w:right="335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4,545,828 Shares</w:t>
      </w:r>
    </w:p>
    <w:p>
      <w:pPr>
        <w:spacing w:after="0" w:line="214" w:lineRule="exact"/>
        <w:rPr>
          <w:sz w:val="20"/>
          <w:szCs w:val="20"/>
          <w:color w:val="auto"/>
        </w:rPr>
      </w:pPr>
    </w:p>
    <w:p>
      <w:pPr>
        <w:ind w:left="632" w:right="2419" w:hanging="632"/>
        <w:spacing w:after="0" w:line="235"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32" w:right="4739" w:hanging="532"/>
        <w:spacing w:after="0" w:line="470"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w:t>
      </w:r>
    </w:p>
    <w:p>
      <w:pPr>
        <w:spacing w:after="0" w:line="214" w:lineRule="exact"/>
        <w:rPr>
          <w:rFonts w:ascii="Courier New" w:cs="Courier New" w:eastAsia="Courier New" w:hAnsi="Courier New"/>
          <w:sz w:val="18"/>
          <w:szCs w:val="18"/>
          <w:color w:val="auto"/>
        </w:rPr>
      </w:pPr>
    </w:p>
    <w:p>
      <w:pPr>
        <w:ind w:left="532" w:right="5159" w:hanging="532"/>
        <w:spacing w:after="0" w:line="470"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PN/IA</w:t>
      </w:r>
    </w:p>
    <w:p>
      <w:pPr>
        <w:sectPr>
          <w:pgSz w:w="11900" w:h="16838" w:orient="portrait"/>
          <w:cols w:equalWidth="0" w:num="1">
            <w:col w:w="10211"/>
          </w:cols>
          <w:pgMar w:left="248"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Atlas Capital Corp.</w:t>
      </w: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540" w:right="5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w:t>
      </w:r>
    </w:p>
    <w:p>
      <w:pPr>
        <w:ind w:left="54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4,545,828 Shares</w:t>
      </w:r>
    </w:p>
    <w:p>
      <w:pPr>
        <w:spacing w:after="0" w:line="207" w:lineRule="exact"/>
        <w:rPr>
          <w:sz w:val="20"/>
          <w:szCs w:val="20"/>
          <w:color w:val="auto"/>
        </w:rPr>
      </w:pPr>
    </w:p>
    <w:p>
      <w:pPr>
        <w:ind w:left="1280" w:right="6939" w:hanging="640"/>
        <w:spacing w:after="0" w:line="470"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280" w:right="6639" w:hanging="640"/>
        <w:spacing w:after="0" w:line="55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4,545,828 Shares</w:t>
      </w:r>
    </w:p>
    <w:p>
      <w:pPr>
        <w:spacing w:after="0" w:line="170" w:lineRule="exact"/>
        <w:rPr>
          <w:sz w:val="20"/>
          <w:szCs w:val="20"/>
          <w:color w:val="auto"/>
        </w:rPr>
      </w:pPr>
    </w:p>
    <w:p>
      <w:pPr>
        <w:ind w:left="1280" w:right="6419" w:hanging="640"/>
        <w:spacing w:after="0" w:line="470" w:lineRule="auto"/>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640" w:right="3359" w:hanging="632"/>
        <w:spacing w:after="0" w:line="470" w:lineRule="auto"/>
        <w:tabs>
          <w:tab w:leader="none" w:pos="53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4,545,828 Shares</w:t>
      </w:r>
    </w:p>
    <w:p>
      <w:pPr>
        <w:spacing w:after="0" w:line="214" w:lineRule="exact"/>
        <w:rPr>
          <w:sz w:val="20"/>
          <w:szCs w:val="20"/>
          <w:color w:val="auto"/>
        </w:rPr>
      </w:pPr>
    </w:p>
    <w:p>
      <w:pPr>
        <w:ind w:left="640" w:right="2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w:t>
      </w:r>
    </w:p>
    <w:p>
      <w:pPr>
        <w:spacing w:after="0" w:line="214" w:lineRule="exact"/>
        <w:rPr>
          <w:rFonts w:ascii="Courier New" w:cs="Courier New" w:eastAsia="Courier New" w:hAnsi="Courier New"/>
          <w:sz w:val="18"/>
          <w:szCs w:val="18"/>
          <w:color w:val="auto"/>
        </w:rPr>
      </w:pPr>
    </w:p>
    <w:p>
      <w:pPr>
        <w:ind w:left="540" w:right="51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CO/IA</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Joshua Ruch</w:t>
      </w: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of America and Republic of South Africa</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w:t>
      </w:r>
    </w:p>
    <w:p>
      <w:pPr>
        <w:ind w:left="54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280" w:hanging="640"/>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right="6939" w:hanging="640"/>
        <w:spacing w:after="0" w:line="470"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280" w:right="6639" w:hanging="640"/>
        <w:spacing w:after="0" w:line="558" w:lineRule="auto"/>
        <w:tabs>
          <w:tab w:leader="none" w:pos="12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6,432,176 Shares</w:t>
      </w:r>
    </w:p>
    <w:p>
      <w:pPr>
        <w:spacing w:after="0" w:line="170" w:lineRule="exact"/>
        <w:rPr>
          <w:sz w:val="20"/>
          <w:szCs w:val="20"/>
          <w:color w:val="auto"/>
        </w:rPr>
      </w:pPr>
    </w:p>
    <w:p>
      <w:pPr>
        <w:ind w:left="1280" w:right="6419" w:hanging="640"/>
        <w:spacing w:after="0" w:line="470"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540" w:right="335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6,432,176 Shares</w:t>
      </w:r>
    </w:p>
    <w:p>
      <w:pPr>
        <w:spacing w:after="0" w:line="200" w:lineRule="exact"/>
        <w:rPr>
          <w:sz w:val="20"/>
          <w:szCs w:val="20"/>
          <w:color w:val="auto"/>
        </w:rPr>
      </w:pPr>
    </w:p>
    <w:p>
      <w:pPr>
        <w:spacing w:after="0" w:line="217" w:lineRule="exact"/>
        <w:rPr>
          <w:sz w:val="20"/>
          <w:szCs w:val="20"/>
          <w:color w:val="auto"/>
        </w:rPr>
      </w:pPr>
    </w:p>
    <w:p>
      <w:pPr>
        <w:ind w:left="640" w:right="2419" w:hanging="632"/>
        <w:spacing w:after="0" w:line="235"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514" w:right="1440" w:bottom="1440" w:gutter="0" w:footer="0" w:header="0"/>
        </w:sectPr>
      </w:pPr>
    </w:p>
    <w:bookmarkStart w:id="4" w:name="page5"/>
    <w:bookmarkEnd w:id="4"/>
    <w:p>
      <w:pPr>
        <w:ind w:right="2419" w:firstLine="527"/>
        <w:spacing w:after="0" w:line="237" w:lineRule="auto"/>
        <w:rPr>
          <w:sz w:val="20"/>
          <w:szCs w:val="20"/>
          <w:color w:val="auto"/>
        </w:rPr>
      </w:pPr>
      <w:r>
        <w:rPr>
          <w:rFonts w:ascii="Courier New" w:cs="Courier New" w:eastAsia="Courier New" w:hAnsi="Courier New"/>
          <w:sz w:val="18"/>
          <w:szCs w:val="18"/>
          <w:color w:val="auto"/>
        </w:rPr>
        <w:t>This Amendment No. 3 to Schedule 13G for Active Power, Inc., a Delaware corporation (the "Company"), amends a Schedule 13G, originally dated as of June 20, 2008, as amended as of December 31, 2008 and December 31, 2010, relating to the Company's shares of Common Stock (the "Shares"), $0.001 par value per share, beneficially owned by Rho Management Partners L.P., Atlas Capital Corp., and Joshua Ruch as of December 31, 2011 (the "Event Date").</w:t>
      </w:r>
    </w:p>
    <w:p>
      <w:pPr>
        <w:spacing w:after="0" w:line="211"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Immediately following the Event Date, as of January 1, 2012 Rho Management Partners L.P. changed its name to Pinnacle Management Partners L.P., and the general partner of Pinnacle Management Partners L.P. was changed from Atlas Capital Corp. to Atlas Capital Holding L.L.C. Such changes do not affect the beneficial ownership of the Shares reported hereby. This Amendment No. 3 is filed using the names in effect on the Event Date.</w:t>
      </w:r>
    </w:p>
    <w:p>
      <w:pPr>
        <w:spacing w:after="0" w:line="205"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This Amendment No. 3 to the statement on Schedule 13G amends and</w:t>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restates the previously filed statement in its entirety, as follows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Item 1(a) Name of issuer: Active Power, Inc., a Delaware corporation.</w:t>
      </w:r>
    </w:p>
    <w:p>
      <w:pPr>
        <w:spacing w:after="0" w:line="203"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 2128 W.</w:t>
      </w:r>
    </w:p>
    <w:p>
      <w:pPr>
        <w:spacing w:after="0" w:line="238" w:lineRule="auto"/>
        <w:rPr>
          <w:sz w:val="20"/>
          <w:szCs w:val="20"/>
          <w:color w:val="auto"/>
        </w:rPr>
      </w:pPr>
      <w:r>
        <w:rPr>
          <w:rFonts w:ascii="Courier New" w:cs="Courier New" w:eastAsia="Courier New" w:hAnsi="Courier New"/>
          <w:sz w:val="18"/>
          <w:szCs w:val="18"/>
          <w:color w:val="auto"/>
        </w:rPr>
        <w:t>Braker Lane, BK 12, Austin, Texas 78578.</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of Persons Filing.</w:t>
      </w:r>
    </w:p>
    <w:p>
      <w:pPr>
        <w:spacing w:after="0" w:line="207" w:lineRule="exact"/>
        <w:rPr>
          <w:sz w:val="20"/>
          <w:szCs w:val="20"/>
          <w:color w:val="auto"/>
        </w:rPr>
      </w:pPr>
    </w:p>
    <w:p>
      <w:pPr>
        <w:ind w:right="2319" w:firstLine="535"/>
        <w:spacing w:after="0" w:line="270" w:lineRule="auto"/>
        <w:tabs>
          <w:tab w:leader="none" w:pos="105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is being filed by Rho Management Partners L.P. ("RMP"), a Delaware limited partnership, Atlas Capital Corp. ("Atlas"), a Delaware corporation, and Joshua Ruch, an individual resident of the United States. RMP serves as investment advisor to or general partner of various investment vehicles, and as such may be deemed to exercise investment and voting control over Shares registered in the names of such vehicles. As general partner of RMP, Atlas may be deemed to exercise investment and voting control over the Shares deemed beneficially owned by RMP. As the sole shareholder of Atlas, Joshua Ruch may be deemed to exercise investment and voting authority over the Shares deemed beneficially owned by Atlas.</w:t>
      </w:r>
    </w:p>
    <w:p>
      <w:pPr>
        <w:spacing w:after="0" w:line="18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As noted in the introductory paragraphs to this Amendment No. 3, following the Event Date of this Amendment, RMP changed its name to Pinnacle Management Partners L.P., and Atlas Capital Holding L.L.C., a Delaware limited liability company, was substituted as sole general partner of the renamed Pinnacle Management Partners L.P. in the place of Atlas. Such changes do not affect the beneficial ownership of the Shares reported hereby.</w:t>
      </w:r>
    </w:p>
    <w:p>
      <w:pPr>
        <w:spacing w:after="0" w:line="211"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(b)-(c) Rho Management Partners L.P. is a Delaware limited partnership with its address at 4 Dune Road, East Quogue, New York 11942.</w:t>
      </w:r>
    </w:p>
    <w:p>
      <w:pPr>
        <w:spacing w:after="0" w:line="170"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Atlas Capital Corp. is a Delaware corporation, with its address at 4 Dune Road, East Quogue, New York 11942.</w:t>
      </w:r>
    </w:p>
    <w:p>
      <w:pPr>
        <w:spacing w:after="0" w:line="208"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Mr. Ruch is a citizen of the United States of America and of the Republic of South Africa, with his business address at 4 Dune Road, East Quogue, New York 11942.</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2(d)</w:t>
      </w:r>
      <w:r>
        <w:rPr>
          <w:sz w:val="20"/>
          <w:szCs w:val="20"/>
          <w:color w:val="auto"/>
        </w:rPr>
        <w:tab/>
      </w:r>
      <w:r>
        <w:rPr>
          <w:rFonts w:ascii="Courier New" w:cs="Courier New" w:eastAsia="Courier New" w:hAnsi="Courier New"/>
          <w:sz w:val="16"/>
          <w:szCs w:val="16"/>
          <w:color w:val="auto"/>
        </w:rPr>
        <w:t>Title of class of securities: Common Stock</w:t>
      </w:r>
    </w:p>
    <w:p>
      <w:pPr>
        <w:spacing w:after="0" w:line="201" w:lineRule="exact"/>
        <w:rPr>
          <w:sz w:val="20"/>
          <w:szCs w:val="20"/>
          <w:color w:val="auto"/>
        </w:rPr>
      </w:pPr>
    </w:p>
    <w:p>
      <w:pPr>
        <w:ind w:left="540"/>
        <w:spacing w:after="0"/>
        <w:tabs>
          <w:tab w:leader="none" w:pos="1140" w:val="left"/>
          <w:tab w:leader="none" w:pos="2520" w:val="left"/>
        </w:tabs>
        <w:rPr>
          <w:sz w:val="20"/>
          <w:szCs w:val="20"/>
          <w:color w:val="auto"/>
        </w:rPr>
      </w:pPr>
      <w:r>
        <w:rPr>
          <w:rFonts w:ascii="Courier New" w:cs="Courier New" w:eastAsia="Courier New" w:hAnsi="Courier New"/>
          <w:sz w:val="18"/>
          <w:szCs w:val="18"/>
          <w:color w:val="auto"/>
        </w:rPr>
        <w:t>2(e)</w:t>
        <w:tab/>
        <w:t>CUSIP No.:</w:t>
      </w:r>
      <w:r>
        <w:rPr>
          <w:sz w:val="20"/>
          <w:szCs w:val="20"/>
          <w:color w:val="auto"/>
        </w:rPr>
        <w:tab/>
      </w:r>
      <w:r>
        <w:rPr>
          <w:rFonts w:ascii="Courier New" w:cs="Courier New" w:eastAsia="Courier New" w:hAnsi="Courier New"/>
          <w:sz w:val="16"/>
          <w:szCs w:val="16"/>
          <w:color w:val="auto"/>
        </w:rPr>
        <w:t>00504W100</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Rule 13d-2(b) or (c), check whether the person filing is 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Exchange</w:t>
      </w:r>
    </w:p>
    <w:p>
      <w:pPr>
        <w:spacing w:after="0" w:line="238" w:lineRule="auto"/>
        <w:rPr>
          <w:sz w:val="20"/>
          <w:szCs w:val="20"/>
          <w:color w:val="auto"/>
        </w:rPr>
      </w:pPr>
      <w:r>
        <w:rPr>
          <w:rFonts w:ascii="Courier New" w:cs="Courier New" w:eastAsia="Courier New" w:hAnsi="Courier New"/>
          <w:sz w:val="18"/>
          <w:szCs w:val="18"/>
          <w:color w:val="auto"/>
        </w:rPr>
        <w:t>Act.</w:t>
      </w:r>
    </w:p>
    <w:p>
      <w:pPr>
        <w:spacing w:after="0" w:line="202" w:lineRule="exact"/>
        <w:rPr>
          <w:sz w:val="20"/>
          <w:szCs w:val="20"/>
          <w:color w:val="auto"/>
        </w:rPr>
      </w:pPr>
    </w:p>
    <w:p>
      <w:pPr>
        <w:ind w:left="960" w:hanging="425"/>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right="3039" w:firstLine="535"/>
        <w:spacing w:after="0" w:line="235"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right="3359" w:firstLine="535"/>
        <w:spacing w:after="0" w:line="235"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ectPr>
          <w:pgSz w:w="11900" w:h="16838" w:orient="portrait"/>
          <w:cols w:equalWidth="0" w:num="1">
            <w:col w:w="10219"/>
          </w:cols>
          <w:pgMar w:left="240" w:top="723" w:right="1440" w:bottom="0" w:gutter="0" w:footer="0" w:header="0"/>
        </w:sectPr>
      </w:pPr>
    </w:p>
    <w:bookmarkStart w:id="5" w:name="page6"/>
    <w:bookmarkEnd w:id="5"/>
    <w:p>
      <w:pPr>
        <w:ind w:right="4099" w:firstLine="535"/>
        <w:spacing w:after="0" w:line="235"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8" w:lineRule="exact"/>
        <w:rPr>
          <w:rFonts w:ascii="Courier New" w:cs="Courier New" w:eastAsia="Courier New" w:hAnsi="Courier New"/>
          <w:sz w:val="18"/>
          <w:szCs w:val="18"/>
          <w:color w:val="auto"/>
        </w:rPr>
      </w:pPr>
    </w:p>
    <w:p>
      <w:pPr>
        <w:ind w:right="2419" w:firstLine="535"/>
        <w:spacing w:after="0" w:line="235"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right="2419" w:firstLine="535"/>
        <w:spacing w:after="0" w:line="235"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right="2939" w:firstLine="535"/>
        <w:spacing w:after="0" w:line="235"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w:t>
      </w:r>
    </w:p>
    <w:p>
      <w:pPr>
        <w:spacing w:after="0" w:line="208" w:lineRule="exact"/>
        <w:rPr>
          <w:sz w:val="20"/>
          <w:szCs w:val="20"/>
          <w:color w:val="auto"/>
        </w:rPr>
      </w:pPr>
    </w:p>
    <w:p>
      <w:pPr>
        <w:ind w:right="2619" w:firstLine="535"/>
        <w:spacing w:after="0" w:line="290" w:lineRule="auto"/>
        <w:tabs>
          <w:tab w:leader="none" w:pos="94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 [ ] Group, in accordance with Rule 13d-1(b)(1)(ii)(J).</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this statement is filed pursuant to Rule 13d-1(c), check this box.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cover page for each reporting person.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4,545,124 of the Shares reported hereby are registered in the names of investment vehicles over which RMP has sole voting and investment control. An additional 704 Shares are registered in the name of RMP directly. RMP may accordingly be deemed, for purposes of Rule 13d-3 under the Securities Exchange Act of 1934, as amended, to be the beneficial owner of an aggregate of 4,545,828 Shares, constituting 5.7% of the Company's shares outstanding as of the date of the Company's most recently filed Form 10-Q.</w:t>
      </w:r>
    </w:p>
    <w:p>
      <w:pPr>
        <w:spacing w:after="0" w:line="21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Atlas, as sole general partner of RMP, may be deemed, for purposes of Rule 13d-3 under the Securities Exchange Act of 1934, as amended, to be the beneficial owner, with sole voting and investment authority, of the 4,545,828 Shares deemed beneficially owned by RMP hereunder, constituting 5.7% of the Company's shares outstanding as of the date of the Company's most recently filed Form 10-Q.</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Joshua Ruch, as sole shareholder of Atlas, may be deemed, for purposes of Rule 13d-3 under the Securities Exchange Act of 1934, as amended, to be the beneficial owner of the 4,545,828 Shares reported by Atlas hereunder. When such number of Shares is taken together with Shares held by Joshua Ruch, and certain other family or foundation vehicles over which he exercises sole investment and voting control, Joshua Ruch may be deemed to own beneficially an aggregate of 6,432,176 Shares, constituting 8.0% of the Company's shares outstanding as of the date of the Company's most recently filed Form 10-Q.</w:t>
      </w:r>
    </w:p>
    <w:p>
      <w:pPr>
        <w:spacing w:after="0" w:line="200" w:lineRule="exact"/>
        <w:rPr>
          <w:sz w:val="20"/>
          <w:szCs w:val="20"/>
          <w:color w:val="auto"/>
        </w:rPr>
      </w:pPr>
    </w:p>
    <w:p>
      <w:pPr>
        <w:spacing w:after="0" w:line="210"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firstLine="527"/>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ectPr>
          <w:pgSz w:w="11900" w:h="16838" w:orient="portrait"/>
          <w:cols w:equalWidth="0" w:num="1">
            <w:col w:w="10219"/>
          </w:cols>
          <w:pgMar w:left="240" w:top="344" w:right="1440" w:bottom="0" w:gutter="0" w:footer="0" w:header="0"/>
        </w:sectPr>
      </w:pPr>
    </w:p>
    <w:bookmarkStart w:id="6" w:name="page7"/>
    <w:bookmarkEnd w:id="6"/>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39"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9, 2012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PINNACLE MANAGEMENT PARTNERS L.P.</w:t>
      </w:r>
    </w:p>
    <w:p>
      <w:pPr>
        <w:spacing w:after="0" w:line="238" w:lineRule="auto"/>
        <w:rPr>
          <w:sz w:val="20"/>
          <w:szCs w:val="20"/>
          <w:color w:val="auto"/>
        </w:rPr>
      </w:pPr>
      <w:r>
        <w:rPr>
          <w:rFonts w:ascii="Courier New" w:cs="Courier New" w:eastAsia="Courier New" w:hAnsi="Courier New"/>
          <w:sz w:val="18"/>
          <w:szCs w:val="18"/>
          <w:color w:val="auto"/>
        </w:rPr>
        <w:t>formerly known as RHO MANAGEMENT PARTNERS L.P.</w:t>
      </w:r>
    </w:p>
    <w:p>
      <w:pPr>
        <w:spacing w:after="0"/>
        <w:tabs>
          <w:tab w:leader="none" w:pos="520" w:val="left"/>
        </w:tabs>
        <w:rPr>
          <w:sz w:val="20"/>
          <w:szCs w:val="20"/>
          <w:color w:val="auto"/>
        </w:rPr>
      </w:pPr>
      <w:r>
        <w:rPr>
          <w:rFonts w:ascii="Courier New" w:cs="Courier New" w:eastAsia="Courier New" w:hAnsi="Courier New"/>
          <w:sz w:val="18"/>
          <w:szCs w:val="18"/>
          <w:color w:val="auto"/>
        </w:rPr>
        <w:t>By:</w:t>
        <w:tab/>
        <w:t>ATLAS CAPITAL HOLDING L.L.C.,</w:t>
      </w:r>
    </w:p>
    <w:p>
      <w:pPr>
        <w:ind w:left="540"/>
        <w:spacing w:after="0" w:line="237"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Joshua Ruch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ATLAS CAPITAL HOLDING L.L.C.</w:t>
      </w:r>
    </w:p>
    <w:p>
      <w:pPr>
        <w:spacing w:after="0" w:line="238" w:lineRule="auto"/>
        <w:rPr>
          <w:sz w:val="20"/>
          <w:szCs w:val="20"/>
          <w:color w:val="auto"/>
        </w:rPr>
      </w:pPr>
      <w:r>
        <w:rPr>
          <w:rFonts w:ascii="Courier New" w:cs="Courier New" w:eastAsia="Courier New" w:hAnsi="Courier New"/>
          <w:sz w:val="18"/>
          <w:szCs w:val="18"/>
          <w:color w:val="auto"/>
        </w:rPr>
        <w:t>as successor to ATLAS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Joshua Ruch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JOSHUA RUCH</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 w:leader="none" w:pos="10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Joshua Ruch</w:t>
      </w:r>
    </w:p>
    <w:p>
      <w:pPr>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7"/>
      <w:numFmt w:val="bullet"/>
      <w:start w:val="1"/>
    </w:lvl>
  </w:abstractNum>
  <w:abstractNum w:abstractNumId="7">
    <w:nsid w:val="62BBD95A"/>
    <w:multiLevelType w:val="hybridMultilevel"/>
    <w:lvl w:ilvl="0">
      <w:lvlJc w:val="left"/>
      <w:lvlText w:val="8"/>
      <w:numFmt w:val="bullet"/>
      <w:start w:val="1"/>
    </w:lvl>
  </w:abstractNum>
  <w:abstractNum w:abstractNumId="8">
    <w:nsid w:val="436C6125"/>
    <w:multiLevelType w:val="hybridMultilevel"/>
    <w:lvl w:ilvl="0">
      <w:lvlJc w:val="left"/>
      <w:lvlText w:val="9"/>
      <w:numFmt w:val="bullet"/>
      <w:start w:val="1"/>
    </w:lvl>
  </w:abstractNum>
  <w:abstractNum w:abstractNumId="9">
    <w:nsid w:val="628C895D"/>
    <w:multiLevelType w:val="hybridMultilevel"/>
    <w:lvl w:ilvl="0">
      <w:lvlJc w:val="left"/>
      <w:lvlText w:val="%1"/>
      <w:numFmt w:val="decimal"/>
      <w:start w:val="10"/>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3"/>
      <w:numFmt w:val="bullet"/>
      <w:start w:val="1"/>
    </w:lvl>
  </w:abstractNum>
  <w:abstractNum w:abstractNumId="12">
    <w:nsid w:val="2443A858"/>
    <w:multiLevelType w:val="hybridMultilevel"/>
    <w:lvl w:ilvl="0">
      <w:lvlJc w:val="left"/>
      <w:lvlText w:val="4"/>
      <w:numFmt w:val="bullet"/>
      <w:start w:val="1"/>
    </w:lvl>
  </w:abstractNum>
  <w:abstractNum w:abstractNumId="13">
    <w:nsid w:val="2D1D5AE9"/>
    <w:multiLevelType w:val="hybridMultilevel"/>
    <w:lvl w:ilvl="0">
      <w:lvlJc w:val="left"/>
      <w:lvlText w:val="5"/>
      <w:numFmt w:val="bullet"/>
      <w:start w:val="1"/>
    </w:lvl>
  </w:abstractNum>
  <w:abstractNum w:abstractNumId="14">
    <w:nsid w:val="6763845E"/>
    <w:multiLevelType w:val="hybridMultilevel"/>
    <w:lvl w:ilvl="0">
      <w:lvlJc w:val="left"/>
      <w:lvlText w:val="6"/>
      <w:numFmt w:val="bullet"/>
      <w:start w:val="1"/>
    </w:lvl>
  </w:abstractNum>
  <w:abstractNum w:abstractNumId="15">
    <w:nsid w:val="75A2A8D4"/>
    <w:multiLevelType w:val="hybridMultilevel"/>
    <w:lvl w:ilvl="0">
      <w:lvlJc w:val="left"/>
      <w:lvlText w:val="7"/>
      <w:numFmt w:val="bullet"/>
      <w:start w:val="1"/>
    </w:lvl>
  </w:abstractNum>
  <w:abstractNum w:abstractNumId="16">
    <w:nsid w:val="8EDBDAB"/>
    <w:multiLevelType w:val="hybridMultilevel"/>
    <w:lvl w:ilvl="0">
      <w:lvlJc w:val="left"/>
      <w:lvlText w:val="8"/>
      <w:numFmt w:val="bullet"/>
      <w:start w:val="1"/>
    </w:lvl>
  </w:abstractNum>
  <w:abstractNum w:abstractNumId="17">
    <w:nsid w:val="79838CB2"/>
    <w:multiLevelType w:val="hybridMultilevel"/>
    <w:lvl w:ilvl="0">
      <w:lvlJc w:val="left"/>
      <w:lvlText w:val="9"/>
      <w:numFmt w:val="bullet"/>
      <w:start w:val="1"/>
    </w:lvl>
  </w:abstractNum>
  <w:abstractNum w:abstractNumId="18">
    <w:nsid w:val="4353D0CD"/>
    <w:multiLevelType w:val="hybridMultilevel"/>
    <w:lvl w:ilvl="0">
      <w:lvlJc w:val="left"/>
      <w:lvlText w:val="%1"/>
      <w:numFmt w:val="decimal"/>
      <w:start w:val="10"/>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7"/>
      <w:numFmt w:val="bullet"/>
      <w:start w:val="1"/>
    </w:lvl>
  </w:abstractNum>
  <w:abstractNum w:abstractNumId="25">
    <w:nsid w:val="2901D82"/>
    <w:multiLevelType w:val="hybridMultilevel"/>
    <w:lvl w:ilvl="0">
      <w:lvlJc w:val="left"/>
      <w:lvlText w:val="8"/>
      <w:numFmt w:val="bullet"/>
      <w:start w:val="1"/>
    </w:lvl>
  </w:abstractNum>
  <w:abstractNum w:abstractNumId="26">
    <w:nsid w:val="3A95F874"/>
    <w:multiLevelType w:val="hybridMultilevel"/>
    <w:lvl w:ilvl="0">
      <w:lvlJc w:val="left"/>
      <w:lvlText w:val="9"/>
      <w:numFmt w:val="bullet"/>
      <w:start w:val="1"/>
    </w:lvl>
  </w:abstractNum>
  <w:abstractNum w:abstractNumId="27">
    <w:nsid w:val="8138641"/>
    <w:multiLevelType w:val="hybridMultilevel"/>
    <w:lvl w:ilvl="0">
      <w:lvlJc w:val="left"/>
      <w:lvlText w:val="%1"/>
      <w:numFmt w:val="decimal"/>
      <w:start w:val="10"/>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2"/>
    </w:lvl>
  </w:abstractNum>
  <w:abstractNum w:abstractNumId="30">
    <w:nsid w:val="737B8DDC"/>
    <w:multiLevelType w:val="hybridMultilevel"/>
    <w:lvl w:ilvl="0">
      <w:lvlJc w:val="left"/>
      <w:lvlText w:val="(%1)"/>
      <w:numFmt w:val="lowerLetter"/>
      <w:start w:val="5"/>
    </w:lvl>
  </w:abstractNum>
  <w:abstractNum w:abstractNumId="31">
    <w:nsid w:val="6CEAF087"/>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2019-12-09T12:33:33Z</dcterms:created>
  <dcterms:modified xsi:type="dcterms:W3CDTF">2019-12-09T12:33:33Z</dcterms:modified>
</cp:coreProperties>
</file>