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x-20240808.htm"/>
      <w:bookmarkStart w:id="1" w:name="kspx2024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08,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P10,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4514 Cole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865-7998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120" w:type="dxa"/>
        <w:jc w:val="left"/>
        <w:tblInd w:w="0" w:type="dxa"/>
        <w:tblLayout w:type="fixed"/>
        <w:tblCellMar>
          <w:top w:w="28" w:type="dxa"/>
          <w:left w:w="28" w:type="dxa"/>
          <w:bottom w:w="28" w:type="dxa"/>
          <w:right w:w="28" w:type="dxa"/>
        </w:tblCellMar>
      </w:tblPr>
      <w:tblGrid>
        <w:gridCol w:w="5056"/>
        <w:gridCol w:w="146"/>
        <w:gridCol w:w="946"/>
        <w:gridCol w:w="146"/>
        <w:gridCol w:w="38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8, 2024, the Company issued a press release and presentation announcing its financial results for the second quarter ended June 30, 2024. A copy of the press release and presentation are furnished as Exhibits 99.1 and 99.2, respectively, to this Current Report on Form 8-K and are incorporated herein by reference.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(the “Securities Act”), or the Exchange Act, regardless of any general incorporation language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pPr>
      <w:r>
        <w:rPr/>
        <w:t> </w:t>
      </w:r>
    </w:p>
    <w:tbl>
      <w:tblPr>
        <w:tblW w:w="6587" w:type="dxa"/>
        <w:jc w:val="left"/>
        <w:tblInd w:w="0" w:type="dxa"/>
        <w:tblLayout w:type="fixed"/>
        <w:tblCellMar>
          <w:top w:w="28" w:type="dxa"/>
          <w:left w:w="28" w:type="dxa"/>
          <w:bottom w:w="28" w:type="dxa"/>
          <w:right w:w="28" w:type="dxa"/>
        </w:tblCellMar>
      </w:tblPr>
      <w:tblGrid>
        <w:gridCol w:w="1081"/>
        <w:gridCol w:w="5506"/>
      </w:tblGrid>
      <w:tr>
        <w:trPr/>
        <w:tc>
          <w:tcPr>
            <w:tcW w:w="1081"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5506" w:type="dxa"/>
            <w:tcBorders/>
            <w:tcMar>
              <w:top w:w="0" w:type="dxa"/>
              <w:left w:w="0" w:type="dxa"/>
              <w:bottom w:w="0" w:type="dxa"/>
              <w:right w:w="0" w:type="dxa"/>
            </w:tcMar>
            <w:vAlign w:val="center"/>
          </w:tcPr>
          <w:p>
            <w:pPr>
              <w:pStyle w:val="TableContents"/>
              <w:bidi w:val="0"/>
              <w:spacing w:before="0" w:after="283"/>
              <w:jc w:val="left"/>
              <w:rPr/>
            </w:pPr>
            <w:hyperlink w:anchor="px-ex99_1.htm">
              <w:r>
                <w:rPr>
                  <w:rStyle w:val="InternetLink"/>
                  <w:rFonts w:ascii="Times New Roman" w:hAnsi="Times New Roman"/>
                  <w:color w:val="0000FF"/>
                  <w:sz w:val="20"/>
                  <w:u w:val="single"/>
                </w:rPr>
                <w:t>Press Release of P10, Inc. dated August 8, 2024</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5506" w:type="dxa"/>
            <w:tcBorders/>
            <w:tcMar>
              <w:top w:w="0" w:type="dxa"/>
              <w:left w:w="0" w:type="dxa"/>
              <w:bottom w:w="0" w:type="dxa"/>
              <w:right w:w="0" w:type="dxa"/>
            </w:tcMar>
            <w:vAlign w:val="center"/>
          </w:tcPr>
          <w:p>
            <w:pPr>
              <w:pStyle w:val="TableContents"/>
              <w:bidi w:val="0"/>
              <w:spacing w:before="0" w:after="283"/>
              <w:jc w:val="left"/>
              <w:rPr/>
            </w:pPr>
            <w:hyperlink w:anchor="px-ex99_2.htm">
              <w:r>
                <w:rPr>
                  <w:rStyle w:val="InternetLink"/>
                  <w:rFonts w:ascii="Times New Roman" w:hAnsi="Times New Roman"/>
                  <w:color w:val="0000FF"/>
                  <w:sz w:val="20"/>
                  <w:u w:val="single"/>
                </w:rPr>
                <w:t>Second Quarter 2024 Earnings Presentation, dated August 8, 2024</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59" w:type="dxa"/>
        <w:jc w:val="left"/>
        <w:tblInd w:w="0" w:type="dxa"/>
        <w:tblLayout w:type="fixed"/>
        <w:tblCellMar>
          <w:top w:w="28" w:type="dxa"/>
          <w:left w:w="28" w:type="dxa"/>
          <w:bottom w:w="28" w:type="dxa"/>
          <w:right w:w="28" w:type="dxa"/>
        </w:tblCellMar>
      </w:tblPr>
      <w:tblGrid>
        <w:gridCol w:w="556"/>
        <w:gridCol w:w="1351"/>
        <w:gridCol w:w="451"/>
        <w:gridCol w:w="210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P10,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8,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0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Amanda Coussens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Amanda Coussens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px-ex99_1.htm"/>
      <w:bookmarkStart w:id="3" w:name="kspxex99_1"/>
      <w:bookmarkStart w:id="4" w:name="px-ex99_1.htm"/>
      <w:bookmarkStart w:id="5" w:name="kspxex99_1"/>
      <w:bookmarkEnd w:id="4"/>
      <w:bookmarkEnd w:id="5"/>
      <w:r>
        <w:br w:type="page"/>
      </w:r>
    </w:p>
    <w:tbl>
      <w:tblPr>
        <w:tblW w:w="4762" w:type="dxa"/>
        <w:jc w:val="left"/>
        <w:tblInd w:w="0" w:type="dxa"/>
        <w:tblLayout w:type="fixed"/>
        <w:tblCellMar>
          <w:top w:w="28" w:type="dxa"/>
          <w:left w:w="28" w:type="dxa"/>
          <w:bottom w:w="28" w:type="dxa"/>
          <w:right w:w="28" w:type="dxa"/>
        </w:tblCellMar>
      </w:tblPr>
      <w:tblGrid>
        <w:gridCol w:w="2171"/>
        <w:gridCol w:w="2591"/>
      </w:tblGrid>
      <w:tr>
        <w:trPr/>
        <w:tc>
          <w:tcPr>
            <w:tcW w:w="217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600075"/>
                          </a:xfrm>
                          <a:prstGeom prst="rect">
                            <a:avLst/>
                          </a:prstGeom>
                        </pic:spPr>
                      </pic:pic>
                    </a:graphicData>
                  </a:graphic>
                </wp:inline>
              </w:drawing>
            </w:r>
            <w:r>
              <w:rPr/>
              <w:t> </w:t>
            </w:r>
          </w:p>
        </w:tc>
        <w:tc>
          <w:tcPr>
            <w:tcW w:w="259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524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52425"/>
                          </a:xfrm>
                          <a:prstGeom prst="rect">
                            <a:avLst/>
                          </a:prstGeom>
                        </pic:spPr>
                      </pic:pic>
                    </a:graphicData>
                  </a:graphic>
                </wp:inline>
              </w:drawing>
            </w:r>
            <w:r>
              <w:rPr/>
              <w:t> </w:t>
            </w:r>
          </w:p>
        </w:tc>
      </w:tr>
    </w:tbl>
    <w:p>
      <w:pPr>
        <w:pStyle w:val="TextBody"/>
        <w:bidi w:val="0"/>
        <w:jc w:val="left"/>
        <w:rPr/>
      </w:pPr>
      <w:r>
        <w:rPr/>
        <w:t> </w:t>
      </w:r>
    </w:p>
    <w:p>
      <w:pPr>
        <w:pStyle w:val="TextBody"/>
        <w:bidi w:val="0"/>
        <w:spacing w:before="0" w:after="120"/>
        <w:jc w:val="center"/>
        <w:rPr>
          <w:rFonts w:ascii="Times New Roman" w:hAnsi="Times New Roman"/>
          <w:sz w:val="20"/>
        </w:rPr>
      </w:pPr>
      <w:r>
        <w:rPr>
          <w:rFonts w:ascii="Calibri;sans-serif" w:hAnsi="Calibri;sans-serif"/>
          <w:b/>
          <w:color w:val="2F2F45"/>
          <w:sz w:val="24"/>
        </w:rPr>
        <w:t>P10 Reports Second Quarter 2024 Earnings Results</w:t>
      </w:r>
      <w:r>
        <w:rPr>
          <w:rFonts w:ascii="Times New Roman" w:hAnsi="Times New Roman"/>
          <w:color w:val="2F2F45"/>
          <w:sz w:val="20"/>
        </w:rPr>
        <w:t xml:space="preserve"> </w:t>
      </w:r>
    </w:p>
    <w:p>
      <w:pPr>
        <w:pStyle w:val="TextBody"/>
        <w:bidi w:val="0"/>
        <w:jc w:val="center"/>
        <w:rPr/>
      </w:pPr>
      <w:r>
        <w:rPr/>
        <w:t> </w:t>
      </w:r>
    </w:p>
    <w:p>
      <w:pPr>
        <w:pStyle w:val="TextBody"/>
        <w:bidi w:val="0"/>
        <w:spacing w:before="0" w:after="160"/>
        <w:jc w:val="center"/>
        <w:rPr>
          <w:rFonts w:ascii="Times New Roman" w:hAnsi="Times New Roman"/>
          <w:sz w:val="20"/>
        </w:rPr>
      </w:pPr>
      <w:r>
        <w:rPr>
          <w:rFonts w:ascii="Calibri;sans-serif" w:hAnsi="Calibri;sans-serif"/>
          <w:i/>
          <w:color w:val="2F2F45"/>
          <w:sz w:val="24"/>
        </w:rPr>
        <w:t>Generated Record Quarterly Revenue of $71.1 Million, a 14% Annual Increase</w:t>
      </w:r>
      <w:r>
        <w:rPr>
          <w:rFonts w:ascii="Times New Roman" w:hAnsi="Times New Roman"/>
          <w:color w:val="2F2F45"/>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2F2F45"/>
          <w:sz w:val="24"/>
        </w:rPr>
        <w:t xml:space="preserve">DALLAS, August 8, 2024 (GLOBE NEWSWIRE) - </w:t>
      </w:r>
      <w:r>
        <w:rPr>
          <w:rFonts w:ascii="Calibri;sans-serif" w:hAnsi="Calibri;sans-serif"/>
          <w:sz w:val="24"/>
        </w:rPr>
        <w:t>P10, Inc.</w:t>
      </w:r>
      <w:r>
        <w:rPr>
          <w:rFonts w:ascii="Times New Roman" w:hAnsi="Times New Roman"/>
          <w:color w:val="2F2F45"/>
          <w:sz w:val="20"/>
        </w:rPr>
        <w:t xml:space="preserve"> </w:t>
      </w:r>
      <w:r>
        <w:rPr>
          <w:rFonts w:ascii="Calibri;sans-serif" w:hAnsi="Calibri;sans-serif"/>
          <w:color w:val="2F2F45"/>
          <w:sz w:val="24"/>
        </w:rPr>
        <w:t>(NYSE: PX) (the “Company”), a leading private markets solutions provider, today reported financial results for the second quarter ended June 30, 2024.</w:t>
      </w:r>
    </w:p>
    <w:p>
      <w:pPr>
        <w:pStyle w:val="TextBody"/>
        <w:bidi w:val="0"/>
        <w:spacing w:before="360" w:after="283"/>
        <w:jc w:val="both"/>
        <w:rPr>
          <w:rFonts w:ascii="Calibri;sans-serif" w:hAnsi="Calibri;sans-serif"/>
          <w:b/>
          <w:color w:val="2F2F45"/>
          <w:sz w:val="24"/>
        </w:rPr>
      </w:pPr>
      <w:r>
        <w:rPr>
          <w:rFonts w:ascii="Calibri;sans-serif" w:hAnsi="Calibri;sans-serif"/>
          <w:b/>
          <w:color w:val="2F2F45"/>
          <w:sz w:val="24"/>
        </w:rPr>
        <w:t>Second Quarter 2024 Financial Highlights</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Revenue: $71.1 million, a 14%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Fee-Related Revenue: $68.3 million, a 12%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Fee-Paying Assets Under Management: $23.8 billion, an 8%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GAAP Net Income: $7.4 million compared to $2.1 million in the prior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Adjusted EBITDA: $35.4 million compared to $34.8 million in the prior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 xml:space="preserve">Fee-Related Earnings: $33.6 million compared to $34.7 million in the prior year. </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Adjusted Net Income: $28.8 million, compared to $26.7 million in the prior year.</w:t>
      </w:r>
    </w:p>
    <w:p>
      <w:pPr>
        <w:pStyle w:val="TextBody"/>
        <w:bidi w:val="0"/>
        <w:spacing w:before="0" w:after="0"/>
        <w:jc w:val="both"/>
        <w:rPr>
          <w:color w:val="2F2F45"/>
        </w:rPr>
      </w:pPr>
      <w:r>
        <w:rPr>
          <w:color w:val="2F2F45"/>
        </w:rPr>
        <w:t>•</w:t>
      </w:r>
    </w:p>
    <w:p>
      <w:pPr>
        <w:pStyle w:val="TextBody"/>
        <w:bidi w:val="0"/>
        <w:spacing w:before="0" w:after="0"/>
        <w:jc w:val="both"/>
        <w:rPr>
          <w:rFonts w:ascii="Calibri;sans-serif" w:hAnsi="Calibri;sans-serif"/>
          <w:color w:val="2F2F45"/>
          <w:sz w:val="24"/>
        </w:rPr>
      </w:pPr>
      <w:r>
        <w:rPr>
          <w:rFonts w:ascii="Calibri;sans-serif" w:hAnsi="Calibri;sans-serif"/>
          <w:color w:val="2F2F45"/>
          <w:sz w:val="24"/>
        </w:rPr>
        <w:t>Fully diluted GAAP EPS: $0.06 compared to $0.02 in the prior year.</w:t>
      </w:r>
    </w:p>
    <w:p>
      <w:pPr>
        <w:pStyle w:val="TextBody"/>
        <w:bidi w:val="0"/>
        <w:spacing w:before="0" w:after="0"/>
        <w:jc w:val="both"/>
        <w:rPr>
          <w:color w:val="2F2F45"/>
        </w:rPr>
      </w:pPr>
      <w:r>
        <w:rPr>
          <w:color w:val="2F2F45"/>
        </w:rPr>
        <w:t>•</w:t>
      </w:r>
    </w:p>
    <w:p>
      <w:pPr>
        <w:pStyle w:val="TextBody"/>
        <w:bidi w:val="0"/>
        <w:jc w:val="both"/>
        <w:rPr>
          <w:rFonts w:ascii="Calibri;sans-serif" w:hAnsi="Calibri;sans-serif"/>
          <w:color w:val="2F2F45"/>
          <w:sz w:val="24"/>
        </w:rPr>
      </w:pPr>
      <w:r>
        <w:rPr>
          <w:rFonts w:ascii="Calibri;sans-serif" w:hAnsi="Calibri;sans-serif"/>
          <w:color w:val="2F2F45"/>
          <w:sz w:val="24"/>
        </w:rPr>
        <w:t>Fully diluted ANI per share: $0.24, compared to $0.22 in the prior year.</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2F2F45"/>
          <w:sz w:val="24"/>
        </w:rPr>
        <w:t xml:space="preserve">A presentation of the quarterly financials may be accessed </w:t>
      </w:r>
      <w:r>
        <w:rPr>
          <w:rFonts w:ascii="Calibri;sans-serif" w:hAnsi="Calibri;sans-serif"/>
          <w:sz w:val="24"/>
        </w:rPr>
        <w:t>here</w:t>
      </w:r>
      <w:r>
        <w:rPr>
          <w:rFonts w:ascii="Times New Roman" w:hAnsi="Times New Roman"/>
          <w:color w:val="2F2F45"/>
          <w:sz w:val="20"/>
        </w:rPr>
        <w:t xml:space="preserve"> </w:t>
      </w:r>
      <w:r>
        <w:rPr>
          <w:rFonts w:ascii="Calibri;sans-serif" w:hAnsi="Calibri;sans-serif"/>
          <w:color w:val="2F2F45"/>
          <w:sz w:val="24"/>
        </w:rPr>
        <w:t>and is available on the Company’s website.</w:t>
      </w:r>
    </w:p>
    <w:p>
      <w:pPr>
        <w:pStyle w:val="TextBody"/>
        <w:bidi w:val="0"/>
        <w:jc w:val="left"/>
        <w:rPr/>
      </w:pPr>
      <w:r>
        <w:rPr/>
        <w:t> </w:t>
      </w:r>
    </w:p>
    <w:p>
      <w:pPr>
        <w:pStyle w:val="TextBody"/>
        <w:bidi w:val="0"/>
        <w:jc w:val="left"/>
        <w:rPr>
          <w:color w:val="2F2F45"/>
        </w:rPr>
      </w:pPr>
      <w:r>
        <w:rPr>
          <w:color w:val="2F2F45"/>
        </w:rPr>
        <w:t>“</w:t>
      </w:r>
      <w:r>
        <w:rPr>
          <w:rFonts w:ascii="Calibri;sans-serif" w:hAnsi="Calibri;sans-serif"/>
          <w:color w:val="2F2F45"/>
          <w:sz w:val="24"/>
        </w:rPr>
        <w:t>P10 delivered robust performance in the second quarter as we continued to advance the strategic initiatives we laid out at the beginning of 2024,” said Luke Sarsfield, P10 Chairman and Chief Executive Officer. “Our investment strategies have strong momentum in the market, with multiple fund closings exceeding initial covers and $844 million in gross new fee-paying AUM in the second quarter. We remain steadfast in our commitment to our growth initiatives as we further integrate our diversified platform, establish best-in-class systems and processes, and stand up a world-class inorganic growth engine. P10 is positioned to drive long-term shareholder returns as we create value across our leading alternatives strategies.”</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Strategic Leadership Appointment</w:t>
      </w:r>
    </w:p>
    <w:p>
      <w:pPr>
        <w:pStyle w:val="TextBody"/>
        <w:bidi w:val="0"/>
        <w:jc w:val="left"/>
        <w:rPr/>
      </w:pPr>
      <w:r>
        <w:rPr/>
        <w:t> </w:t>
      </w:r>
    </w:p>
    <w:p>
      <w:pPr>
        <w:pStyle w:val="TextBody"/>
        <w:bidi w:val="0"/>
        <w:spacing w:before="0" w:after="160"/>
        <w:jc w:val="left"/>
        <w:rPr>
          <w:rFonts w:ascii="Times New Roman" w:hAnsi="Times New Roman"/>
          <w:sz w:val="20"/>
        </w:rPr>
      </w:pPr>
      <w:r>
        <w:rPr>
          <w:rFonts w:ascii="Calibri;sans-serif" w:hAnsi="Calibri;sans-serif"/>
          <w:color w:val="2F2F45"/>
          <w:sz w:val="24"/>
        </w:rPr>
        <w:t>On July 31, 2024, P10 named Sarita Narson Jairath as its EVP and Global Head of Client Solutions, effective September 16, 2024. In her role, Ms. Jairath will oversee the strategy and execution of P10’s organic growth opportunities by deepening and expanding global client relationships, developing new products, and augmenting the market positioning of P10 and its affiliated managers. Ms. Jairath brings more than two decades of institutional investment experience from Blackstone, J.P. Morgan, Goldman Sachs, among others. She will be integral in developing an institutional framework to serve P10’s growing investor base.</w:t>
      </w:r>
      <w:r>
        <w:rPr>
          <w:rFonts w:ascii="Times New Roman" w:hAnsi="Times New Roman"/>
          <w:color w:val="2F2F45"/>
          <w:sz w:val="20"/>
        </w:rPr>
        <w:t xml:space="preserve"> </w:t>
      </w:r>
    </w:p>
    <w:p>
      <w:pPr>
        <w:pStyle w:val="HorizontalLine"/>
        <w:pBdr>
          <w:bottom w:val="double" w:sz="2" w:space="0" w:color="808080"/>
        </w:pBdr>
        <w:bidi w:val="0"/>
        <w:spacing w:before="0" w:after="283"/>
        <w:jc w:val="left"/>
        <w:rPr/>
      </w:pPr>
      <w:r>
        <w:rPr/>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Calibri;sans-serif" w:hAnsi="Calibri;sans-serif"/>
          <w:b/>
          <w:color w:val="2F2F45"/>
          <w:sz w:val="24"/>
        </w:rPr>
      </w:pPr>
      <w:r>
        <w:rPr>
          <w:rFonts w:ascii="Calibri;sans-serif" w:hAnsi="Calibri;sans-serif"/>
          <w:b/>
          <w:color w:val="2F2F45"/>
          <w:sz w:val="24"/>
        </w:rPr>
        <w:t>Stock Repurchase Program</w:t>
      </w:r>
    </w:p>
    <w:p>
      <w:pPr>
        <w:pStyle w:val="TextBody"/>
        <w:bidi w:val="0"/>
        <w:spacing w:before="360" w:after="283"/>
        <w:jc w:val="both"/>
        <w:rPr>
          <w:rFonts w:ascii="Calibri;sans-serif" w:hAnsi="Calibri;sans-serif"/>
          <w:color w:val="2F2F45"/>
          <w:sz w:val="24"/>
        </w:rPr>
      </w:pPr>
      <w:r>
        <w:rPr>
          <w:rFonts w:ascii="Calibri;sans-serif" w:hAnsi="Calibri;sans-serif"/>
          <w:color w:val="2F2F45"/>
          <w:sz w:val="24"/>
        </w:rPr>
        <w:t>In the second quarter, the Company repurchased approximately 1.5 million shares at an average price of $8.12 per share. The repurchase activity left approximately $8 million available under the repurchase authorization at the end of the second quarter. This week, the Board of Directors authorized an additional $12 million under the share repurchase program which brings the total available under the plan to approximately $20 million.</w:t>
      </w:r>
    </w:p>
    <w:p>
      <w:pPr>
        <w:pStyle w:val="TextBody"/>
        <w:bidi w:val="0"/>
        <w:spacing w:before="360" w:after="283"/>
        <w:jc w:val="both"/>
        <w:rPr>
          <w:rFonts w:ascii="Calibri;sans-serif" w:hAnsi="Calibri;sans-serif"/>
          <w:b/>
          <w:color w:val="2F2F45"/>
          <w:sz w:val="24"/>
        </w:rPr>
      </w:pPr>
      <w:r>
        <w:rPr>
          <w:rFonts w:ascii="Calibri;sans-serif" w:hAnsi="Calibri;sans-serif"/>
          <w:b/>
          <w:color w:val="2F2F45"/>
          <w:sz w:val="24"/>
        </w:rPr>
        <w:t>Expanded Credit Agreement</w:t>
      </w:r>
    </w:p>
    <w:p>
      <w:pPr>
        <w:pStyle w:val="TextBody"/>
        <w:bidi w:val="0"/>
        <w:spacing w:before="360" w:after="283"/>
        <w:jc w:val="both"/>
        <w:rPr>
          <w:rFonts w:ascii="Times New Roman" w:hAnsi="Times New Roman"/>
          <w:sz w:val="20"/>
        </w:rPr>
      </w:pPr>
      <w:r>
        <w:rPr>
          <w:rFonts w:ascii="Calibri;sans-serif" w:hAnsi="Calibri;sans-serif"/>
          <w:color w:val="2F2F45"/>
          <w:sz w:val="24"/>
        </w:rPr>
        <w:t>On August 5, 2024, the Company announced an amended and restated credit agreement that increases the Company’s total borrowing capacity from $359 million to $500 million. The revised credit agreement extends maturities to August 1, 2028. JPMorgan Chase Bank, N.A., KeyBanc Capital Markets, Inc., and Texas Capital Bank served as joint lead arrangers and joint bookrunners.</w:t>
      </w:r>
      <w:r>
        <w:rPr>
          <w:rFonts w:ascii="Times New Roman" w:hAnsi="Times New Roman"/>
          <w:color w:val="302C45"/>
          <w:sz w:val="20"/>
        </w:rPr>
        <w:t xml:space="preserve"> </w:t>
      </w:r>
      <w:r>
        <w:rPr>
          <w:rFonts w:ascii="Calibri;sans-serif" w:hAnsi="Calibri;sans-serif"/>
          <w:color w:val="302C45"/>
          <w:sz w:val="24"/>
        </w:rPr>
        <w:t xml:space="preserve">The bank syndicate is composed of a diversified group of 14 lenders. </w:t>
      </w:r>
      <w:r>
        <w:rPr>
          <w:rFonts w:ascii="Calibri;sans-serif" w:hAnsi="Calibri;sans-serif"/>
          <w:color w:val="2F2F45"/>
          <w:sz w:val="24"/>
        </w:rPr>
        <w:t>The Company intends to use the loan proceeds to pay off the outstanding borrowings under its existing credit facilities and execute previously stated organic and inorganic growth initiatives.</w:t>
      </w:r>
      <w:r>
        <w:rPr>
          <w:rFonts w:ascii="Times New Roman" w:hAnsi="Times New Roman"/>
          <w:color w:val="2F2F45"/>
          <w:sz w:val="20"/>
        </w:rPr>
        <w:t xml:space="preserve"> </w:t>
      </w:r>
    </w:p>
    <w:p>
      <w:pPr>
        <w:pStyle w:val="TextBody"/>
        <w:bidi w:val="0"/>
        <w:spacing w:before="360" w:after="283"/>
        <w:jc w:val="both"/>
        <w:rPr>
          <w:rFonts w:ascii="Calibri;sans-serif" w:hAnsi="Calibri;sans-serif"/>
          <w:b/>
          <w:color w:val="2F2F45"/>
          <w:sz w:val="24"/>
        </w:rPr>
      </w:pPr>
      <w:r>
        <w:rPr>
          <w:rFonts w:ascii="Calibri;sans-serif" w:hAnsi="Calibri;sans-serif"/>
          <w:b/>
          <w:color w:val="2F2F45"/>
          <w:sz w:val="24"/>
        </w:rPr>
        <w:t>Declaration of Dividend</w:t>
      </w:r>
    </w:p>
    <w:p>
      <w:pPr>
        <w:pStyle w:val="TextBody"/>
        <w:bidi w:val="0"/>
        <w:spacing w:before="120" w:after="283"/>
        <w:jc w:val="left"/>
        <w:rPr>
          <w:rFonts w:ascii="Calibri;sans-serif" w:hAnsi="Calibri;sans-serif"/>
          <w:color w:val="2F2F45"/>
          <w:sz w:val="24"/>
        </w:rPr>
      </w:pPr>
      <w:r>
        <w:rPr>
          <w:rFonts w:ascii="Calibri;sans-serif" w:hAnsi="Calibri;sans-serif"/>
          <w:color w:val="2F2F45"/>
          <w:sz w:val="24"/>
        </w:rPr>
        <w:t>The Board of Directors of the Company has declared a quarterly cash dividend of $0.035 per share on Class A and Class B common stock, payable on September 20, 2024, to the holders of record as of the close of business on August 30, 2024.</w:t>
      </w:r>
    </w:p>
    <w:p>
      <w:pPr>
        <w:pStyle w:val="TextBody"/>
        <w:bidi w:val="0"/>
        <w:spacing w:before="360" w:after="283"/>
        <w:jc w:val="both"/>
        <w:rPr>
          <w:rFonts w:ascii="Calibri;sans-serif" w:hAnsi="Calibri;sans-serif"/>
          <w:b/>
          <w:color w:val="2F2F45"/>
          <w:sz w:val="24"/>
        </w:rPr>
      </w:pPr>
      <w:r>
        <w:rPr>
          <w:rFonts w:ascii="Calibri;sans-serif" w:hAnsi="Calibri;sans-serif"/>
          <w:b/>
          <w:color w:val="2F2F45"/>
          <w:sz w:val="24"/>
        </w:rPr>
        <w:t>Conference Call Details</w:t>
      </w:r>
    </w:p>
    <w:p>
      <w:pPr>
        <w:pStyle w:val="TextBody"/>
        <w:bidi w:val="0"/>
        <w:spacing w:before="120" w:after="283"/>
        <w:jc w:val="left"/>
        <w:rPr>
          <w:rFonts w:ascii="Calibri;sans-serif" w:hAnsi="Calibri;sans-serif"/>
          <w:color w:val="2F2F45"/>
          <w:sz w:val="24"/>
        </w:rPr>
      </w:pPr>
      <w:r>
        <w:rPr>
          <w:rFonts w:ascii="Calibri;sans-serif" w:hAnsi="Calibri;sans-serif"/>
          <w:color w:val="2F2F45"/>
          <w:sz w:val="24"/>
        </w:rPr>
        <w:t>The Company will host a conference call at 5:00 p.m. Eastern Time on Thursday, August 8, 2024. All participants must register prior to joining the event.</w:t>
      </w:r>
    </w:p>
    <w:p>
      <w:pPr>
        <w:pStyle w:val="TextBody"/>
        <w:bidi w:val="0"/>
        <w:jc w:val="left"/>
        <w:rPr/>
      </w:pPr>
      <w:r>
        <w:rPr/>
        <w:t> </w:t>
      </w:r>
    </w:p>
    <w:p>
      <w:pPr>
        <w:pStyle w:val="TextBody"/>
        <w:bidi w:val="0"/>
        <w:spacing w:before="0" w:after="0"/>
        <w:jc w:val="left"/>
        <w:rPr>
          <w:color w:val="2F2F45"/>
        </w:rPr>
      </w:pPr>
      <w:r>
        <w:rPr>
          <w:color w:val="2F2F45"/>
        </w:rPr>
        <w:t>•</w:t>
      </w:r>
    </w:p>
    <w:p>
      <w:pPr>
        <w:pStyle w:val="TextBody"/>
        <w:bidi w:val="0"/>
        <w:spacing w:before="0" w:after="0"/>
        <w:jc w:val="left"/>
        <w:rPr/>
      </w:pPr>
      <w:r>
        <w:rPr>
          <w:rFonts w:ascii="Calibri;sans-serif" w:hAnsi="Calibri;sans-serif"/>
          <w:color w:val="2F2F45"/>
          <w:sz w:val="24"/>
        </w:rPr>
        <w:t xml:space="preserve">To join and view the live webcast, please register </w:t>
      </w:r>
      <w:r>
        <w:rPr>
          <w:rFonts w:ascii="Calibri;sans-serif" w:hAnsi="Calibri;sans-serif"/>
          <w:sz w:val="24"/>
        </w:rPr>
        <w:t>here</w:t>
      </w:r>
      <w:r>
        <w:rPr>
          <w:rFonts w:ascii="Calibri;sans-serif" w:hAnsi="Calibri;sans-serif"/>
          <w:color w:val="2F2F45"/>
          <w:sz w:val="24"/>
        </w:rPr>
        <w:t>.</w:t>
      </w:r>
    </w:p>
    <w:p>
      <w:pPr>
        <w:pStyle w:val="TextBody"/>
        <w:bidi w:val="0"/>
        <w:spacing w:before="0" w:after="0"/>
        <w:jc w:val="left"/>
        <w:rPr>
          <w:color w:val="2F2F45"/>
        </w:rPr>
      </w:pPr>
      <w:r>
        <w:rPr>
          <w:color w:val="2F2F45"/>
        </w:rPr>
        <w:t>•</w:t>
      </w:r>
    </w:p>
    <w:p>
      <w:pPr>
        <w:pStyle w:val="TextBody"/>
        <w:bidi w:val="0"/>
        <w:jc w:val="left"/>
        <w:rPr/>
      </w:pPr>
      <w:r>
        <w:rPr>
          <w:rFonts w:ascii="Calibri;sans-serif" w:hAnsi="Calibri;sans-serif"/>
          <w:color w:val="2F2F45"/>
          <w:sz w:val="24"/>
        </w:rPr>
        <w:t>To join by telephone, please register</w:t>
      </w:r>
      <w:r>
        <w:rPr>
          <w:color w:val="302C45"/>
        </w:rPr>
        <w:t xml:space="preserve"> </w:t>
      </w:r>
      <w:r>
        <w:rPr>
          <w:rFonts w:ascii="Calibri;sans-serif" w:hAnsi="Calibri;sans-serif"/>
          <w:sz w:val="24"/>
        </w:rPr>
        <w:t>here</w:t>
      </w:r>
      <w:r>
        <w:rPr>
          <w:rFonts w:ascii="Calibri;sans-serif" w:hAnsi="Calibri;sans-serif"/>
          <w:color w:val="2F2F45"/>
          <w:sz w:val="24"/>
        </w:rPr>
        <w:t>.</w:t>
      </w:r>
    </w:p>
    <w:p>
      <w:pPr>
        <w:pStyle w:val="TextBody"/>
        <w:bidi w:val="0"/>
        <w:jc w:val="left"/>
        <w:rPr>
          <w:rFonts w:ascii="Times New Roman" w:hAnsi="Times New Roman"/>
          <w:sz w:val="20"/>
        </w:rPr>
      </w:pPr>
      <w:r>
        <w:rPr>
          <w:rFonts w:ascii="Calibri;sans-serif" w:hAnsi="Calibri;sans-serif"/>
          <w:color w:val="2F2F45"/>
          <w:sz w:val="24"/>
        </w:rPr>
        <w:t xml:space="preserve">For those unable to participate in the live event, a replay will be made available on P10’s investor relations page at </w:t>
      </w:r>
      <w:r>
        <w:rPr>
          <w:rFonts w:ascii="Calibri;sans-serif" w:hAnsi="Calibri;sans-serif"/>
          <w:sz w:val="24"/>
        </w:rPr>
        <w:t>www.p10alts.com</w:t>
      </w:r>
      <w:r>
        <w:rPr>
          <w:rFonts w:ascii="Calibri;sans-serif" w:hAnsi="Calibri;sans-serif"/>
          <w:color w:val="2F2F45"/>
          <w:sz w:val="24"/>
        </w:rPr>
        <w:t>.</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About P10</w:t>
      </w:r>
    </w:p>
    <w:p>
      <w:pPr>
        <w:pStyle w:val="TextBody"/>
        <w:bidi w:val="0"/>
        <w:spacing w:before="120" w:after="283"/>
        <w:jc w:val="left"/>
        <w:rPr>
          <w:rFonts w:ascii="Times New Roman" w:hAnsi="Times New Roman"/>
          <w:sz w:val="20"/>
        </w:rPr>
      </w:pPr>
      <w:r>
        <w:rPr>
          <w:rFonts w:ascii="Calibri;sans-serif" w:hAnsi="Calibri;sans-serif"/>
          <w:color w:val="302C45"/>
          <w:sz w:val="24"/>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2024, P10 has a global investor base of more than 3,700 investors across 50 states, 60 countries, and six continents, which includes some of the world’s largest pension funds, endowments, foundations, corporate pensions, and financial institutions. Visit</w:t>
      </w:r>
      <w:r>
        <w:rPr>
          <w:rFonts w:ascii="Times New Roman" w:hAnsi="Times New Roman"/>
          <w:color w:val="A86629"/>
          <w:sz w:val="20"/>
        </w:rPr>
        <w:t xml:space="preserve"> </w:t>
      </w:r>
      <w:r>
        <w:rPr>
          <w:rFonts w:ascii="Calibri;sans-serif" w:hAnsi="Calibri;sans-serif"/>
          <w:sz w:val="24"/>
        </w:rPr>
        <w:t>www.p10alts.com</w:t>
      </w:r>
      <w:r>
        <w:rPr>
          <w:rFonts w:ascii="Calibri;sans-serif" w:hAnsi="Calibri;sans-serif"/>
          <w:color w:val="302C45"/>
          <w:sz w:val="24"/>
        </w:rPr>
        <w:t>.</w:t>
      </w:r>
    </w:p>
    <w:p>
      <w:pPr>
        <w:pStyle w:val="HorizontalLine"/>
        <w:pBdr>
          <w:bottom w:val="double" w:sz="2" w:space="0" w:color="808080"/>
        </w:pBdr>
        <w:bidi w:val="0"/>
        <w:spacing w:before="0" w:after="283"/>
        <w:jc w:val="left"/>
        <w:rPr/>
      </w:pPr>
      <w:r>
        <w:rPr/>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Forward-Looking Statements</w:t>
      </w:r>
    </w:p>
    <w:p>
      <w:pPr>
        <w:pStyle w:val="TextBody"/>
        <w:bidi w:val="0"/>
        <w:spacing w:before="120" w:after="283"/>
        <w:jc w:val="left"/>
        <w:rPr>
          <w:rFonts w:ascii="Calibri;sans-serif" w:hAnsi="Calibri;sans-serif"/>
          <w:color w:val="302C45"/>
          <w:sz w:val="24"/>
        </w:rPr>
      </w:pPr>
      <w:r>
        <w:rPr>
          <w:rFonts w:ascii="Calibri;sans-serif" w:hAnsi="Calibri;sans-serif"/>
          <w:color w:val="302C45"/>
          <w:sz w:val="24"/>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assumptions relating to our operations, financial results, financial condition, business prospects and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2023, filed with the U.S. Securities and Exchange Commission (“SEC”) on March 13, 2024,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Use of Non-GAAP Financial Measures by P10</w:t>
      </w:r>
    </w:p>
    <w:p>
      <w:pPr>
        <w:pStyle w:val="TextBody"/>
        <w:bidi w:val="0"/>
        <w:spacing w:before="120" w:after="283"/>
        <w:jc w:val="left"/>
        <w:rPr>
          <w:rFonts w:ascii="Times New Roman" w:hAnsi="Times New Roman"/>
          <w:sz w:val="20"/>
        </w:rPr>
      </w:pPr>
      <w:r>
        <w:rPr>
          <w:rFonts w:ascii="Calibri;sans-serif" w:hAnsi="Calibri;sans-serif"/>
          <w:color w:val="302C45"/>
          <w:sz w:val="24"/>
        </w:rPr>
        <w:t>The non-GAAP financial measures contained in this press release (including, without limitation, Adjusted EBITDA, Adjusted EBITDA Margin, Fee-Related Revenue (“FRR”), Fee-Related Earnings (“FRE”), Fee-Related Earnings Margin, Adjusted Net Income (“ANI”), Fully Diluted ANI EPS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w:t>
      </w:r>
      <w:r>
        <w:rPr>
          <w:rFonts w:ascii="Times New Roman" w:hAnsi="Times New Roman"/>
          <w:color w:val="302C45"/>
          <w:sz w:val="20"/>
        </w:rPr>
        <w:t xml:space="preserve"> </w:t>
      </w:r>
    </w:p>
    <w:p>
      <w:pPr>
        <w:pStyle w:val="HorizontalLine"/>
        <w:pBdr>
          <w:bottom w:val="double" w:sz="2" w:space="0" w:color="808080"/>
        </w:pBdr>
        <w:bidi w:val="0"/>
        <w:spacing w:before="0" w:after="283"/>
        <w:jc w:val="left"/>
        <w:rPr/>
      </w:pPr>
      <w:r>
        <w:rPr/>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i;sans-serif" w:hAnsi="Calibri;sans-serif"/>
          <w:color w:val="302C45"/>
          <w:sz w:val="24"/>
        </w:rPr>
      </w:pPr>
      <w:r>
        <w:rPr>
          <w:rFonts w:ascii="Calibri;sans-serif" w:hAnsi="Calibri;sans-serif"/>
          <w:color w:val="302C45"/>
          <w:sz w:val="24"/>
        </w:rPr>
        <w:t>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Key Financial &amp; Operating Metrics</w:t>
      </w:r>
    </w:p>
    <w:p>
      <w:pPr>
        <w:pStyle w:val="TextBody"/>
        <w:bidi w:val="0"/>
        <w:spacing w:before="120" w:after="283"/>
        <w:jc w:val="left"/>
        <w:rPr>
          <w:rFonts w:ascii="Calibri;sans-serif" w:hAnsi="Calibri;sans-serif"/>
          <w:color w:val="302C45"/>
          <w:sz w:val="24"/>
        </w:rPr>
      </w:pPr>
      <w:r>
        <w:rPr>
          <w:rFonts w:ascii="Calibri;sans-serif" w:hAnsi="Calibri;sans-serif"/>
          <w:color w:val="302C45"/>
          <w:sz w:val="24"/>
        </w:rPr>
        <w:t>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pStyle w:val="TextBody"/>
        <w:bidi w:val="0"/>
        <w:spacing w:before="360" w:after="283"/>
        <w:jc w:val="left"/>
        <w:rPr>
          <w:rFonts w:ascii="Calibri;sans-serif" w:hAnsi="Calibri;sans-serif"/>
          <w:b/>
          <w:color w:val="2F2F45"/>
          <w:sz w:val="24"/>
        </w:rPr>
      </w:pPr>
      <w:r>
        <w:rPr>
          <w:rFonts w:ascii="Calibri;sans-serif" w:hAnsi="Calibri;sans-serif"/>
          <w:b/>
          <w:color w:val="2F2F45"/>
          <w:sz w:val="24"/>
        </w:rPr>
        <w:t>Ownership Limitations</w:t>
      </w:r>
    </w:p>
    <w:p>
      <w:pPr>
        <w:pStyle w:val="TextBody"/>
        <w:bidi w:val="0"/>
        <w:spacing w:before="120" w:after="283"/>
        <w:jc w:val="left"/>
        <w:rPr>
          <w:rFonts w:ascii="Times New Roman" w:hAnsi="Times New Roman"/>
          <w:sz w:val="20"/>
        </w:rPr>
      </w:pPr>
      <w:r>
        <w:rPr>
          <w:rFonts w:ascii="Calibri;sans-serif" w:hAnsi="Calibri;sans-serif"/>
          <w:color w:val="302C45"/>
          <w:sz w:val="24"/>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r>
        <w:rPr>
          <w:rFonts w:ascii="Times New Roman" w:hAnsi="Times New Roman"/>
          <w:color w:val="302C45"/>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Calibri;sans-serif" w:hAnsi="Calibri;sans-serif"/>
          <w:b/>
          <w:color w:val="2F2F45"/>
          <w:sz w:val="24"/>
        </w:rPr>
        <w:t>P10 Investor Contact:</w:t>
      </w:r>
      <w:r>
        <w:rPr>
          <w:rFonts w:ascii="Calibri;sans-serif" w:hAnsi="Calibri;sans-serif"/>
          <w:color w:val="2F2F45"/>
          <w:sz w:val="24"/>
        </w:rPr>
        <w:br/>
      </w:r>
      <w:r>
        <w:rPr>
          <w:rFonts w:ascii="Calibri;sans-serif" w:hAnsi="Calibri;sans-serif"/>
          <w:color w:val="0563C1"/>
          <w:sz w:val="24"/>
        </w:rPr>
        <w:t>info@p10alts.com</w:t>
      </w:r>
    </w:p>
    <w:p>
      <w:pPr>
        <w:pStyle w:val="TextBody"/>
        <w:bidi w:val="0"/>
        <w:jc w:val="left"/>
        <w:rPr>
          <w:rFonts w:ascii="Times New Roman" w:hAnsi="Times New Roman"/>
          <w:sz w:val="20"/>
        </w:rPr>
      </w:pPr>
      <w:r>
        <w:rPr>
          <w:rFonts w:ascii="Calibri;sans-serif" w:hAnsi="Calibri;sans-serif"/>
          <w:b/>
          <w:color w:val="2F2F45"/>
          <w:sz w:val="24"/>
        </w:rPr>
        <w:t>P10 Media Contact:</w:t>
      </w:r>
      <w:r>
        <w:rPr>
          <w:rFonts w:ascii="Calibri;sans-serif" w:hAnsi="Calibri;sans-serif"/>
          <w:color w:val="2F2F45"/>
          <w:sz w:val="24"/>
        </w:rPr>
        <w:br/>
        <w:t>Taylor Donahue</w:t>
        <w:br/>
      </w:r>
      <w:r>
        <w:rPr>
          <w:rFonts w:ascii="Calibri;sans-serif" w:hAnsi="Calibri;sans-serif"/>
          <w:color w:val="0563C1"/>
          <w:sz w:val="24"/>
        </w:rPr>
        <w:t>tdonahue@prosek.com</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2F2F45"/>
          <w:sz w:val="24"/>
        </w:rPr>
        <w:t>Reconciliation of Non-GAAP Financial Measures</w:t>
      </w:r>
      <w:r>
        <w:rPr>
          <w:rFonts w:ascii="Times New Roman" w:hAnsi="Times New Roman"/>
          <w:color w:val="2F2F45"/>
          <w:sz w:val="20"/>
        </w:rPr>
        <w:t xml:space="preserve"> </w:t>
      </w:r>
    </w:p>
    <w:p>
      <w:pPr>
        <w:pStyle w:val="TextBody"/>
        <w:bidi w:val="0"/>
        <w:jc w:val="center"/>
        <w:rPr/>
      </w:pPr>
      <w:r>
        <w:rPr/>
        <w:drawing>
          <wp:inline distT="0" distB="0" distL="0" distR="0">
            <wp:extent cx="6276975" cy="4143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76975" cy="4143375"/>
                    </a:xfrm>
                    <a:prstGeom prst="rect">
                      <a:avLst/>
                    </a:prstGeom>
                  </pic:spPr>
                </pic:pic>
              </a:graphicData>
            </a:graphic>
          </wp:inline>
        </w:drawing>
      </w:r>
      <w:r>
        <w:rPr/>
        <w:t> </w:t>
      </w:r>
    </w:p>
    <w:p>
      <w:pPr>
        <w:pStyle w:val="TextBody"/>
        <w:bidi w:val="0"/>
        <w:jc w:val="left"/>
        <w:rPr>
          <w:rFonts w:ascii="Times New Roman" w:hAnsi="Times New Roman"/>
          <w:sz w:val="20"/>
        </w:rPr>
      </w:pPr>
      <w:r>
        <w:rPr>
          <w:rFonts w:ascii="Calibri;sans-serif" w:hAnsi="Calibri;sans-serif"/>
          <w:color w:val="302C45"/>
          <w:sz w:val="11"/>
        </w:rPr>
        <w:t>(1)</w:t>
      </w:r>
      <w:r>
        <w:rPr>
          <w:rFonts w:ascii="Times New Roman" w:hAnsi="Times New Roman"/>
          <w:color w:val="302C45"/>
          <w:sz w:val="20"/>
        </w:rPr>
        <w:t xml:space="preserve"> </w:t>
      </w:r>
      <w:r>
        <w:rPr>
          <w:rFonts w:ascii="Calibri;sans-serif" w:hAnsi="Calibri;sans-serif"/>
          <w:color w:val="302C45"/>
          <w:sz w:val="16"/>
        </w:rPr>
        <w:t>Fully Diluted ANI EPS calculations include the total of all common shares, stock options under the treasury stock method, restricted stock awards, and the redeemable non-controlling interests of P10 Intermediate converted to Class A stock as of each period presented.</w:t>
      </w:r>
    </w:p>
    <w:p>
      <w:pPr>
        <w:pStyle w:val="TextBody"/>
        <w:bidi w:val="0"/>
        <w:jc w:val="center"/>
        <w:rPr/>
      </w:pPr>
      <w:r>
        <w:rPr/>
        <w:t> </w:t>
      </w:r>
    </w:p>
    <w:p>
      <w:pPr>
        <w:pStyle w:val="TextBody"/>
        <w:bidi w:val="0"/>
        <w:jc w:val="center"/>
        <w:rPr>
          <w:rFonts w:ascii="Calibri;sans-serif" w:hAnsi="Calibri;sans-serif"/>
          <w:b/>
          <w:color w:val="2F2F45"/>
          <w:sz w:val="24"/>
        </w:rPr>
      </w:pPr>
      <w:r>
        <w:rPr>
          <w:rFonts w:ascii="Calibri;sans-serif" w:hAnsi="Calibri;sans-serif"/>
          <w:b/>
          <w:color w:val="2F2F45"/>
          <w:sz w:val="24"/>
        </w:rPr>
        <w:t>Notes to Reconciliation of Non-GAAP Financial Measures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bidi w:val="0"/>
        <w:jc w:val="left"/>
        <w:rPr>
          <w:rFonts w:ascii="Calibri;sans-serif" w:hAnsi="Calibri;sans-serif"/>
          <w:color w:val="000000"/>
          <w:sz w:val="24"/>
        </w:rPr>
      </w:pPr>
      <w:r>
        <w:rPr>
          <w:rFonts w:ascii="Calibri;sans-serif" w:hAnsi="Calibri;sans-serif"/>
          <w:color w:val="000000"/>
          <w:sz w:val="24"/>
        </w:rPr>
        <w:t>We use Adjusted Net Income, or ANI, as well as Adjusted EBITDA (Earnings Before Interest, Taxes, Depreciation and Amortization), Adjusted EBITDA Margin, Fee-Related Revenues,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In order to compute Adjusted EBITDA, we adjust our GAAP Net Income for the following items: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Expenses that typically do not require us to pay them in cash in the current period (such as depreciation, amortization and stock-based compensation);</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The cost of financing our business;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One-time expenses related to restructuring of the management team including placement/search fees;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4"/>
        </w:rPr>
      </w:pPr>
      <w:r>
        <w:rPr>
          <w:rFonts w:ascii="Calibri;sans-serif" w:hAnsi="Calibri;sans-serif"/>
          <w:color w:val="000000"/>
          <w:sz w:val="24"/>
        </w:rPr>
        <w:t>The effects of income taxes.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Fee-Related Revenues is calculated as Total Revenues less any incentive fees.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Fee-Related Earnings is a non-GAAP performance measure used to monitor our baseline earnings less any incentive fee revenue and excluding any incentive fee-related expenses.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Fee-Related Earnings Margin is calculated as Fee-Related Earnings divided by Fee-Related Revenues.</w:t>
      </w:r>
    </w:p>
    <w:p>
      <w:pPr>
        <w:pStyle w:val="TextBody"/>
        <w:bidi w:val="0"/>
        <w:jc w:val="left"/>
        <w:rPr>
          <w:rFonts w:ascii="Times New Roman" w:hAnsi="Times New Roman"/>
          <w:sz w:val="20"/>
        </w:rPr>
      </w:pPr>
      <w:r>
        <w:rPr>
          <w:rFonts w:ascii="Calibri;sans-serif" w:hAnsi="Calibri;sans-serif"/>
          <w:color w:val="000000"/>
          <w:sz w:val="24"/>
        </w:rPr>
        <w:t>Adjusted Net Income reflects net cash paid for federal and state income taxes and cash 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Adjusted EBITDA Margin is calculated as Adjusted EBITDA divided by total GAAP revenues. We use Adjusted EBITDA Margin to provide an additional measure of profitability.</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6" w:name="px-ex99_2.htm"/>
      <w:bookmarkStart w:id="7" w:name="kspxex99_2"/>
      <w:bookmarkEnd w:id="6"/>
      <w:bookmarkEnd w:id="7"/>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2024 Results Earnings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IMPORTANT NOTICES The inclusion of references to P10, Inc. (“P10” or the “Company”) in this presentation is for information purposes only as the holding company of various subsidiaries. P10 does not offer investment advisory services and this presentation is neither an offer of any investment products nor an offer of advisory services by P10. By accepting this presentation, you acknowledge that P10 is not offering investment advisory services. All investment advisory services referenced in this presentation are provided by subsidiaries of P10 which are registered as investment advisers with the U.S. Securities and Exchange Commission (“SEC”).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Nothing herein is intended to provide tax, legal or investment advice. Caution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2023, filed with the SEC on March 13, 2024,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Caution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Fee-Paying Assets Under Management, or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Use of Non-GAAP Financial Measures by P10, Inc. The non-GAAP financial measures contained in this presentation (including, without limitation, Adjusted EBITDA, Adjusted EBITDA Margin, Fee-Related Revenue (“FRR”), Fee-Related Earnings (“FRE”), Fee-Related Earnings Margin, Adjusted Net Income (“ANI”), Fully Diluted ANI EPS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Presenters Amanda Coussens EVP, CFO &amp; CCO Mark Hood EVP &amp; CAO Luke Sarsfield CEO &amp; Director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2024 Financial Highlights Strong organic growth drives durable earnings power Fee paying assets under management (FPAUM) were $23.8Bn, an increase of 8% compared to June 30, 2023. In the quarter, $844MM of fundraising and capital deployment was offset by $855MM in stepdowns and expirations.1 Notes: For the trailing twelve months, expirations and stepdowns totaled $1.4Bn. In the first half of 2024, expirations and stepdowns totaled approximately $900MM. For the full year 2024 we expect approximately $1.5Bn in stepdowns and expirations. Adjusted EBITDA, Adjusted EBITDA Margin, Adjusted Net Income, Fee-Related Revenue, Fee-Related Earnings and Fee-Related Earnings Margin are non-GAAP financial measures. Please refer to the Non-GAAP Financial Measures slide for a reconciliation of non-GAAP to GAAP measures. Fully Diluted ANI EPS calculations include the total of all common shares, stock options under the treasury stock method, and the redeemable non-controlling interests of P10 Intermediate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2024 Highlights Fee paying assets under management (FPAUM) were $23.8Bn, an increase of $1.6Bn, or 8%, when compared to June 30, 2023 actuals. Year-over-year quarterly revenue growth of 14% was driven by $844MM of fundraising and deployment. Catch-up fees were $6.0MM in the second quarter of 2024. On August 8, 2024, we declared a quarterly cash dividend of $0.035 per share for Class A and Class B stock, payable on September 20, 2024, for holders as of the close of business on August 30, 2024. On August 1, 2024, we increased our total borrowing capacity from our credit facilities from $359MM to $500MM. In Q2, we made a net repayment of $11.1MM on the revolver. After the end of the quarter, the increase in the credit facilities was used to repay the existing debt principal balance of $302.7MM on the balance sheet as of June 30, 2024. As of today, we have $325.0MM in outstanding debt, $325.0MM on the term portion of the loan, and no balance on the revolver. There is $175.0MM available on the credit facilities. 1,533,800 shares were repurchased in the quarter at an average per share price of $8.12. We ended the quarter with approximately $8MM remaining on the repurchase authorization. After the quarter, the Board of Directors approved an additional $12MM, bringing the total available to repurchase to approximately $20MM. On June 30, 2024, Class A shares outstanding were 53,471,354 and Class B shares outstanding were 58,207,544. Key ?Business?Drivers Capital Markets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2024 and Post-Second Quarter 2024 Highlights Corporate Governance April 22, 2024, appointed Tracey Benford to the Board of Directors as an independent Class II director. Ms. Benford will serve on the Company’s Audit Committee, Compensation Committee, and Nominating and Corporate Governance Committee. Subsequent to her appointment as Director, she was appointed Lead Independent Director. June 14, 2024, held Annual Meeting of Stockholders. At the meeting, Three Class III Directors were elected to serve on the Board until the 2027 annual meeting of stockholders and until their successors are duly elected and qualified (Proposal1); An amendment to the P10, Inc. 2021 Incentive Plan to increase the number of shares issuable under the Plan by 11,000,000 shares was approved (Proposal 2); and Stockholders ratified the appointment of KPMG LLP as the Company’s independent registered public accounting firm to audit the Company’s financial statements for the fiscal year ending December 31, 2024 (Proposal 3). July 31, 2024, the company named Sarita Narson Jairath as its EVP and Global Head of Client Solutions, effective September 16, 2024. In her role, Ms. Jairath will oversee the strategy and execution of P10’s organic growth opportunities by deepening and expanding global client relationships, developing new products, and augmenting the market positioning of P10 and its affiliated managers.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Preeminent investment teams with a superior track record across portfolio solutions1 Fund Vintage Fund Size ($M) Called Capital Net IRR Net ROIC Fund-of-Funds (Fund size as of 6/30/24, performance as of 3/31/24) Fund I 2003 $92 105% 13.6% 1.8x Fund II 2005 $140 109% 8.1% 1.5x Fund III 2006 $225 107% 6.7% 1.4x Fund IV 2007 $265 110% 14.4% 2.0x Fund V 2008 $355 121% 13.4% 1.7x Fund VI 2009 $285 114% 15.5% 2.0x Fund VII 2011 $300 114% 16.2% 2.0x Fund VIII 2012 $268 115% 20.0% 2.3x Fund IX 2014 $350 114% 17.1% 2.0x Fund X 2015 $332 114% 17.3% 1.9x SEF 2017 $104 103% 23.2% 2.0x Fund XI 2017 $315 106% 17.3% 1.7x Fund XII 2018 $382 109% 17.0% 1.6x Fund XIII 2019 $397 98% 15.2% 1.4x Fund XIV 2020 $394 82% 11.5% 1.2x SEF II 2020 $123 62% 11.7% 1.2x SEF III 2023 $123 3% - - Fund XV 2021 $435 72% 11.3% 1.2x Fund XVI 2022 $433 35% - - Fund XVII 2022 $334 8% - - Fund XVIII 2023 $285 1% - - Fund XIX 2024 $37 - - - Secondary Funds (Fund size as of 6/30/24, performance as of 3/31/24) SOF I 2009 $264 111% 21.1% 1.7x SOF II 2013 $425 111% 10.2% 1.3x SOF III 2018 $400 102% 33.7% 1.8x SOF III Overage 2020 $87 90% 28.6% 1.7x SOF IV 2021 $797 50% 21.0% 1.3x Co-Investment Funds (Fund size as of 6/30/24, performance as of 3/31/24) Direct I 2010 $109 83% 42.7% 2.9x Direct II 2014 $250 89% 25.7% 2.5x Direct III 2018 $385 94% 19.8% 1.8x Direct IV 2021 $645 66% 14.3% 1.2x Combination Funds (Fund size as of 6/30/24, performance as of 3/31/24) Multi-Strat I 2022 $301 47% - - Multi-Strat II 2023 $311 23% - - Fund Vintage Fund Size ($M) Called Capital Net IRR Net ROIC Fund-of-Funds (Fund size as of 6/30/24, performance as of 3/31/24) Fund I 2007 $311 93% 13.1% 2.9x Fund II 2010 $342 83% 20.2% 5.0x Fund III 2013 $409 92% 17.1% 3.2x Fund IV 2015 $408 91% 25.7% 3.4x Fund V 2017 $460 90% 23.7% 2.3x Fund VI 2019 $611 101% 9.4% 1.3x Fund VII 2021 $769 52% – – Fund VIII 2023 $883 6% – – Seed &amp; Micro I 2019 $174 81% 9.3% 1.2x Seed &amp; Micro II 2022 $195 29% – – Blockchain I 2022 $63 42% – – Secondary Funds (Fund size as of 6/30/24, performance as of 3/31/24) Secondaries I 2022 $230 24% - - Co-Investment Funds (Fund size as of 6/30/24, performance as of 3/31/24) Direct Fund I 2015 $125 97% 31.3% 2.9x Direct Fund II 2019 $196 101% 9.4% 1.3x Direct Fund III 2021 $253 44% – – Notes: See performance disclosure notes at the back of this presentation. Fund Vintage Fund Size ($M) Called Capital Net IRR Net ROIC GP Stakes Funds (Fund size as of 6/30/24, performance as of 3/31/24) Fund I 2019 $724 77% 15.4% 1.4x Fund II 2022 $890 34% - - Co-invest 2022 $56 60%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Fund Vintage Fund Size ($M) Called Capital Net IRR Net ROIC NAV Lending Funds (Fund size as of 6/30/24, performance as of 3/31/24) Fund I 2013 $106 119% 11.0% 1.3x Fund II 2017 $202 75% 11.4% 1.6x Fund III 2021 $400 77% 12.3% 1.2x Fund IV 2022 $645 44% - - Fund Vintage Fund Size ($M) Called Capital Net IRR Net ROIC Credit Funds (Fund size as of 6/30/24, performance as of 3/31/24) VLL I 1994 $47 100% 63.3% 5.9x VLL II 1997 $110 100% 61.4% 2.7x VLL III 2000 $217 75% 4.3% 1.2x VLL IV 2004 $250 100% 15.9% 2.2x VLL V 2007 $270 75% 9.7% 1.7x VLL VI 2010 $294 95% 13.9% 2.0x VLL VII 2012 $375 100% 11.3% 1.7x VLL VIII 2015 $424 98% 8.9% 1.4x VLL IX 2018 $460 100% 10.9% 1.4x WTI X 2021 $500 75% 10.6% 1.1x WTI XI 2024 $322 8% - - Performance Summary (continued) Preeminent investment teams with a superior track record across portfolio solutions1 Fund Vintage Fund Size ($M) Called Capital Net IRR Net ROIC Equity Funds (Fund size as of 6/30/24, performance as of 3/31/24) Fund I 1998 $101 100% 12.7% 2.1x Fund II 2007 $152 100% 12.5% 1.8x Fund III 2013 $230 94% 25.3% 2.6x Fund IV 2019 $230 84% 2.5% 1.1x Credit Funds (Fund size as of 6/30/24, performance as of 3/31/24) Fund I 2006 $162 100% 12.2% 2.0x Fund II 2011 $227 99% 8.6% 1.7x Fund III 2016 $289 74% 25.7% 2.9x Fund IV 2022 $357 50% – – Notes: 1. See performance disclosure notes at the back of this presentation. Fund Vintage Fund Size ($M) Called Capital Net IRR Net ROIC Private Credit (Fund size as of 6/30/24, performance as of 3/31/24) Small Business Lending 2012 $225 100% 6.1% 1.5x Project Finance 2017 $136 100% 8.5% 1.2x Project Finance, Small 2021 $445 100% 11.9% 1.2x Private Credit – Concessionary (Fund size as of 6/30/24, performance as of 3/31/24) Proprietary Capital Vehicles 2002 $542 N/A 4.7% 1.1x Tax Credits (Fund size as of 6/30/24, performance as of 3/31/24) Project Finance – Tax Credit N/A $621 N/A 20%+ 1.2x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 Positioned in Attractive, Specialized, and Growing Markets Lower Middle Market Benefits Large Pool of Opportunities Limited Alternatives for Capital Operational Value Add Inefficient Sourcing Favorable Purchase Price Valuations Multiple Arbitrage Exit Flexibility Favorable LP/GP Alignment of Incentives Capital Available by ?Fund Size1 Universe of Companies by Revenue Size2 Notes: Source: PitchBook and S&amp;P Capital IQ. 1. PitchBook: Capital available to invest by fund size represents U.S. private equity overhang for vintage years 2016-2023. U.S. PE Funds: includes buyout, growth, co-investment, mezzanine, diversified PE, energy, and restructuring. As of 3/31/23. S&amp;P Capital IQ: Commercially-active businesses in the U.S. All subsidiary and business establishment data are combined. Additionally, public sector entities are excluded. As of 1/29/24. Sources: PitchBook Data, Inc.: PitchBook is an independent and impartial research firm dedicated to providing premium data, news and analysis to the venture capital and private equity industries. As a specialty-focused information resource, PitchBook has the ability to meticulously collect, organize and analyze hard-to-find private equity deal data. Pitchbook has over 220,000 web crawlers to capture relevant information from numerous sources—including filings, press releases, websites and more. S&amp;P Capital IQ is a multinational financial information provider headquartered in New York City, United States, and a division of S&amp;P Global. S&amp;P Capital IQ was formed in 2010 from offerings previously provided by Capital IQ, elements of S&amp;P including Global Credit Portal and MarketScope Advisor, enterprise solutions such as S&amp;P Securities Evaluations and Compustat, research offerings including Leveraged Commentary &amp; Data, Global Markets Intelligence, and company and fund research. 7% 93% 85% 15% $774Bn ?of capital available ?to PE Funds over $1Bn $141Bn of capital available to Funds ? between ?$250MM? to ?$1Bn 8,740?companies? w/revenues &gt;$250MM 111,371?companies ?w/revenues between ?$10MM and $250MM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Distinct Market Access, Deal Flow, and Data Analytics to Navigate Private Markets Unique and extensive proprietary analytics database | Data capabilities are a competitive differentiator 5.6K+ Investment ?Firms 10.2K+ Investment ?Funds 47K+ Individual?Transactions 31K+ Private ?Companies 317K+ Financial Metrics Overview A competitive edge for systematic sourcing, diligence, and monitoring processes enables more informed investment decisions. 20+ years of granular data and analytics at the underlying manager, fund, and portfolio company levels for robust analysis. Data-driven Underwriting Unique analytical tools support due diligence and evaluation. Ongoing monitoring of a variety of private transactional and operating metrics. Proprietary benchmarking at the company level. Coordinated Sourcing Coordinated sourcing efforts within a process-driven approach to ensure dialogue with GPs in the ecosystem. Annual grading system based on deeply informed qualitative and quantitative analysis. Extensive Data Collection: Powerful Database and Business Intelligence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Diversified, Multi-Asset Investment Platform and Investor Base Differentiated investor base combined with institutional and international distribution Investor Base Regions FPAUM Investor Base ?by Channel 50 States 60 Countries 6 Continents Notes: 1. Reflects FPAUM percentage by investor committed capital, excluding GP commitments, to currently active funds across RCP Advisors, TrueBridge, Five Points, Enhanced, Bonaccord, Hark, and WTI. 2. Includes sovereign wealth funds, consultant-based relationships, and other foreign institutional investors. Investor Base by Channel1 (As of Q2’24) ● Family Offices / Wealth Managers (25%) ● Public Pensions (21%) ● Financial Institutions (16%) ● Endowments / Foundations (19%) ● Corporate Pensions (9%) ● Insurance Companies (6%) ● Other (4%)2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15% CAGR ORGANIC FPAUM GROWTH1 ($Bn) 24% 4% 30% Quarterly average fee rates show the basis points attributable to base management fees and catch-up fees3. AVERAGE FEE RATE2 (Bps) Average Q2’24 Actual Fee Rate: 115bps Notes: Organic FPAUM is calculated on a pro forma basis assuming the acquisitions of WTI, Five Points, TrueBridge, Enhanced, Bonaccord, and Hark were completed as of January 1, 2018. The average fee rates shown in the graph are calculated as actual average FPAUM as a quotient of actual revenue.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Q1’24 organic FPAUM growth is the pro forma FPAUM growth from Q1’23 to Q1’24. Q2’24 organic FPAUM growth is the pro forma FPAUM growth from Q2’23 to Q2’24. Note: “PF” refers to calculations made on a pro forma basis. “A” refers to calculations made on an actual basis. 113 21.9 104 22.4 109 23.0 11% 10% 10% 110 23.6 8% 115 23.8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Organic Fee Paying AUM Growth Model1 Long-term, contractually locked-up funds ensure highly sticky FPAUM base BREAKDOWN OF FPAUM FLOWS Increase/Decrease Impact Description Increase/Decrease Impact Description Represents new commitments to funds that earn fees on a committed capital fee base. Contractual reduction in fee-base timing known at outset of vehicle launch. Most vehicles do not change ?the charging basis from committed ?to invested capital upon stepdown. In certain vehicles, fees are based on ?capital deployed, as such increasing ?FPAUM. Decreases in FPAUM due to fund expirations. NAV change consists primarily of the impact of market value appreciation (depreciation) from vehicles that earn fees on a NAV basis. Capital Raised Capital Deployed NAV Change2 Scheduled Fee Base Stepdowns3 Fee Period Expirations3 Notes: Organic FPAUM on a pro forma basis assumes the acquisitions of WTI, Enhanced, TrueBridge, Bonaccord and Hark were completed as of January 1, 2020. NAV change impact on P10’s overall FPAUM is de minimis. For simplicity, the NAV change impact on FPAUM is grouped with the Stepdown and Expiration amounts. Decreases in FPAUM from fee based stepdowns and expirations are combined with NAV changes in the above graph. For the trailing twelve months, expirations and stepdowns totaled $1.4Bn. In the first half of 2024, expirations and stepdowns totaled approximately $900MM. For the full year 2024 we expect approximately $1.5Bn in stepdowns and expirations. Quarterly FPAUM Roll Forward Annual FPAUM Roll Forward Expirations Expirations Expirations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markets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Global LP base of 3,700+ ?Institutional and HNW Investors. Proprietary database and analytics platform supported by 100+ seasoned professionals. Unified private markets solutions network ?of 270+ GPs driving sourcing. Limited Partners (LPs) Public Pensions Family Offices High Net Worth Wealth Managers Endowments &amp; Foundations Corporate Pensions Financial Institutions Sovereign Wealth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Comprehensive suite of private market vehicles1 Primary Solutions Direct and Co-Investments Secondary Investments Asset ?Classes Private Equity Venture Capital Private Equity Venture Capital Private Credit Impact Investing Private Equity Venture Capital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Provides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FPAUM2 $13.4Bn $8.8Bn $1.6Bn Notes: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June 30,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AUM Across Diversified Vehicles Multi-asset investment platform with strong organic growth Diversified Base and Growth Across Vehicles  KEY METRICS FPAUM Composition (As of Q2’24) Primary Solutions Direct &amp; Co-Investments Secondary Investments $13.4Bn FPAUM as of Q2’24 15% Organic FPAUM CAGR?Q4’20 PF – Q2’24 $8.8Bn FPAUM as of Q2’24 15% Organic FPAUM CAGR?Q4’20 PF – Q2’24 $1.6Bn FPAUM as of Q2’24 20% Organic FPAUM CAGR?Q4’20 PF – Q2’24 FPAUM Composition (As of Q2’24) ● Primary Solutions 56% ● Direct &amp; Co-Investments 37% ● Secondary Investments 7% ● Primary Solutions 55% ● Direct &amp; Co-Investments 37% ● Secondary Investments 8% Notes: Organic FPAUM on a pro forma basis assumes the acquisitions of WTI, Bonaccord, and Hark were completed as of December 31,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Operations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Adjustments to EBITDA (unaudited) Notes: Compensation and benefits, excluding all non-cash stock based compensation. Includes the accrual of the earnout related to the WTI acquisition. Non-cash stock based compensation including acquisition related RSUs and option expense granted in connection with the Hark, Bonaccord, and WTI acquisitions. Professional fees, inclusive of one-time and acquisition related items. Valuation adjustment of the earnout due to Abrdn related to the Bonaccord 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Adjusted EBITDA Margin, Fee-Related Revenues,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Adjusted EBITDA, less actual cash paid for interest and federal and state income taxes. In order to compute Adjusted EBITDA, we adjust our GAAP Net Income for the following items: Expenses that typically do not require us to pay them in cash in the current period (such as depreciation, amortization and stock-based compensation); The cost of financing our business; One-time expenses related to restructuring of the management team including placement/search fees;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 The effects of income taxes. Fee-Related Revenues is calculated as Total Revenues less any incentive fees. Fee-Related Earnings is a non-GAAP performance measure used to monitor our baseline earnings less any incentive fee revenue and excluding any incentive fee-related expenses. Fee-Related Earnings Margin is calculated as Fee-Related Earnings divided by Fee-Related Revenues. Adjusted Net Income reflects net cash paid for federal and state income taxes and cash interest expense. Adjusted EBITDA Margin is calculated as Adjusted EBITDA divided by total GAAP revenues. We use Adjusted EBITDA Margin to provide an additional measure of profitability. (1) Fully Diluted ANI EPS calculations include the total of all common shares, stock options under the treasury stock method, restricted stock awards, and the redeemable non-controlling interests of P10 Intermediate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Cash Flows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Tax Assets Combination of intangible assets, goodwill, and NOLs generating sustained, long-term tax benefits Tax Assets $474MM COMMENTARY Long-Term Tax Benefits  $124MM Federal NOLs $350MM Goodwill &amp; Intangibles Remaining Tax Amortization1 Tax Assets Notes: Goodwill and intangibles remaining tax amortization is the goodwill and intangibles balance net of tax amortization deducted from inception through June 30, 2024. On a tax basis, the potential $70MM earnout attributable to the WTI acquisition will be included in goodwill &amp; intangibles when paid. Tax basis intangible assets and tax-deductible goodwill, which are more than half of our tax assets, are available to reduce federal income tax ratably over fifteen years. Currently, tax amortization relates to goodwill and intangibles acquired in tax years 2017 – 2022. Management plans to pursue disciplined growth through acquisitions, which creates a step-up in basis that will likely generate additional intangibles and goodwill amortization that provides an additional federal and state tax deduction over fifteen years. Federal NOLs are generally expected to be fully utilized before expiration.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Compelling Value Proposition Attractive investment thesis SUPERIOR TRACK RECORD  Attractive and growing revenue base with highly recurring and well diversified revenue and strong margins DEEP TALENT  Experienced management team with significant insider ownership, proven M&amp;A track record, and supported by a deep bench of investment talent MEANINGFUL PARTNERSHIPS  Premier, specialized private markets solutions provider operating in large and growing markets with increasing investor allocations UNRIVALED ACCESS  Highly recurring revenue composed almost entirely of management and advisory fees earned primarily on committed capital from long-term, contractually locked up funds DATA ADVANTAGE  Strong investment performance across private markets driven by experience, investment process, and data advantage supporting the ability to grow and attract future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Fully Diluted ANI EPS Fully diluted Adjusted Net Income Earnings Per Share is a calculation that assumes all the Company’s securities were converted into shares, not just shares that are currently outstanding. Fee-Related Revenues Fee-Related Revenues is calculated as Total Revenues less any incentive fees. Fee-Related Earnings Fee-Related Earnings is a non-GAAP performance measure used to monitor our baseline earnings less any incentive fee revenue and excluding any incentive fee-related expenses. Fee-Related Earnings Margin Fee-Related Earnings Margin is calculated as Fee-Related Earnings divided by Fee-Related Revenue. Net IRR Refers to Internal Rate of Return net of fees, carried interest and expenses charged by both the underlying fund managers and each of our solutions. Net ROIC Refers to return on invested capital net of fees and expenses charged by both the underlying fund managers and each of our solutions. Fund Size Refers to the total amount of capital committed by investors and, when applicable, the U.S. Small Business Administration to each fund disclosed. Called Capital Refers to the amount of capital provided from investors, expressed as a percent of the total fund size. PF Refers to “pro forma” and indicates a number that was adjusted from actual. A Refers to “actual” and indicates a number that is unadjusted.  Supplemental Share Information Class A shares (CUSIP # 69376K106) trade on the NYSE as PX and have one vote per share. Class B shares (CUSIP # 69376K205) are not tradeable in the open market and have ten votes per share. The Class B shares are convertible at any time at the option of the holder into Class A shares on a one-for-one basis, irrespective of whether or not the holder is planning to sell shares at that time. All previous shareholders of P10 Holdings, Inc. (OTC: PIOE) had their shares converted to Class B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Adjusted EBITDA In order to compute Adjusted EBITDA, we adjust our GAAP net income for the following items: Expenses that typically do not require us to pay them in cash in the current period (such as depreciation, amortization and stock-based compensation); The cost of financing our business; One-time expenses related to restructuring of the management team including placement/search fees;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Registration-related expenses includes professional services associated with our prospectus process incurred during the period, and does not reflect expected regulatory, compliance, and other costs associated with which may be incurred subsequent to our Initial Public Offering; and The effects of income taxes Adjusted EBITDA Margin Adjusted EBITDA Margin is calculated as Adjusted EBITDA divided by total GAAP revenues. We use Adjusted EBITDA Margin to provide an additional measure of profitability. Adjusted Net Income (ANI)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 and use the results of that assessment to adjust our future activities to the extent we deem necessary. ANI reflects an estimate of our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Performance Disclaimer The historical performance of our investments should not be considered as indicative of the future results of our investments or our operations or any returns expected on an investment in our Class A common stock. In considering the performance information contained in this prospectus, prospective Class A common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an investment in our Class A common stock. However, poor performance of our specialized investment vehicles could cause a decline in our ability to raise additional funds and could therefore have a negative effect on our performance and on returns on an investment in our Class A common stock. The historical performance of our funds should not be considered indicative of the future performance of these funds or of any future funds we may raise, in part because: market conditions and investment opportunities during previous periods may have been significantly more favorable for generating positive performance than those we may experience in the future; the performance of our funds is generally calculated on the basis of net asset value of the funds’ investments, including unrealized gains, which may never be realized; our historical returns derive largely from the performance of our earlier funds, whereas future fund returns will depend increasingly on the performance of our newer funds or funds not yet formed; our newly established funds typically generate lower returns during the period that they initially deploy their capital; 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the performance of particular funds also will be affected by risks of the industries and businesses in which they invest. Enhanced Capital Performance Disclosures: Performance information shown for deal activity from 05/06/02 through 3/31/24. All investments bear the risk of loss. Risks include non-payment of loans by borrowers and recapture of tax credits due to lack of following program compliance rules. Past performance is not indicative of future results. All statistics exclude “Outreach Deals” which are transactions that Enhanced executes for pure impact, without expectation of financial return. A list of these deals is available upon request. Small Business Lending Net Reflects limited partner returns after allocation of management fees, general fund expenses, investment expenses, income earned on cash and cash equivalents, any carried interest to the general partner, and any other fees and expenses. Limited partners’ IRRs may vary based on the dates of their admittance to the Fund. There can be no assurance that unrealized investments will be realized at the valuations used to calculate the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the general partner using the most recent valuation data provided by the portfolio companies.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Please note the Fund utilizes a subscription-based credit facility to bridge capital calls. Accordingly, many of the Fund's underlying investments may have been initially funded using a subscription line of credit. For purposes of the fund-level Net IRR calculations contained herein, the use of a subscription line of credit increases the IRR (in situations where the IRR is positive), as the IRR calculation takes into account the amount of time capital is outstanding and is based upon the capital call due date, rather than the date the Fund made the underlying investment with borrowed funds. Accordingly, the related delay of capital calls will increase the fund-level Net IRR reflected herein (in some cases, materially). All investments bear the risk of loss. Risks include non-payment of loans by borrowers. Past performance is not indicative of future results. Project Finance Net loan performance only includes loans and participations that Enhanced has sourced on behalf of its relationship with two entities since 10/19/2018., inception of the arrangement. Fee structure includes 50% split of origination fee, and 12.5% carried interest above 7% hurdle with an 100% carry catch up. This includes sourcing and participation relationships that did not involve Enhanced providing investment advice or any investment advisory services and as such were not part of Enhanced’s registered investment adviser business at the time the transactions were consummated. These relationships are included in the track record, however, as the subject transactions are representative of transactions that Enhanced would recommend to investment advisory clients. Excludes fund-level professional fees as these loans and participations were not within a fund structure with professional fees to offset the gross returns.. An investor’s return will be reduced by the fees and expenses incurred by their account or the private fund in which they invest. Actual returns may differ materially. All investments bear the risk of loss. Risks include non-payment of loans by borrowers. Past performance is not indicative of future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Enhanced Capital Performance Disclosures (continued): Project Finance, Small Net is hypothetical and includes .16x leverage ($65M) as of December 2023, leverage cost of BSBY + 3% (8.44% as of 12/31/23) calculated based on the average debt balance outstanding for the quarter, 1.5% management fee paid to Enhanced on capital deployed, and 15% carried interest above 7% hurdle with a 100% carry catch up. The unrealized component of the returns is based on the 3/31/23 fair value of the investment and assumes liquidation at that FMV on 4/1/24. Excludes fund-level professional fees. Performance includes closing fees which are realized in full at investment inception resulting in early investment return metrics in excess of the expected yield to maturity. These returns regresses toward the expected yield to maturity over the full duration of the investment. An investor’s return will be reduced by the fees and expenses incurred by their account or the private fund in which they invest. Actual returns may differ materially. Loan performance only includes impact investments in which Enhanced has sourced to Project Finance, Small since September 2021, inception of the advisory agreement. All investments bear the risk of loss. Risks include non-payment of loans by borrowers. Past performance is not indicative of future results. Impact Credit Net is hypothetical and assumes .75x leverage, leverage cost of a benchmark rate plus 300 bps which is represented as 4% per annum from 2002 through 2021 and 5% in 2022, and 8.2% in 2023 and onward. Net also assumes a 1.5% management fee on capital deployed, 45% leverage paydown per period, based on available cashflow, 15% carried interest above 7% hurdle with an 80% carry catch up. The unrealized component of the returns is based on the 12/31/23 fair value of the investment and assumes liquidation at that FMV on 01/01/24. Track record is inclusive of sourcing and participation relationships that did not involve Enhanced providing investment advice or any investment advisory services and as such were not part of Enhanced’s registered investment adviser business at the time the transactions were consummated. These relationships are included in the track record, however, as the subject transactions are representative of transactions that Enhanced would recommend to investment advisory clients. Excludes fund-level professional fees. An investor’s return will be reduced by the fees and expenses incurred by their account or the private fund in which they invest. Actual returns may differ materially. All investments bear the risk of loss. Risks include non-payment of loans by borrowers. Excludes fund-level professional fees. An investor’s return will be reduced by the fees and expenses incurred by their account or the private fund in which they invest. Past performance is not indicative of future results. Actual returns may differ materially. Impact Equity excludes Low-Income Housing Tax Credits and New Markets Tax Credits which are not offered to non-bank investors. Enhanced Capital Performance Disclosures (continued): Impact Equity returns are hypothetical.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Excludes fund-level professional fees. An investor’s return will be reduced by the fees and expenses incurred by their account or the private fund in which they invest. Past performance is not indicative of future results. Actual returns may differ materially. Proprietary Capital Vehicles Net is hypothetical and assumes .75x leverage, leverage cost of a benchmark rate plus 300 bps which is represented as 4% per annum from 2002 through 2021 and 5% in 2022 and onward. Net also assumes a 1.5% management fee on capital deployed, 45% leverage paydown per period, based on available cashflow, 15% carried interest above 7% hurdle with an 80% carry catch up. The unrealized component of the returns is based on the 3/31/24 fair value of the investment and assumes liquidation at that FMV on 4/01/24. Excludes fund-level professional fees. An investor’s return will be reduced by the fees and expenses incurred by their account or the private fund in which they invest. Actual returns may differ materially. All investments bear the risk of loss. Risks include non-payment of loans by borrowers. Past performance is not indicative of future results. Tax Credits excludes Low-Income Housing Tax Credits and New Markets Tax Credits which are not offered to non-bank investors. Tax Credits returns are hypothetical.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Excludes fund-level professional fees. An investor’s return will be reduced by the fees and expenses incurred by their account or the private fund in which they invest. Past performance is not indicative of future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Past performance does not predict, and is not a guarantee of, future results. The historical returns of RCP Advisors are not necessarily indicative of the future performance of a Fund and there can be no assurance that the returns described herein or comparable returns will be achieved by any Fund. RCP’s investment strategy is subject to significant risks and there is no guarantee that any RCP Fund will achieve comparable results as any prior investments or prior investment funds of RCP. The performance information presented reflects 3/31/24 cash flows with 3/31/24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Funds that are fully liquidated (Fund I, Fund II, Fund III, Fund IV, Fund V and SOF I). Funds that are currently investing (SEF III, Multi-Strat II, Fund XVIII, SOF IV, Direct IV). Net Performance Metrics (Highest Fee Rate). Net ROIC, Net D/PI, and Net IRR reflects the return of a “representative investor” in a particular Fund that: (i) is in good standing; (ii) where more than one investment vehicle is established to accommodate investors with different tax and/or regulatory requirements, invested in such Fund via the Delaware “onshore” vehicle; (iii) subscribed at the earliest closing in which unaffiliated LPs paying the highest level of fees and expenses (including, without limitation, management fees, carried interest and, in the case of certain earlier vintage RCP Funds, “due diligence fees,” if applicable) chargeable to an investor in such Fund were admitted; (iv) is not affiliated with the Fund’s general partner; and (v) is/was not excused or excluded from any underlying investments made by such Fund. Certain limited partners, who have met specific requirements, may have different preferred returns, as well as different carry percentages. In addition, the General Partner of each Fund may agree to reduce the management fees for certain limited partners in accordance with the applicable Fund’s Partnership Agreement. The actual performance returns of each investor may vary and are dependent upon the specific preferred return hurdles, management fees, and carried interest expense charged to such investor and the timing of capital transactions for such investor. Selection Criteria. The performance tables herein reflect the past performance of RCP’s commingled (i) funds-of-funds and dedicated secondary funds which are at least 50% funded (in the aggregate) at the underlying investment level and (ii) dedicated co-investment funds which have called at least 50% of capital commitments at the RCP Fund level; accordingly, certain other investment vehicles (including discretionary and non-discretionary separate accounts) which RCP has sponsored, advised, or sub-advised have been excluded. However, as of 3/31/24, Multi-Strat I was 47% called (in the aggregate) at the underlying investment level but exceeded 50% during the quarter, which we believe is materially important; hence its metrics are listed in the table. Performance information for RCP’s later vintage-year funds is not included in the performance tables contained herein; RCP believes that the results are not yet meaningful, and analysis of later vintage fund data may be irrelevant. Performance metrics are preliminary, estimated and subject to change. The actual performance returns of each investor may vary (in some cases, materially) and are dependent on a number of factors including, but not limited to, (a) the timing of an investor’s capital contributions, including as a result of a later subscription date and lower preferred return, (b) differences in fees or expenses allocable to certain investors as a result of taxes or other considerations, (c) the fact that certain investors may have negotiated reduced, waived or otherwise modified management fee and/or carried interest rates with the Fund’s general partner, and (d) the excuse or exclusion of an investor from one or more of such Fund’s investments. Accordingly, the actual performance of an individual investor may differ from the returns presented herein. In addition,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to RCP by the general partners of the underlying investments).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(Continued): RCP SEF Performance. Because RCP’s inaugural “small and emerging manager” fund (which was structured using two distinct parallel investment vehicles – RCP Small and Emerging Fund, LP (“SEF (Main)”) and RCP Small and Emerging Parallel Fund, LP (“RCP SEF Parallel”) – only accepted commitments from two unaffiliated (anchor) investors, the performance returns of SEF (Main) and RCP SEF Parallel contained herein reflect fee/carry rates not typically associated with RCP’s commingled funds (specifically, unaffiliated investors in such vehicles pay 0% management fees and 10% carried interest). The SEF (Main) and RCP SEF Parallel returns would be reduced by the effect of typical management fees charged to investors in RCP’s commingled funds. Performance information for RCP SEF Parallel is not included in the performance tables contained herein. As of 3/31/24, RCP SEF Parallel has a Net IRR of 23.0%, Net ROIC of 2.0x, and Net D/PI of 0.65. Direct Fund Performance. With limited exceptions, Direct Funds generally do not pay First-party management fees since the Direct Funds invest directly (or indirectly through special purpose vehicles) in equity investments and not in other private equity funds. The Direct Fund returns would be reduced by the effect of typical third-party management fees charged to RCP’s commingled primary and secondary funds. With respect to Direct IV only, an investor who contemporaneously made (or agreed to make) aggregate capital commitments to one or more RCP primary fund(s) (e.g., Fund XVI) or secondary fund(s) (e.g., SOF IV) in an amount no less than two (2) times the amount of such investor’s commitment to Direct IV, was eligible to be designated as a “Platform Limited Partner” and thus pay discounted management fees and carried interest in connection with its investment in Direct IV. The Direct IV returns of a non-Platform Limited Partner would be lower than the returns of a Platform LP due to the effect of higher fees/carried interest charged to such non-Platform LP. Realized vs. Unrealized Investments. The fund-level Net IRR and Net ROIC calculations used herein measure the actual value of realized investments and estimated fair value of unrealized investments (as reported to RCP by the general partners of the underlying investments), which involves significant elements of subjective judgment and analysis.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RCP Advisors Performance Disclosures (Continued): 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Hark Performance Disclosures: ROIC: Represents the return on invested capital. ROIC is calculated by dividing the sum of distributions plus total partners’ capital by capital contributed. Total partners’ capital balance is the book assets (fair value of unrealized investments plus cash on hand and miscellaneous assets) less the liabilities at the measurement date. IRR: Represents the internal rate of return of the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Effects of Leverage on IRRs. Please note the Fund utilizes a subscription-based credit facility to bridge capital calls. Accordingly, many of the Fund's underlying investments may have been initially funded using a subscription line of credit. For purposes of the fund-level Net IRR calculations contained herein, the use of a subscription line of credit increases the IRR (in situations where the IRR is positive), as the IRR calculation takes into account the amount of time capital is outstanding and is based upon the capital call due date, rather than the date the Fund made the underlying investment with borrowed funds. Accordingly, the related delay of capital calls will increase the fund-level Net IRR reflected herein (in some cases, materially). Net ROIC, Net D/PI, and Net IRR: Reflects limited partner returns after allocation of management fees, general fund expenses, investment expenses, income earned on cash and cash equivalents, any carried interest to the general partner, and any other fees and expenses. Based on the highest applicable rate of management fees and carried interest to the general partner, as of 9/30/23, Hark II would have generated an 11.32% Net IRR and Hark III would have generated a 12.21% Net IRR. Not all limited partners pay the same management fee or carried interest. Furthermore, limited partners’ IRRs may vary based on the dates of their admittance to the Fund. There can be no assurance that unrealized investments will be realized at the valuations used to calculate the ROICs and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Bonaccord Performance Disclosures: Net Performance for Bonaccord Capital Partners I is determined assuming a limited partner was admitted at the first closing and is subject to a 2.0% management fee during the investment period and a 1.5% management fee thereafter, a 20.0% carry, and an 8.0% preferred return. Certain investors were subject to lower management fee rates and/or carried interest, and accordingly experienced higher net returns. Effects of Leverage on IRRs. Please note the Fund utilizes a subscription-based credit facility to bridge capital calls. Accordingly, many of the Fund's underlying investments may have been initially funded using a subscription line of credit. For purposes of the fund-level Net IRR calculations contained herein, the use of a subscription line of credit increases the IRR (in situations where the IRR is positive), as the IRR calculation takes into account the amount of time capital is outstanding and is based upon the capital call due date, rather than the date the Fund made the underlying investment with borrowed funds. Accordingly, the related delay of capital calls will increase the fund-level Net IRR reflected herein (in some cases, materially). Bonaccord values its investments at estimated fair value as determined in good faith by Bonaccord. Valuations involve a significant degree of judgment. Due to the generally illiquid nature of the securities held, fair values determined Bonaccord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Similarly, the return for BCP I calculated after the complete realization of all of its investments most likely will vary from the return shown herein in the aggregate.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WTI Performance Disclosures: The performance data in this presentation represents past performance only and is not a guarantee of future results. All investments involve risks, including loss of principal. Fund values and investment returns will fluctuate, so that an investor’s value per membership interest may be worth more or less than their original cost. Current performance may be lower or higher than the performance data cited. The Internal Rate of Return (“IRR”) is determined on a cash contribution, distribution and remaining book value basis. For purposes of this presentation, unless otherwise noted: Net IRR is the IRR after deducting carried interest Confidentiality; Not an Offer to Sell. This important legal information is an integral part of the presentation for Western Technology Investment, LLC (“WTI”). This material is solely for informational purposes and is intended only for the named recipient, who by accepting it agrees to keep it confidential. This document shall not constitute an offer to sell or the solicitation of an offer to buy an interest (“Interest”) in any fund (“Fund”) sponsored by WTI which may be made only at the time a qualified offeree receives a Confidential Private Placement Memorandum describing the offering and related subscription agreement. Nothing contained herein constitutes investment, legal, tax or other advice nor is it to be relied on in making an investment or other decision. ​ Materials Qualified by Confidential Private Placement Memorandum. All information contained herein is qualified in its entirety by information contained in the Confidential Private Placement Memorandum for the relevant Fund. An investor should consider a Fund’s investment objectives, risks, charges and expenses carefully before investing. This and other important information about a Fund can be found in the Fund’s Confidential Private Placement Memorandum. Please read the Confidential Private Placement Memorandum carefully before investing. ​ Material is Current Only As Of Date Indicated. The information in this material is only current as of December 31, 2023, or as otherwise indicated, and may be superseded by subsequent market events or for other reasons. Statements concerning financial market trends are based on current market conditions, which will fluctuate. The information in this presentation may contain projections or other forward-looking statements regarding future events, targets or expectations regarding the Funds or markets in general. There is no assurance that such events or targets will be achieved, and may be significantly different from that shown here. ​The information in this material is unaudited. Regulatory Status. The Funds referenced herein are not registered under the Investment Company Act of 1940, as amended, in reliance on an exception thereunder. Interests in the Funds have not been and are not expected to be registered under the Securities Act of 1933, as amended, or the securities laws of any state and are offered and sold in reliance on exemptions from the registration requirements of said Act and such laws. These securities shall not be offered or sold in any jurisdiction in which such offer, solicitation or sale would be unlawful until the requirements of the laws of such jurisdiction have been satisfied. This material may not be reproduced or distributed without the express written permission of WTI. Certain Funds referenced herein are no longer offering Interests and are closed to new investors. ​ Private Funds Entail Risks. Private funds are speculative investments and are not suitable for all investors, nor do they represent a complete investment program. The Funds are available only to qualified investors who are comfortable with the substantial risks associated with investing in private funds. An investment in private funds includes the risks inherent in an investment in securities, as well as specific risks associated with the use of leverage, short sales, options, futures derivative instruments, investments in non-U.S. securities, junk bonds and illiquid investments. There can be no assurance that an investment strategy will be successful. Limited Transferability. Investors in the Fund have no right to redeem or transfer interests in the Funds. In addition, Interests will not be listed on an exchange and it is not expected that there will be a secondary market for interests. Tax Information. Investors in the Funds are typically subject to pass-through tax treatment on their investment. This may result in an investor incurring tax liabilities during a year in which it has not received a distribution of any cash from the Fund. ​ Performance Metrics. The performance data in this presentation represents past performance only and is not a guarantee of future results. All investments involve risks, including loss of principal. Fund values and investment returns will fluctuate, so that an investor’s value per membership interest may be worth more or less than their original cost. Current performance may be lower or higher than the performance data cited.​ The Internal Rate of Return (“IRR”) is determined on a cash contribution, distribution and remaining book value basis. For purposes of this presentation, unless otherwise noted:​ Net IRR is the IRR after deducting carried interest ​and management fees. Net Distributions are amounts distributed to investors, net of fees and carried interest. The net distribution multiple is the ratio of amounts distributed to investors to capital commitments called. Net TVPI is calculated as Current NAV plus Distributions divided by Capital Called. "Outstandings at Default" refers to the principal amount outstanding at the time a loan was determined to be in default (non-accrual status). "Recovery" refers to the cash and fair value of non-cash consideration received in full or partial payment of a defaulted loan, and may include both principal and interest payments. "Recovery to date percent" is calculated as Recovery Date divided by Outstandings at Default. "Losses" refers to any Outstandings at Default that are determined to be permanently uncollectible. "Reserves" refers to any amount, determined in accordance with GAAP, that is recorded as an offset to an outstanding balance.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WTI Performance Disclosures (continued): References to Specific Securities. To the extent specific securities are referenced herein, they have been selected by WTI on an objective basis to illustrate the views expressed in the presentation. Such references do not include all material information about such securities, including risks, and are not intended to be recommendations to take any action with respect to such securities. The holdings identified do not represent all of the securities purchased, sold, or recommended for WTI clients during the relevant period. Such references do not include all material information about such securities, including risks, and are not intended to be recommendations to take any action with respect to such securities. Because investment decisions are based on numerous factors, these references may not be relied upon as an indication of future investment intent on behalf of WTI.  The companies displayed as “Top 10 Positions Per Fund” have been chosen on the basis of the top ten companies by fair value. The companies listed are current as of December31, 2023. Additional Disclosures. The presentation has been prepared from sources believed reliable but is not guaranteed by us as to its timeliness or accuracy, and is not a complete summary or statement of all available data. The information contained herein is subject to change at any time based on market or other conditions, and WTI disclaims any responsibility to update this presentation. The information is not intended to be a forecast of future events, a guarantee of future results or investment advice. This presentation may not be relied upon as investment advice and may not be relied upon as an indication of investment intent on behalf of the firm.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4514 Cole Avenue?Suite 1600?Dallas, Texas 75205 214.865.7998 info@p10alts.com Dallas Office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1.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13822</Words>
  <Characters>77208</Characters>
  <CharactersWithSpaces>92170</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