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ind w:left="9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6019165</wp:posOffset>
            </wp:positionH>
            <wp:positionV relativeFrom="page">
              <wp:posOffset>401955</wp:posOffset>
            </wp:positionV>
            <wp:extent cx="1397635" cy="8661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97635" cy="866140"/>
                    </a:xfrm>
                    <a:prstGeom prst="rect">
                      <a:avLst/>
                    </a:prstGeom>
                    <a:noFill/>
                  </pic:spPr>
                </pic:pic>
              </a:graphicData>
            </a:graphic>
          </wp:anchor>
        </w:drawing>
        <w:t>OMB APPROVAL</w:t>
      </w:r>
    </w:p>
    <w:p>
      <w:pPr>
        <w:ind w:left="9260"/>
        <w:spacing w:after="0"/>
        <w:rPr>
          <w:sz w:val="20"/>
          <w:szCs w:val="20"/>
          <w:color w:val="auto"/>
        </w:rPr>
      </w:pPr>
      <w:r>
        <w:rPr>
          <w:sz w:val="1"/>
          <w:szCs w:val="1"/>
          <w:color w:val="auto"/>
        </w:rPr>
        <w:drawing>
          <wp:inline distT="0" distB="0" distL="0" distR="0">
            <wp:extent cx="34290" cy="1809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180975"/>
                    </a:xfrm>
                    <a:prstGeom prst="rect">
                      <a:avLst/>
                    </a:prstGeom>
                    <a:noFill/>
                    <a:ln>
                      <a:noFill/>
                    </a:ln>
                  </pic:spPr>
                </pic:pic>
              </a:graphicData>
            </a:graphic>
          </wp:inline>
        </w:drawing>
      </w:r>
      <w:r>
        <w:rPr>
          <w:rFonts w:ascii="Arial" w:cs="Arial" w:eastAsia="Arial" w:hAnsi="Arial"/>
          <w:sz w:val="16"/>
          <w:szCs w:val="16"/>
          <w:color w:val="auto"/>
        </w:rPr>
        <w:t>OMB Number: 3235-0145</w:t>
      </w:r>
    </w:p>
    <w:p>
      <w:pPr>
        <w:spacing w:after="0" w:line="16" w:lineRule="exact"/>
        <w:rPr>
          <w:sz w:val="20"/>
          <w:szCs w:val="20"/>
          <w:color w:val="auto"/>
        </w:rPr>
      </w:pPr>
    </w:p>
    <w:p>
      <w:pPr>
        <w:ind w:left="9300"/>
        <w:spacing w:after="0"/>
        <w:rPr>
          <w:sz w:val="20"/>
          <w:szCs w:val="20"/>
          <w:color w:val="auto"/>
        </w:rPr>
      </w:pPr>
      <w:r>
        <w:rPr>
          <w:rFonts w:ascii="Arial" w:cs="Arial" w:eastAsia="Arial" w:hAnsi="Arial"/>
          <w:sz w:val="15"/>
          <w:szCs w:val="15"/>
          <w:color w:val="auto"/>
        </w:rPr>
        <w:t>Expires: December 31, 2005</w:t>
      </w:r>
    </w:p>
    <w:p>
      <w:pPr>
        <w:spacing w:after="0" w:line="96" w:lineRule="exact"/>
        <w:rPr>
          <w:sz w:val="20"/>
          <w:szCs w:val="20"/>
          <w:color w:val="auto"/>
        </w:rPr>
      </w:pPr>
    </w:p>
    <w:p>
      <w:pPr>
        <w:ind w:left="9300"/>
        <w:spacing w:after="0"/>
        <w:rPr>
          <w:sz w:val="20"/>
          <w:szCs w:val="20"/>
          <w:color w:val="auto"/>
        </w:rPr>
      </w:pPr>
      <w:r>
        <w:rPr>
          <w:rFonts w:ascii="Arial" w:cs="Arial" w:eastAsia="Arial" w:hAnsi="Arial"/>
          <w:sz w:val="16"/>
          <w:szCs w:val="16"/>
          <w:color w:val="auto"/>
        </w:rPr>
        <w:t>Estimated average burden</w:t>
      </w:r>
    </w:p>
    <w:p>
      <w:pPr>
        <w:spacing w:after="0" w:line="38" w:lineRule="exact"/>
        <w:rPr>
          <w:sz w:val="20"/>
          <w:szCs w:val="20"/>
          <w:color w:val="auto"/>
        </w:rPr>
      </w:pPr>
    </w:p>
    <w:p>
      <w:pPr>
        <w:ind w:left="9300"/>
        <w:spacing w:after="0"/>
        <w:rPr>
          <w:sz w:val="20"/>
          <w:szCs w:val="20"/>
          <w:color w:val="auto"/>
        </w:rPr>
      </w:pPr>
      <w:r>
        <w:rPr>
          <w:rFonts w:ascii="Arial" w:cs="Arial" w:eastAsia="Arial" w:hAnsi="Arial"/>
          <w:sz w:val="18"/>
          <w:szCs w:val="18"/>
          <w:color w:val="auto"/>
        </w:rPr>
        <w:t>hours per response...11</w:t>
      </w:r>
    </w:p>
    <w:p>
      <w:pPr>
        <w:spacing w:after="0" w:line="200" w:lineRule="exact"/>
        <w:rPr>
          <w:sz w:val="20"/>
          <w:szCs w:val="20"/>
          <w:color w:val="auto"/>
        </w:rPr>
      </w:pPr>
    </w:p>
    <w:p>
      <w:pPr>
        <w:spacing w:after="0" w:line="290" w:lineRule="exact"/>
        <w:rPr>
          <w:sz w:val="20"/>
          <w:szCs w:val="20"/>
          <w:color w:val="auto"/>
        </w:rPr>
      </w:pPr>
    </w:p>
    <w:p>
      <w:pPr>
        <w:jc w:val="center"/>
        <w:ind w:right="-119"/>
        <w:spacing w:after="0"/>
        <w:rPr>
          <w:sz w:val="20"/>
          <w:szCs w:val="20"/>
          <w:color w:val="auto"/>
        </w:rPr>
      </w:pPr>
      <w:r>
        <w:rPr>
          <w:rFonts w:ascii="Arial" w:cs="Arial" w:eastAsia="Arial" w:hAnsi="Arial"/>
          <w:sz w:val="24"/>
          <w:szCs w:val="24"/>
          <w:color w:val="auto"/>
        </w:rPr>
        <w:t>UNITED STATES</w:t>
      </w:r>
    </w:p>
    <w:p>
      <w:pPr>
        <w:spacing w:after="0" w:line="28" w:lineRule="exact"/>
        <w:rPr>
          <w:sz w:val="20"/>
          <w:szCs w:val="20"/>
          <w:color w:val="auto"/>
        </w:rPr>
      </w:pPr>
    </w:p>
    <w:p>
      <w:pPr>
        <w:jc w:val="center"/>
        <w:ind w:right="-119"/>
        <w:spacing w:after="0"/>
        <w:rPr>
          <w:sz w:val="20"/>
          <w:szCs w:val="20"/>
          <w:color w:val="auto"/>
        </w:rPr>
      </w:pPr>
      <w:r>
        <w:rPr>
          <w:rFonts w:ascii="Arial" w:cs="Arial" w:eastAsia="Arial" w:hAnsi="Arial"/>
          <w:sz w:val="24"/>
          <w:szCs w:val="24"/>
          <w:color w:val="auto"/>
        </w:rPr>
        <w:t>SECURITIES AND EXCHANGE COMMISSION</w:t>
      </w:r>
    </w:p>
    <w:p>
      <w:pPr>
        <w:spacing w:after="0" w:line="5"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Washington, D.C. 20549</w:t>
      </w:r>
    </w:p>
    <w:p>
      <w:pPr>
        <w:spacing w:after="0" w:line="176" w:lineRule="exact"/>
        <w:rPr>
          <w:sz w:val="20"/>
          <w:szCs w:val="20"/>
          <w:color w:val="auto"/>
        </w:rPr>
      </w:pPr>
    </w:p>
    <w:p>
      <w:pPr>
        <w:jc w:val="center"/>
        <w:ind w:right="-119"/>
        <w:spacing w:after="0"/>
        <w:rPr>
          <w:sz w:val="20"/>
          <w:szCs w:val="20"/>
          <w:color w:val="auto"/>
        </w:rPr>
      </w:pPr>
      <w:r>
        <w:rPr>
          <w:rFonts w:ascii="Arial" w:cs="Arial" w:eastAsia="Arial" w:hAnsi="Arial"/>
          <w:sz w:val="32"/>
          <w:szCs w:val="32"/>
          <w:color w:val="auto"/>
        </w:rPr>
        <w:t>SCHEDULE 13G</w:t>
      </w:r>
    </w:p>
    <w:p>
      <w:pPr>
        <w:spacing w:after="0" w:line="23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Under the Securities Exchange Act of 1934</w:t>
      </w:r>
    </w:p>
    <w:p>
      <w:pPr>
        <w:spacing w:after="0" w:line="1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(Amendment No. 1)*</w:t>
      </w:r>
    </w:p>
    <w:p>
      <w:pPr>
        <w:spacing w:after="0" w:line="2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Active Power,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(Name of Issuer)</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(Title of Class of Securities)</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00504W100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(Cusip Number)</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December 31,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7"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(Date of Event Which Requires Filing of this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12" w:lineRule="exact"/>
        <w:rPr>
          <w:sz w:val="20"/>
          <w:szCs w:val="20"/>
          <w:color w:val="auto"/>
        </w:rPr>
      </w:pPr>
    </w:p>
    <w:p>
      <w:pPr>
        <w:ind w:left="360"/>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17"/>
          <w:szCs w:val="17"/>
          <w:color w:val="auto"/>
        </w:rPr>
        <w:t>Rule 13d-1 (b)</w:t>
      </w:r>
    </w:p>
    <w:p>
      <w:pPr>
        <w:spacing w:after="0" w:line="255" w:lineRule="exact"/>
        <w:rPr>
          <w:sz w:val="20"/>
          <w:szCs w:val="20"/>
          <w:color w:val="auto"/>
        </w:rPr>
      </w:pPr>
    </w:p>
    <w:p>
      <w:pPr>
        <w:ind w:left="600" w:hanging="241"/>
        <w:spacing w:after="0"/>
        <w:tabs>
          <w:tab w:leader="none" w:pos="60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Rule 13d-1 (c)</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17"/>
          <w:szCs w:val="17"/>
          <w:color w:val="auto"/>
        </w:rPr>
        <w:t>Rule 13d-1 (d)</w:t>
      </w:r>
    </w:p>
    <w:p>
      <w:pPr>
        <w:spacing w:after="0" w:line="219"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or otherwise subject to the liabilities of that section of the Act but shall be subject to all other provisions of the Act (however, see the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366395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685" w:right="3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2"/>
        </w:trPr>
        <w:tc>
          <w:tcPr>
            <w:tcW w:w="4100" w:type="dxa"/>
            <w:vAlign w:val="bottom"/>
          </w:tcPr>
          <w:p>
            <w:pPr>
              <w:spacing w:after="0"/>
              <w:rPr>
                <w:sz w:val="19"/>
                <w:szCs w:val="19"/>
                <w:color w:val="auto"/>
              </w:rPr>
            </w:pPr>
          </w:p>
        </w:tc>
        <w:tc>
          <w:tcPr>
            <w:tcW w:w="7200" w:type="dxa"/>
            <w:vAlign w:val="bottom"/>
          </w:tcPr>
          <w:p>
            <w:pPr>
              <w:ind w:left="1400"/>
              <w:spacing w:after="0"/>
              <w:rPr>
                <w:sz w:val="20"/>
                <w:szCs w:val="20"/>
                <w:color w:val="auto"/>
              </w:rPr>
            </w:pPr>
            <w:r>
              <w:rPr>
                <w:rFonts w:ascii="Arial" w:cs="Arial" w:eastAsia="Arial" w:hAnsi="Arial"/>
                <w:sz w:val="18"/>
                <w:szCs w:val="18"/>
                <w:color w:val="auto"/>
              </w:rPr>
              <w:t>13G</w:t>
            </w:r>
          </w:p>
        </w:tc>
      </w:tr>
      <w:tr>
        <w:trPr>
          <w:trHeight w:val="324"/>
        </w:trPr>
        <w:tc>
          <w:tcPr>
            <w:tcW w:w="4100" w:type="dxa"/>
            <w:vAlign w:val="bottom"/>
          </w:tcPr>
          <w:p>
            <w:pPr>
              <w:spacing w:after="0"/>
              <w:rPr>
                <w:sz w:val="20"/>
                <w:szCs w:val="20"/>
                <w:color w:val="auto"/>
              </w:rPr>
            </w:pPr>
            <w:r>
              <w:rPr>
                <w:rFonts w:ascii="Arial" w:cs="Arial" w:eastAsia="Arial" w:hAnsi="Arial"/>
                <w:sz w:val="18"/>
                <w:szCs w:val="18"/>
                <w:color w:val="auto"/>
              </w:rPr>
              <w:t>CUSIP No. 00504W100</w:t>
            </w:r>
          </w:p>
        </w:tc>
        <w:tc>
          <w:tcPr>
            <w:tcW w:w="7200" w:type="dxa"/>
            <w:vAlign w:val="bottom"/>
          </w:tcPr>
          <w:p>
            <w:pPr>
              <w:ind w:left="6420"/>
              <w:spacing w:after="0"/>
              <w:rPr>
                <w:sz w:val="20"/>
                <w:szCs w:val="20"/>
                <w:color w:val="auto"/>
              </w:rPr>
            </w:pPr>
            <w:r>
              <w:rPr>
                <w:rFonts w:ascii="Arial" w:cs="Arial" w:eastAsia="Arial" w:hAnsi="Arial"/>
                <w:sz w:val="18"/>
                <w:szCs w:val="18"/>
                <w:color w:val="auto"/>
                <w:w w:val="82"/>
              </w:rPr>
              <w:t>Page 2 of 7</w:t>
            </w:r>
          </w:p>
        </w:tc>
      </w:tr>
      <w:tr>
        <w:trPr>
          <w:trHeight w:val="228"/>
        </w:trPr>
        <w:tc>
          <w:tcPr>
            <w:tcW w:w="4100" w:type="dxa"/>
            <w:vAlign w:val="bottom"/>
            <w:tcBorders>
              <w:bottom w:val="single" w:sz="8" w:color="808080"/>
            </w:tcBorders>
          </w:tcPr>
          <w:p>
            <w:pPr>
              <w:spacing w:after="0"/>
              <w:rPr>
                <w:sz w:val="19"/>
                <w:szCs w:val="19"/>
                <w:color w:val="auto"/>
              </w:rPr>
            </w:pPr>
          </w:p>
        </w:tc>
        <w:tc>
          <w:tcPr>
            <w:tcW w:w="7200" w:type="dxa"/>
            <w:vAlign w:val="bottom"/>
            <w:tcBorders>
              <w:bottom w:val="single" w:sz="8" w:color="808080"/>
            </w:tcBorders>
          </w:tcPr>
          <w:p>
            <w:pPr>
              <w:spacing w:after="0"/>
              <w:rPr>
                <w:sz w:val="19"/>
                <w:szCs w:val="19"/>
                <w:color w:val="auto"/>
              </w:rPr>
            </w:pPr>
          </w:p>
        </w:tc>
      </w:tr>
      <w:tr>
        <w:trPr>
          <w:trHeight w:val="421"/>
        </w:trPr>
        <w:tc>
          <w:tcPr>
            <w:tcW w:w="4100" w:type="dxa"/>
            <w:vAlign w:val="bottom"/>
          </w:tcPr>
          <w:p>
            <w:pPr>
              <w:ind w:left="460"/>
              <w:spacing w:after="0"/>
              <w:rPr>
                <w:sz w:val="20"/>
                <w:szCs w:val="20"/>
                <w:color w:val="auto"/>
              </w:rPr>
            </w:pPr>
            <w:r>
              <w:rPr>
                <w:rFonts w:ascii="Arial" w:cs="Arial" w:eastAsia="Arial" w:hAnsi="Arial"/>
                <w:sz w:val="18"/>
                <w:szCs w:val="18"/>
                <w:color w:val="auto"/>
              </w:rPr>
              <w:t>1.   Name of Reporting Person:</w:t>
            </w:r>
          </w:p>
        </w:tc>
        <w:tc>
          <w:tcPr>
            <w:tcW w:w="7200" w:type="dxa"/>
            <w:vAlign w:val="bottom"/>
          </w:tcPr>
          <w:p>
            <w:pPr>
              <w:ind w:left="580"/>
              <w:spacing w:after="0"/>
              <w:rPr>
                <w:sz w:val="20"/>
                <w:szCs w:val="20"/>
                <w:color w:val="auto"/>
              </w:rPr>
            </w:pPr>
            <w:r>
              <w:rPr>
                <w:rFonts w:ascii="Arial" w:cs="Arial" w:eastAsia="Arial" w:hAnsi="Arial"/>
                <w:sz w:val="18"/>
                <w:szCs w:val="18"/>
                <w:color w:val="auto"/>
              </w:rPr>
              <w:t>I.R.S. Identification Nos. of above persons (entities only):</w:t>
            </w:r>
          </w:p>
        </w:tc>
      </w:tr>
      <w:tr>
        <w:trPr>
          <w:trHeight w:val="222"/>
        </w:trPr>
        <w:tc>
          <w:tcPr>
            <w:tcW w:w="4100" w:type="dxa"/>
            <w:vAlign w:val="bottom"/>
          </w:tcPr>
          <w:p>
            <w:pPr>
              <w:ind w:left="820"/>
              <w:spacing w:after="0"/>
              <w:rPr>
                <w:sz w:val="20"/>
                <w:szCs w:val="20"/>
                <w:color w:val="auto"/>
              </w:rPr>
            </w:pPr>
            <w:r>
              <w:rPr>
                <w:rFonts w:ascii="Arial" w:cs="Arial" w:eastAsia="Arial" w:hAnsi="Arial"/>
                <w:sz w:val="18"/>
                <w:szCs w:val="18"/>
                <w:color w:val="auto"/>
              </w:rPr>
              <w:t>North American Equity Investors, Inc.</w:t>
            </w:r>
          </w:p>
        </w:tc>
        <w:tc>
          <w:tcPr>
            <w:tcW w:w="7200" w:type="dxa"/>
            <w:vAlign w:val="bottom"/>
          </w:tcPr>
          <w:p>
            <w:pPr>
              <w:ind w:left="580"/>
              <w:spacing w:after="0"/>
              <w:rPr>
                <w:sz w:val="20"/>
                <w:szCs w:val="20"/>
                <w:color w:val="auto"/>
              </w:rPr>
            </w:pPr>
            <w:r>
              <w:rPr>
                <w:rFonts w:ascii="Arial" w:cs="Arial" w:eastAsia="Arial" w:hAnsi="Arial"/>
                <w:sz w:val="18"/>
                <w:szCs w:val="18"/>
                <w:color w:val="auto"/>
              </w:rPr>
              <w:t>47-0773534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7168515</wp:posOffset>
            </wp:positionH>
            <wp:positionV relativeFrom="paragraph">
              <wp:posOffset>-422275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-422275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136525</wp:posOffset>
            </wp:positionV>
            <wp:extent cx="718185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1850" cy="215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left="820" w:hanging="359"/>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04" w:lineRule="exact"/>
        <w:rPr>
          <w:rFonts w:ascii="Arial" w:cs="Arial" w:eastAsia="Arial" w:hAnsi="Arial"/>
          <w:sz w:val="18"/>
          <w:szCs w:val="18"/>
          <w:color w:val="auto"/>
        </w:rPr>
      </w:pPr>
    </w:p>
    <w:p>
      <w:pPr>
        <w:ind w:left="1160" w:hanging="348"/>
        <w:spacing w:after="0"/>
        <w:tabs>
          <w:tab w:leader="none" w:pos="1160" w:val="left"/>
        </w:tabs>
        <w:numPr>
          <w:ilvl w:val="1"/>
          <w:numId w:val="2"/>
        </w:numPr>
        <w:rPr>
          <w:rFonts w:ascii="Arial" w:cs="Arial" w:eastAsia="Arial" w:hAnsi="Arial"/>
          <w:sz w:val="18"/>
          <w:szCs w:val="18"/>
          <w:color w:val="auto"/>
        </w:rPr>
      </w:pPr>
      <w:r>
        <w:rPr>
          <w:rFonts w:ascii="Arial" w:cs="Arial" w:eastAsia="Arial" w:hAnsi="Arial"/>
          <w:sz w:val="22"/>
          <w:szCs w:val="22"/>
          <w:color w:val="auto"/>
        </w:rPr>
        <w:t>o</w:t>
      </w:r>
    </w:p>
    <w:p>
      <w:pPr>
        <w:spacing w:after="0" w:line="21" w:lineRule="exact"/>
        <w:rPr>
          <w:rFonts w:ascii="Arial" w:cs="Arial" w:eastAsia="Arial" w:hAnsi="Arial"/>
          <w:sz w:val="18"/>
          <w:szCs w:val="18"/>
          <w:color w:val="auto"/>
        </w:rPr>
      </w:pPr>
    </w:p>
    <w:p>
      <w:pPr>
        <w:ind w:left="1160" w:hanging="348"/>
        <w:spacing w:after="0" w:line="387" w:lineRule="exact"/>
        <w:tabs>
          <w:tab w:leader="none" w:pos="1160" w:val="left"/>
        </w:tabs>
        <w:numPr>
          <w:ilvl w:val="1"/>
          <w:numId w:val="2"/>
        </w:numPr>
        <w:rPr>
          <w:rFonts w:ascii="Arial" w:cs="Arial" w:eastAsia="Arial" w:hAnsi="Arial"/>
          <w:sz w:val="18"/>
          <w:szCs w:val="18"/>
          <w:color w:val="auto"/>
        </w:rPr>
      </w:pPr>
      <w:r>
        <w:rPr>
          <w:rFonts w:ascii="MS PGothic" w:cs="MS PGothic" w:eastAsia="MS PGothic" w:hAnsi="MS PGothic"/>
          <w:sz w:val="43"/>
          <w:szCs w:val="43"/>
          <w:color w:val="auto"/>
          <w:vertAlign w:val="subscript"/>
        </w:rPr>
        <w:t>☒</w:t>
      </w:r>
    </w:p>
    <w:p>
      <w:pPr>
        <w:spacing w:after="0" w:line="200" w:lineRule="exact"/>
        <w:rPr>
          <w:rFonts w:ascii="Arial" w:cs="Arial" w:eastAsia="Arial" w:hAnsi="Arial"/>
          <w:sz w:val="18"/>
          <w:szCs w:val="18"/>
          <w:color w:val="auto"/>
        </w:rPr>
      </w:pPr>
    </w:p>
    <w:p>
      <w:pPr>
        <w:spacing w:after="0" w:line="218" w:lineRule="exact"/>
        <w:rPr>
          <w:rFonts w:ascii="Arial" w:cs="Arial" w:eastAsia="Arial" w:hAnsi="Arial"/>
          <w:sz w:val="18"/>
          <w:szCs w:val="18"/>
          <w:color w:val="auto"/>
        </w:rPr>
      </w:pPr>
    </w:p>
    <w:p>
      <w:pPr>
        <w:ind w:left="820" w:hanging="359"/>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820" w:right="7880" w:hanging="359"/>
        <w:spacing w:after="0" w:line="268" w:lineRule="auto"/>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-872490</wp:posOffset>
            </wp:positionV>
            <wp:extent cx="718185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185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-443865</wp:posOffset>
            </wp:positionV>
            <wp:extent cx="718185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185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121285</wp:posOffset>
            </wp:positionV>
            <wp:extent cx="718185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1850" cy="2159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240" w:type="dxa"/>
            <w:vAlign w:val="bottom"/>
          </w:tcPr>
          <w:p>
            <w:pPr>
              <w:jc w:val="right"/>
              <w:ind w:right="12"/>
              <w:spacing w:after="0"/>
              <w:rPr>
                <w:sz w:val="20"/>
                <w:szCs w:val="20"/>
                <w:color w:val="auto"/>
              </w:rPr>
            </w:pPr>
            <w:r>
              <w:rPr>
                <w:rFonts w:ascii="Arial" w:cs="Arial" w:eastAsia="Arial" w:hAnsi="Arial"/>
                <w:sz w:val="18"/>
                <w:szCs w:val="18"/>
                <w:color w:val="auto"/>
                <w:w w:val="79"/>
              </w:rPr>
              <w:t>5.</w:t>
            </w:r>
          </w:p>
        </w:tc>
        <w:tc>
          <w:tcPr>
            <w:tcW w:w="990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22"/>
        </w:trPr>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900" w:type="dxa"/>
            <w:vAlign w:val="bottom"/>
          </w:tcPr>
          <w:p>
            <w:pPr>
              <w:ind w:left="100"/>
              <w:spacing w:after="0"/>
              <w:rPr>
                <w:sz w:val="20"/>
                <w:szCs w:val="20"/>
                <w:color w:val="auto"/>
              </w:rPr>
            </w:pPr>
            <w:r>
              <w:rPr>
                <w:rFonts w:ascii="Arial" w:cs="Arial" w:eastAsia="Arial" w:hAnsi="Arial"/>
                <w:sz w:val="18"/>
                <w:szCs w:val="18"/>
                <w:color w:val="auto"/>
              </w:rPr>
              <w:t>2,192,300</w:t>
            </w:r>
          </w:p>
        </w:tc>
        <w:tc>
          <w:tcPr>
            <w:tcW w:w="0" w:type="dxa"/>
            <w:vAlign w:val="bottom"/>
          </w:tcPr>
          <w:p>
            <w:pPr>
              <w:spacing w:after="0"/>
              <w:rPr>
                <w:sz w:val="1"/>
                <w:szCs w:val="1"/>
                <w:color w:val="auto"/>
              </w:rPr>
            </w:pPr>
          </w:p>
        </w:tc>
      </w:tr>
      <w:tr>
        <w:trPr>
          <w:trHeight w:val="228"/>
        </w:trPr>
        <w:tc>
          <w:tcPr>
            <w:tcW w:w="1060" w:type="dxa"/>
            <w:vAlign w:val="bottom"/>
            <w:vMerge w:val="restart"/>
          </w:tcPr>
          <w:p>
            <w:pPr>
              <w:jc w:val="center"/>
              <w:ind w:right="114"/>
              <w:spacing w:after="0"/>
              <w:rPr>
                <w:sz w:val="20"/>
                <w:szCs w:val="20"/>
                <w:color w:val="auto"/>
              </w:rPr>
            </w:pPr>
            <w:r>
              <w:rPr>
                <w:rFonts w:ascii="Arial" w:cs="Arial" w:eastAsia="Arial" w:hAnsi="Arial"/>
                <w:sz w:val="18"/>
                <w:szCs w:val="18"/>
                <w:color w:val="auto"/>
                <w:w w:val="92"/>
              </w:rPr>
              <w:t>Number of</w:t>
            </w:r>
          </w:p>
        </w:tc>
        <w:tc>
          <w:tcPr>
            <w:tcW w:w="240" w:type="dxa"/>
            <w:vAlign w:val="bottom"/>
            <w:tcBorders>
              <w:bottom w:val="single" w:sz="8" w:color="808080"/>
            </w:tcBorders>
          </w:tcPr>
          <w:p>
            <w:pPr>
              <w:spacing w:after="0"/>
              <w:rPr>
                <w:sz w:val="19"/>
                <w:szCs w:val="19"/>
                <w:color w:val="auto"/>
              </w:rPr>
            </w:pPr>
          </w:p>
        </w:tc>
        <w:tc>
          <w:tcPr>
            <w:tcW w:w="99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326"/>
        </w:trPr>
        <w:tc>
          <w:tcPr>
            <w:tcW w:w="1060" w:type="dxa"/>
            <w:vAlign w:val="bottom"/>
            <w:vMerge w:val="continue"/>
          </w:tcPr>
          <w:p>
            <w:pPr>
              <w:spacing w:after="0"/>
              <w:rPr>
                <w:sz w:val="24"/>
                <w:szCs w:val="24"/>
                <w:color w:val="auto"/>
              </w:rPr>
            </w:pPr>
          </w:p>
        </w:tc>
        <w:tc>
          <w:tcPr>
            <w:tcW w:w="240" w:type="dxa"/>
            <w:vAlign w:val="bottom"/>
            <w:vMerge w:val="restart"/>
          </w:tcPr>
          <w:p>
            <w:pPr>
              <w:jc w:val="right"/>
              <w:ind w:right="12"/>
              <w:spacing w:after="0"/>
              <w:rPr>
                <w:sz w:val="20"/>
                <w:szCs w:val="20"/>
                <w:color w:val="auto"/>
              </w:rPr>
            </w:pPr>
            <w:r>
              <w:rPr>
                <w:rFonts w:ascii="Arial" w:cs="Arial" w:eastAsia="Arial" w:hAnsi="Arial"/>
                <w:sz w:val="18"/>
                <w:szCs w:val="18"/>
                <w:color w:val="auto"/>
                <w:w w:val="79"/>
              </w:rPr>
              <w:t>6.</w:t>
            </w:r>
          </w:p>
        </w:tc>
        <w:tc>
          <w:tcPr>
            <w:tcW w:w="9900" w:type="dxa"/>
            <w:vAlign w:val="bottom"/>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5"/>
        </w:trPr>
        <w:tc>
          <w:tcPr>
            <w:tcW w:w="1060" w:type="dxa"/>
            <w:vAlign w:val="bottom"/>
            <w:vMerge w:val="restart"/>
          </w:tcPr>
          <w:p>
            <w:pPr>
              <w:jc w:val="center"/>
              <w:ind w:right="114"/>
              <w:spacing w:after="0"/>
              <w:rPr>
                <w:sz w:val="20"/>
                <w:szCs w:val="20"/>
                <w:color w:val="auto"/>
              </w:rPr>
            </w:pPr>
            <w:r>
              <w:rPr>
                <w:rFonts w:ascii="Arial" w:cs="Arial" w:eastAsia="Arial" w:hAnsi="Arial"/>
                <w:sz w:val="18"/>
                <w:szCs w:val="18"/>
                <w:color w:val="auto"/>
                <w:w w:val="80"/>
              </w:rPr>
              <w:t>Shares</w:t>
            </w:r>
          </w:p>
        </w:tc>
        <w:tc>
          <w:tcPr>
            <w:tcW w:w="240" w:type="dxa"/>
            <w:vAlign w:val="bottom"/>
            <w:vMerge w:val="continue"/>
          </w:tcPr>
          <w:p>
            <w:pPr>
              <w:spacing w:after="0"/>
              <w:rPr>
                <w:sz w:val="8"/>
                <w:szCs w:val="8"/>
                <w:color w:val="auto"/>
              </w:rPr>
            </w:pPr>
          </w:p>
        </w:tc>
        <w:tc>
          <w:tcPr>
            <w:tcW w:w="9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06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9900" w:type="dxa"/>
            <w:vAlign w:val="bottom"/>
            <w:vMerge w:val="restart"/>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1"/>
        </w:trPr>
        <w:tc>
          <w:tcPr>
            <w:tcW w:w="1060" w:type="dxa"/>
            <w:vAlign w:val="bottom"/>
            <w:vMerge w:val="restart"/>
          </w:tcPr>
          <w:p>
            <w:pPr>
              <w:jc w:val="center"/>
              <w:ind w:right="114"/>
              <w:spacing w:after="0"/>
              <w:rPr>
                <w:sz w:val="20"/>
                <w:szCs w:val="20"/>
                <w:color w:val="auto"/>
              </w:rPr>
            </w:pPr>
            <w:r>
              <w:rPr>
                <w:rFonts w:ascii="Arial" w:cs="Arial" w:eastAsia="Arial" w:hAnsi="Arial"/>
                <w:sz w:val="18"/>
                <w:szCs w:val="18"/>
                <w:color w:val="auto"/>
                <w:w w:val="94"/>
              </w:rPr>
              <w:t>Beneficially</w:t>
            </w:r>
          </w:p>
        </w:tc>
        <w:tc>
          <w:tcPr>
            <w:tcW w:w="240" w:type="dxa"/>
            <w:vAlign w:val="bottom"/>
          </w:tcPr>
          <w:p>
            <w:pPr>
              <w:spacing w:after="0"/>
              <w:rPr>
                <w:sz w:val="8"/>
                <w:szCs w:val="8"/>
                <w:color w:val="auto"/>
              </w:rPr>
            </w:pPr>
          </w:p>
        </w:tc>
        <w:tc>
          <w:tcPr>
            <w:tcW w:w="9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06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9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1060" w:type="dxa"/>
            <w:vAlign w:val="bottom"/>
            <w:vMerge w:val="restart"/>
          </w:tcPr>
          <w:p>
            <w:pPr>
              <w:jc w:val="center"/>
              <w:ind w:right="114"/>
              <w:spacing w:after="0"/>
              <w:rPr>
                <w:sz w:val="20"/>
                <w:szCs w:val="20"/>
                <w:color w:val="auto"/>
              </w:rPr>
            </w:pPr>
            <w:r>
              <w:rPr>
                <w:rFonts w:ascii="Arial" w:cs="Arial" w:eastAsia="Arial" w:hAnsi="Arial"/>
                <w:sz w:val="18"/>
                <w:szCs w:val="18"/>
                <w:color w:val="auto"/>
                <w:w w:val="91"/>
              </w:rPr>
              <w:t>Owned by</w:t>
            </w:r>
          </w:p>
        </w:tc>
        <w:tc>
          <w:tcPr>
            <w:tcW w:w="240" w:type="dxa"/>
            <w:vAlign w:val="bottom"/>
            <w:tcBorders>
              <w:bottom w:val="single" w:sz="8" w:color="808080"/>
            </w:tcBorders>
          </w:tcPr>
          <w:p>
            <w:pPr>
              <w:spacing w:after="0"/>
              <w:rPr>
                <w:sz w:val="9"/>
                <w:szCs w:val="9"/>
                <w:color w:val="auto"/>
              </w:rPr>
            </w:pPr>
          </w:p>
        </w:tc>
        <w:tc>
          <w:tcPr>
            <w:tcW w:w="99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106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9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060" w:type="dxa"/>
            <w:vAlign w:val="bottom"/>
          </w:tcPr>
          <w:p>
            <w:pPr>
              <w:jc w:val="center"/>
              <w:ind w:right="114"/>
              <w:spacing w:after="0"/>
              <w:rPr>
                <w:sz w:val="20"/>
                <w:szCs w:val="20"/>
                <w:color w:val="auto"/>
              </w:rPr>
            </w:pPr>
            <w:r>
              <w:rPr>
                <w:rFonts w:ascii="Arial" w:cs="Arial" w:eastAsia="Arial" w:hAnsi="Arial"/>
                <w:sz w:val="18"/>
                <w:szCs w:val="18"/>
                <w:color w:val="auto"/>
                <w:w w:val="82"/>
              </w:rPr>
              <w:t>Each</w:t>
            </w:r>
          </w:p>
        </w:tc>
        <w:tc>
          <w:tcPr>
            <w:tcW w:w="240" w:type="dxa"/>
            <w:vAlign w:val="bottom"/>
            <w:vMerge w:val="restart"/>
          </w:tcPr>
          <w:p>
            <w:pPr>
              <w:jc w:val="right"/>
              <w:ind w:right="12"/>
              <w:spacing w:after="0"/>
              <w:rPr>
                <w:sz w:val="20"/>
                <w:szCs w:val="20"/>
                <w:color w:val="auto"/>
              </w:rPr>
            </w:pPr>
            <w:r>
              <w:rPr>
                <w:rFonts w:ascii="Arial" w:cs="Arial" w:eastAsia="Arial" w:hAnsi="Arial"/>
                <w:sz w:val="18"/>
                <w:szCs w:val="18"/>
                <w:color w:val="auto"/>
                <w:w w:val="79"/>
              </w:rPr>
              <w:t>7.</w:t>
            </w:r>
          </w:p>
        </w:tc>
        <w:tc>
          <w:tcPr>
            <w:tcW w:w="9900" w:type="dxa"/>
            <w:vAlign w:val="bottom"/>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36"/>
        </w:trPr>
        <w:tc>
          <w:tcPr>
            <w:tcW w:w="1060" w:type="dxa"/>
            <w:vAlign w:val="bottom"/>
          </w:tcPr>
          <w:p>
            <w:pPr>
              <w:jc w:val="center"/>
              <w:ind w:right="114"/>
              <w:spacing w:after="0" w:line="136" w:lineRule="exact"/>
              <w:rPr>
                <w:sz w:val="20"/>
                <w:szCs w:val="20"/>
                <w:color w:val="auto"/>
              </w:rPr>
            </w:pPr>
            <w:r>
              <w:rPr>
                <w:rFonts w:ascii="Arial" w:cs="Arial" w:eastAsia="Arial" w:hAnsi="Arial"/>
                <w:sz w:val="15"/>
                <w:szCs w:val="15"/>
                <w:color w:val="auto"/>
              </w:rPr>
              <w:t>Reporting</w:t>
            </w:r>
          </w:p>
        </w:tc>
        <w:tc>
          <w:tcPr>
            <w:tcW w:w="240" w:type="dxa"/>
            <w:vAlign w:val="bottom"/>
            <w:vMerge w:val="continue"/>
          </w:tcPr>
          <w:p>
            <w:pPr>
              <w:spacing w:after="0"/>
              <w:rPr>
                <w:sz w:val="11"/>
                <w:szCs w:val="11"/>
                <w:color w:val="auto"/>
              </w:rPr>
            </w:pPr>
          </w:p>
        </w:tc>
        <w:tc>
          <w:tcPr>
            <w:tcW w:w="9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7168515</wp:posOffset>
            </wp:positionH>
            <wp:positionV relativeFrom="paragraph">
              <wp:posOffset>-855980</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736600</wp:posOffset>
            </wp:positionH>
            <wp:positionV relativeFrom="paragraph">
              <wp:posOffset>-855980</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7168515</wp:posOffset>
            </wp:positionH>
            <wp:positionV relativeFrom="paragraph">
              <wp:posOffset>-290195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736600</wp:posOffset>
            </wp:positionH>
            <wp:positionV relativeFrom="paragraph">
              <wp:posOffset>-290195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tbl>
      <w:tblPr>
        <w:tblLayout w:type="fixed"/>
        <w:tblInd w:w="100" w:type="dxa"/>
        <w:tblCellMar>
          <w:top w:w="0" w:type="dxa"/>
          <w:left w:w="0" w:type="dxa"/>
          <w:bottom w:w="0" w:type="dxa"/>
          <w:right w:w="0" w:type="dxa"/>
        </w:tblCellMar>
      </w:tblPr>
      <w:tr>
        <w:trPr>
          <w:trHeight w:val="222"/>
        </w:trPr>
        <w:tc>
          <w:tcPr>
            <w:tcW w:w="1060" w:type="dxa"/>
            <w:vAlign w:val="bottom"/>
            <w:vMerge w:val="restart"/>
          </w:tcPr>
          <w:p>
            <w:pPr>
              <w:spacing w:after="0"/>
              <w:rPr>
                <w:sz w:val="20"/>
                <w:szCs w:val="20"/>
                <w:color w:val="auto"/>
              </w:rPr>
            </w:pPr>
            <w:r>
              <w:rPr>
                <w:rFonts w:ascii="Arial" w:cs="Arial" w:eastAsia="Arial" w:hAnsi="Arial"/>
                <w:sz w:val="18"/>
                <w:szCs w:val="18"/>
                <w:color w:val="auto"/>
              </w:rPr>
              <w:t>Person With</w:t>
            </w:r>
          </w:p>
        </w:tc>
        <w:tc>
          <w:tcPr>
            <w:tcW w:w="10140" w:type="dxa"/>
            <w:vAlign w:val="bottom"/>
          </w:tcPr>
          <w:p>
            <w:pPr>
              <w:jc w:val="right"/>
              <w:ind w:right="9012"/>
              <w:spacing w:after="0"/>
              <w:rPr>
                <w:sz w:val="20"/>
                <w:szCs w:val="20"/>
                <w:color w:val="auto"/>
              </w:rPr>
            </w:pPr>
            <w:r>
              <w:rPr>
                <w:rFonts w:ascii="Arial" w:cs="Arial" w:eastAsia="Arial" w:hAnsi="Arial"/>
                <w:sz w:val="18"/>
                <w:szCs w:val="18"/>
                <w:color w:val="auto"/>
              </w:rPr>
              <w:t>2,192,300</w:t>
            </w:r>
          </w:p>
        </w:tc>
        <w:tc>
          <w:tcPr>
            <w:tcW w:w="0" w:type="dxa"/>
            <w:vAlign w:val="bottom"/>
          </w:tcPr>
          <w:p>
            <w:pPr>
              <w:spacing w:after="0"/>
              <w:rPr>
                <w:sz w:val="1"/>
                <w:szCs w:val="1"/>
                <w:color w:val="auto"/>
              </w:rPr>
            </w:pPr>
          </w:p>
        </w:tc>
      </w:tr>
      <w:tr>
        <w:trPr>
          <w:trHeight w:val="81"/>
        </w:trPr>
        <w:tc>
          <w:tcPr>
            <w:tcW w:w="1060" w:type="dxa"/>
            <w:vAlign w:val="bottom"/>
            <w:vMerge w:val="continue"/>
          </w:tcPr>
          <w:p>
            <w:pPr>
              <w:spacing w:after="0"/>
              <w:rPr>
                <w:sz w:val="7"/>
                <w:szCs w:val="7"/>
                <w:color w:val="auto"/>
              </w:rPr>
            </w:pPr>
          </w:p>
        </w:tc>
        <w:tc>
          <w:tcPr>
            <w:tcW w:w="10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060" w:type="dxa"/>
            <w:vAlign w:val="bottom"/>
          </w:tcPr>
          <w:p>
            <w:pPr>
              <w:spacing w:after="0"/>
              <w:rPr>
                <w:sz w:val="11"/>
                <w:szCs w:val="11"/>
                <w:color w:val="auto"/>
              </w:rPr>
            </w:pPr>
          </w:p>
        </w:tc>
        <w:tc>
          <w:tcPr>
            <w:tcW w:w="101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7168515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736600</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4" w:lineRule="exact"/>
        <w:rPr>
          <w:sz w:val="20"/>
          <w:szCs w:val="20"/>
          <w:color w:val="auto"/>
        </w:rPr>
      </w:pPr>
    </w:p>
    <w:p>
      <w:pPr>
        <w:ind w:left="1500" w:right="7920" w:hanging="336"/>
        <w:spacing w:after="0" w:line="268" w:lineRule="auto"/>
        <w:tabs>
          <w:tab w:leader="none" w:pos="1500" w:val="left"/>
        </w:tabs>
        <w:numPr>
          <w:ilvl w:val="1"/>
          <w:numId w:val="3"/>
        </w:numPr>
        <w:rPr>
          <w:rFonts w:ascii="Arial" w:cs="Arial" w:eastAsia="Arial" w:hAnsi="Arial"/>
          <w:sz w:val="18"/>
          <w:szCs w:val="18"/>
          <w:color w:val="auto"/>
        </w:rPr>
      </w:pPr>
      <w:r>
        <w:rPr>
          <w:rFonts w:ascii="Arial" w:cs="Arial" w:eastAsia="Arial" w:hAnsi="Arial"/>
          <w:sz w:val="18"/>
          <w:szCs w:val="18"/>
          <w:color w:val="auto"/>
        </w:rPr>
        <w:t>Shared Dispositive Power: -0-</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820" w:right="5760" w:hanging="359"/>
        <w:spacing w:after="0" w:line="268"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2,192,300</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820" w:right="5620" w:hanging="359"/>
        <w:spacing w:after="0" w:line="268"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o</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820" w:right="6740" w:hanging="359"/>
        <w:spacing w:after="0" w:line="268"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 Represented by Amount in Row (9): 5.22%</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820" w:hanging="359"/>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15" w:lineRule="exact"/>
        <w:rPr>
          <w:rFonts w:ascii="Arial" w:cs="Arial" w:eastAsia="Arial" w:hAnsi="Arial"/>
          <w:sz w:val="18"/>
          <w:szCs w:val="18"/>
          <w:color w:val="auto"/>
        </w:rPr>
      </w:pPr>
    </w:p>
    <w:p>
      <w:pPr>
        <w:ind w:left="820"/>
        <w:spacing w:after="0"/>
        <w:rPr>
          <w:rFonts w:ascii="Arial" w:cs="Arial" w:eastAsia="Arial" w:hAnsi="Arial"/>
          <w:sz w:val="18"/>
          <w:szCs w:val="18"/>
          <w:color w:val="auto"/>
        </w:rPr>
      </w:pPr>
      <w:r>
        <w:rPr>
          <w:rFonts w:ascii="Arial" w:cs="Arial" w:eastAsia="Arial" w:hAnsi="Arial"/>
          <w:sz w:val="18"/>
          <w:szCs w:val="18"/>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-2120900</wp:posOffset>
            </wp:positionV>
            <wp:extent cx="718185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185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-1555115</wp:posOffset>
            </wp:positionV>
            <wp:extent cx="718185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185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-989330</wp:posOffset>
            </wp:positionV>
            <wp:extent cx="718185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185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-422910</wp:posOffset>
            </wp:positionV>
            <wp:extent cx="718185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185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142240</wp:posOffset>
            </wp:positionV>
            <wp:extent cx="718185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1850" cy="21590"/>
                    </a:xfrm>
                    <a:prstGeom prst="rect">
                      <a:avLst/>
                    </a:prstGeom>
                    <a:noFill/>
                  </pic:spPr>
                </pic:pic>
              </a:graphicData>
            </a:graphic>
          </wp:anchor>
        </w:drawing>
        <w:drawing>
          <wp:anchor simplePos="0" relativeHeight="251657728" behindDoc="1" locked="0" layoutInCell="0" allowOverlap="1">
            <wp:simplePos x="0" y="0"/>
            <wp:positionH relativeFrom="column">
              <wp:posOffset>-34290</wp:posOffset>
            </wp:positionH>
            <wp:positionV relativeFrom="paragraph">
              <wp:posOffset>399415</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300" w:top="1320" w:right="2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2"/>
        </w:trPr>
        <w:tc>
          <w:tcPr>
            <w:tcW w:w="4380" w:type="dxa"/>
            <w:vAlign w:val="bottom"/>
          </w:tcPr>
          <w:p>
            <w:pPr>
              <w:spacing w:after="0"/>
              <w:rPr>
                <w:sz w:val="19"/>
                <w:szCs w:val="19"/>
                <w:color w:val="auto"/>
              </w:rPr>
            </w:pPr>
          </w:p>
        </w:tc>
        <w:tc>
          <w:tcPr>
            <w:tcW w:w="6920" w:type="dxa"/>
            <w:vAlign w:val="bottom"/>
          </w:tcPr>
          <w:p>
            <w:pPr>
              <w:ind w:left="1120"/>
              <w:spacing w:after="0"/>
              <w:rPr>
                <w:sz w:val="20"/>
                <w:szCs w:val="20"/>
                <w:color w:val="auto"/>
              </w:rPr>
            </w:pPr>
            <w:r>
              <w:rPr>
                <w:rFonts w:ascii="Arial" w:cs="Arial" w:eastAsia="Arial" w:hAnsi="Arial"/>
                <w:sz w:val="18"/>
                <w:szCs w:val="18"/>
                <w:color w:val="auto"/>
              </w:rPr>
              <w:t>13G</w:t>
            </w:r>
          </w:p>
        </w:tc>
      </w:tr>
      <w:tr>
        <w:trPr>
          <w:trHeight w:val="324"/>
        </w:trPr>
        <w:tc>
          <w:tcPr>
            <w:tcW w:w="4380" w:type="dxa"/>
            <w:vAlign w:val="bottom"/>
          </w:tcPr>
          <w:p>
            <w:pPr>
              <w:spacing w:after="0"/>
              <w:rPr>
                <w:sz w:val="20"/>
                <w:szCs w:val="20"/>
                <w:color w:val="auto"/>
              </w:rPr>
            </w:pPr>
            <w:r>
              <w:rPr>
                <w:rFonts w:ascii="Arial" w:cs="Arial" w:eastAsia="Arial" w:hAnsi="Arial"/>
                <w:sz w:val="18"/>
                <w:szCs w:val="18"/>
                <w:color w:val="auto"/>
              </w:rPr>
              <w:t>CUSIP No. 00504W100</w:t>
            </w:r>
          </w:p>
        </w:tc>
        <w:tc>
          <w:tcPr>
            <w:tcW w:w="6920" w:type="dxa"/>
            <w:vAlign w:val="bottom"/>
          </w:tcPr>
          <w:p>
            <w:pPr>
              <w:ind w:left="6140"/>
              <w:spacing w:after="0"/>
              <w:rPr>
                <w:sz w:val="20"/>
                <w:szCs w:val="20"/>
                <w:color w:val="auto"/>
              </w:rPr>
            </w:pPr>
            <w:r>
              <w:rPr>
                <w:rFonts w:ascii="Arial" w:cs="Arial" w:eastAsia="Arial" w:hAnsi="Arial"/>
                <w:sz w:val="18"/>
                <w:szCs w:val="18"/>
                <w:color w:val="auto"/>
                <w:w w:val="82"/>
              </w:rPr>
              <w:t>Page 3 of 7</w:t>
            </w:r>
          </w:p>
        </w:tc>
      </w:tr>
      <w:tr>
        <w:trPr>
          <w:trHeight w:val="228"/>
        </w:trPr>
        <w:tc>
          <w:tcPr>
            <w:tcW w:w="4380" w:type="dxa"/>
            <w:vAlign w:val="bottom"/>
            <w:tcBorders>
              <w:bottom w:val="single" w:sz="8" w:color="808080"/>
            </w:tcBorders>
          </w:tcPr>
          <w:p>
            <w:pPr>
              <w:spacing w:after="0"/>
              <w:rPr>
                <w:sz w:val="19"/>
                <w:szCs w:val="19"/>
                <w:color w:val="auto"/>
              </w:rPr>
            </w:pPr>
          </w:p>
        </w:tc>
        <w:tc>
          <w:tcPr>
            <w:tcW w:w="6920" w:type="dxa"/>
            <w:vAlign w:val="bottom"/>
            <w:tcBorders>
              <w:bottom w:val="single" w:sz="8" w:color="808080"/>
            </w:tcBorders>
          </w:tcPr>
          <w:p>
            <w:pPr>
              <w:spacing w:after="0"/>
              <w:rPr>
                <w:sz w:val="19"/>
                <w:szCs w:val="19"/>
                <w:color w:val="auto"/>
              </w:rPr>
            </w:pPr>
          </w:p>
        </w:tc>
      </w:tr>
      <w:tr>
        <w:trPr>
          <w:trHeight w:val="421"/>
        </w:trPr>
        <w:tc>
          <w:tcPr>
            <w:tcW w:w="4380" w:type="dxa"/>
            <w:vAlign w:val="bottom"/>
          </w:tcPr>
          <w:p>
            <w:pPr>
              <w:ind w:left="460"/>
              <w:spacing w:after="0"/>
              <w:rPr>
                <w:sz w:val="20"/>
                <w:szCs w:val="20"/>
                <w:color w:val="auto"/>
              </w:rPr>
            </w:pPr>
            <w:r>
              <w:rPr>
                <w:rFonts w:ascii="Arial" w:cs="Arial" w:eastAsia="Arial" w:hAnsi="Arial"/>
                <w:sz w:val="18"/>
                <w:szCs w:val="18"/>
                <w:color w:val="auto"/>
              </w:rPr>
              <w:t>1.   Name of Reporting Person:</w:t>
            </w:r>
          </w:p>
        </w:tc>
        <w:tc>
          <w:tcPr>
            <w:tcW w:w="6920" w:type="dxa"/>
            <w:vAlign w:val="bottom"/>
          </w:tcPr>
          <w:p>
            <w:pPr>
              <w:ind w:left="300"/>
              <w:spacing w:after="0"/>
              <w:rPr>
                <w:sz w:val="20"/>
                <w:szCs w:val="20"/>
                <w:color w:val="auto"/>
              </w:rPr>
            </w:pPr>
            <w:r>
              <w:rPr>
                <w:rFonts w:ascii="Arial" w:cs="Arial" w:eastAsia="Arial" w:hAnsi="Arial"/>
                <w:sz w:val="18"/>
                <w:szCs w:val="18"/>
                <w:color w:val="auto"/>
              </w:rPr>
              <w:t>I.R.S. Identification Nos. of above persons (entities only):</w:t>
            </w:r>
          </w:p>
        </w:tc>
      </w:tr>
      <w:tr>
        <w:trPr>
          <w:trHeight w:val="222"/>
        </w:trPr>
        <w:tc>
          <w:tcPr>
            <w:tcW w:w="4380" w:type="dxa"/>
            <w:vAlign w:val="bottom"/>
          </w:tcPr>
          <w:p>
            <w:pPr>
              <w:ind w:left="820"/>
              <w:spacing w:after="0"/>
              <w:rPr>
                <w:sz w:val="20"/>
                <w:szCs w:val="20"/>
                <w:color w:val="auto"/>
              </w:rPr>
            </w:pPr>
            <w:r>
              <w:rPr>
                <w:rFonts w:ascii="Arial" w:cs="Arial" w:eastAsia="Arial" w:hAnsi="Arial"/>
                <w:sz w:val="18"/>
                <w:szCs w:val="18"/>
                <w:color w:val="auto"/>
                <w:w w:val="96"/>
              </w:rPr>
              <w:t>Thompson Machinery Commerce Corporation</w:t>
            </w:r>
          </w:p>
        </w:tc>
        <w:tc>
          <w:tcPr>
            <w:tcW w:w="6920" w:type="dxa"/>
            <w:vAlign w:val="bottom"/>
          </w:tcPr>
          <w:p>
            <w:pPr>
              <w:ind w:left="300"/>
              <w:spacing w:after="0"/>
              <w:rPr>
                <w:sz w:val="20"/>
                <w:szCs w:val="20"/>
                <w:color w:val="auto"/>
              </w:rPr>
            </w:pPr>
            <w:r>
              <w:rPr>
                <w:rFonts w:ascii="Arial" w:cs="Arial" w:eastAsia="Arial" w:hAnsi="Arial"/>
                <w:sz w:val="18"/>
                <w:szCs w:val="18"/>
                <w:color w:val="auto"/>
              </w:rPr>
              <w:t>62-1098634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7168515</wp:posOffset>
            </wp:positionH>
            <wp:positionV relativeFrom="paragraph">
              <wp:posOffset>-422275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-422275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136525</wp:posOffset>
            </wp:positionV>
            <wp:extent cx="718185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1850" cy="215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left="820" w:hanging="359"/>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04" w:lineRule="exact"/>
        <w:rPr>
          <w:rFonts w:ascii="Arial" w:cs="Arial" w:eastAsia="Arial" w:hAnsi="Arial"/>
          <w:sz w:val="18"/>
          <w:szCs w:val="18"/>
          <w:color w:val="auto"/>
        </w:rPr>
      </w:pPr>
    </w:p>
    <w:p>
      <w:pPr>
        <w:ind w:left="1160" w:hanging="348"/>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22"/>
          <w:szCs w:val="22"/>
          <w:color w:val="auto"/>
        </w:rPr>
        <w:t>o</w:t>
      </w:r>
    </w:p>
    <w:p>
      <w:pPr>
        <w:spacing w:after="0" w:line="21" w:lineRule="exact"/>
        <w:rPr>
          <w:rFonts w:ascii="Arial" w:cs="Arial" w:eastAsia="Arial" w:hAnsi="Arial"/>
          <w:sz w:val="18"/>
          <w:szCs w:val="18"/>
          <w:color w:val="auto"/>
        </w:rPr>
      </w:pPr>
    </w:p>
    <w:p>
      <w:pPr>
        <w:ind w:left="1160" w:hanging="348"/>
        <w:spacing w:after="0" w:line="387" w:lineRule="exact"/>
        <w:tabs>
          <w:tab w:leader="none" w:pos="1160" w:val="left"/>
        </w:tabs>
        <w:numPr>
          <w:ilvl w:val="1"/>
          <w:numId w:val="5"/>
        </w:numPr>
        <w:rPr>
          <w:rFonts w:ascii="Arial" w:cs="Arial" w:eastAsia="Arial" w:hAnsi="Arial"/>
          <w:sz w:val="18"/>
          <w:szCs w:val="18"/>
          <w:color w:val="auto"/>
        </w:rPr>
      </w:pPr>
      <w:r>
        <w:rPr>
          <w:rFonts w:ascii="MS PGothic" w:cs="MS PGothic" w:eastAsia="MS PGothic" w:hAnsi="MS PGothic"/>
          <w:sz w:val="43"/>
          <w:szCs w:val="43"/>
          <w:color w:val="auto"/>
          <w:vertAlign w:val="subscript"/>
        </w:rPr>
        <w:t>☒</w:t>
      </w:r>
    </w:p>
    <w:p>
      <w:pPr>
        <w:spacing w:after="0" w:line="200" w:lineRule="exact"/>
        <w:rPr>
          <w:rFonts w:ascii="Arial" w:cs="Arial" w:eastAsia="Arial" w:hAnsi="Arial"/>
          <w:sz w:val="18"/>
          <w:szCs w:val="18"/>
          <w:color w:val="auto"/>
        </w:rPr>
      </w:pPr>
    </w:p>
    <w:p>
      <w:pPr>
        <w:spacing w:after="0" w:line="218" w:lineRule="exact"/>
        <w:rPr>
          <w:rFonts w:ascii="Arial" w:cs="Arial" w:eastAsia="Arial" w:hAnsi="Arial"/>
          <w:sz w:val="18"/>
          <w:szCs w:val="18"/>
          <w:color w:val="auto"/>
        </w:rPr>
      </w:pPr>
    </w:p>
    <w:p>
      <w:pPr>
        <w:ind w:left="820" w:hanging="359"/>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820" w:right="7880" w:hanging="359"/>
        <w:spacing w:after="0" w:line="268" w:lineRule="auto"/>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 or Place of Organization: Tennessee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-872490</wp:posOffset>
            </wp:positionV>
            <wp:extent cx="718185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185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-443865</wp:posOffset>
            </wp:positionV>
            <wp:extent cx="718185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185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121285</wp:posOffset>
            </wp:positionV>
            <wp:extent cx="718185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1850" cy="2159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240" w:type="dxa"/>
            <w:vAlign w:val="bottom"/>
          </w:tcPr>
          <w:p>
            <w:pPr>
              <w:jc w:val="right"/>
              <w:ind w:right="12"/>
              <w:spacing w:after="0"/>
              <w:rPr>
                <w:sz w:val="20"/>
                <w:szCs w:val="20"/>
                <w:color w:val="auto"/>
              </w:rPr>
            </w:pPr>
            <w:r>
              <w:rPr>
                <w:rFonts w:ascii="Arial" w:cs="Arial" w:eastAsia="Arial" w:hAnsi="Arial"/>
                <w:sz w:val="18"/>
                <w:szCs w:val="18"/>
                <w:color w:val="auto"/>
                <w:w w:val="79"/>
              </w:rPr>
              <w:t>5.</w:t>
            </w:r>
          </w:p>
        </w:tc>
        <w:tc>
          <w:tcPr>
            <w:tcW w:w="990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22"/>
        </w:trPr>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900" w:type="dxa"/>
            <w:vAlign w:val="bottom"/>
          </w:tcPr>
          <w:p>
            <w:pPr>
              <w:ind w:left="100"/>
              <w:spacing w:after="0"/>
              <w:rPr>
                <w:sz w:val="20"/>
                <w:szCs w:val="20"/>
                <w:color w:val="auto"/>
              </w:rPr>
            </w:pPr>
            <w:r>
              <w:rPr>
                <w:rFonts w:ascii="Arial" w:cs="Arial" w:eastAsia="Arial" w:hAnsi="Arial"/>
                <w:sz w:val="18"/>
                <w:szCs w:val="18"/>
                <w:color w:val="auto"/>
              </w:rPr>
              <w:t>2,192,300</w:t>
            </w:r>
          </w:p>
        </w:tc>
        <w:tc>
          <w:tcPr>
            <w:tcW w:w="0" w:type="dxa"/>
            <w:vAlign w:val="bottom"/>
          </w:tcPr>
          <w:p>
            <w:pPr>
              <w:spacing w:after="0"/>
              <w:rPr>
                <w:sz w:val="1"/>
                <w:szCs w:val="1"/>
                <w:color w:val="auto"/>
              </w:rPr>
            </w:pPr>
          </w:p>
        </w:tc>
      </w:tr>
      <w:tr>
        <w:trPr>
          <w:trHeight w:val="228"/>
        </w:trPr>
        <w:tc>
          <w:tcPr>
            <w:tcW w:w="1060" w:type="dxa"/>
            <w:vAlign w:val="bottom"/>
            <w:vMerge w:val="restart"/>
          </w:tcPr>
          <w:p>
            <w:pPr>
              <w:jc w:val="center"/>
              <w:ind w:right="114"/>
              <w:spacing w:after="0"/>
              <w:rPr>
                <w:sz w:val="20"/>
                <w:szCs w:val="20"/>
                <w:color w:val="auto"/>
              </w:rPr>
            </w:pPr>
            <w:r>
              <w:rPr>
                <w:rFonts w:ascii="Arial" w:cs="Arial" w:eastAsia="Arial" w:hAnsi="Arial"/>
                <w:sz w:val="18"/>
                <w:szCs w:val="18"/>
                <w:color w:val="auto"/>
                <w:w w:val="92"/>
              </w:rPr>
              <w:t>Number of</w:t>
            </w:r>
          </w:p>
        </w:tc>
        <w:tc>
          <w:tcPr>
            <w:tcW w:w="240" w:type="dxa"/>
            <w:vAlign w:val="bottom"/>
            <w:tcBorders>
              <w:bottom w:val="single" w:sz="8" w:color="808080"/>
            </w:tcBorders>
          </w:tcPr>
          <w:p>
            <w:pPr>
              <w:spacing w:after="0"/>
              <w:rPr>
                <w:sz w:val="19"/>
                <w:szCs w:val="19"/>
                <w:color w:val="auto"/>
              </w:rPr>
            </w:pPr>
          </w:p>
        </w:tc>
        <w:tc>
          <w:tcPr>
            <w:tcW w:w="99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326"/>
        </w:trPr>
        <w:tc>
          <w:tcPr>
            <w:tcW w:w="1060" w:type="dxa"/>
            <w:vAlign w:val="bottom"/>
            <w:vMerge w:val="continue"/>
          </w:tcPr>
          <w:p>
            <w:pPr>
              <w:spacing w:after="0"/>
              <w:rPr>
                <w:sz w:val="24"/>
                <w:szCs w:val="24"/>
                <w:color w:val="auto"/>
              </w:rPr>
            </w:pPr>
          </w:p>
        </w:tc>
        <w:tc>
          <w:tcPr>
            <w:tcW w:w="240" w:type="dxa"/>
            <w:vAlign w:val="bottom"/>
            <w:vMerge w:val="restart"/>
          </w:tcPr>
          <w:p>
            <w:pPr>
              <w:jc w:val="right"/>
              <w:ind w:right="12"/>
              <w:spacing w:after="0"/>
              <w:rPr>
                <w:sz w:val="20"/>
                <w:szCs w:val="20"/>
                <w:color w:val="auto"/>
              </w:rPr>
            </w:pPr>
            <w:r>
              <w:rPr>
                <w:rFonts w:ascii="Arial" w:cs="Arial" w:eastAsia="Arial" w:hAnsi="Arial"/>
                <w:sz w:val="18"/>
                <w:szCs w:val="18"/>
                <w:color w:val="auto"/>
                <w:w w:val="79"/>
              </w:rPr>
              <w:t>6.</w:t>
            </w:r>
          </w:p>
        </w:tc>
        <w:tc>
          <w:tcPr>
            <w:tcW w:w="9900" w:type="dxa"/>
            <w:vAlign w:val="bottom"/>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5"/>
        </w:trPr>
        <w:tc>
          <w:tcPr>
            <w:tcW w:w="1060" w:type="dxa"/>
            <w:vAlign w:val="bottom"/>
            <w:vMerge w:val="restart"/>
          </w:tcPr>
          <w:p>
            <w:pPr>
              <w:jc w:val="center"/>
              <w:ind w:right="114"/>
              <w:spacing w:after="0"/>
              <w:rPr>
                <w:sz w:val="20"/>
                <w:szCs w:val="20"/>
                <w:color w:val="auto"/>
              </w:rPr>
            </w:pPr>
            <w:r>
              <w:rPr>
                <w:rFonts w:ascii="Arial" w:cs="Arial" w:eastAsia="Arial" w:hAnsi="Arial"/>
                <w:sz w:val="18"/>
                <w:szCs w:val="18"/>
                <w:color w:val="auto"/>
                <w:w w:val="80"/>
              </w:rPr>
              <w:t>Shares</w:t>
            </w:r>
          </w:p>
        </w:tc>
        <w:tc>
          <w:tcPr>
            <w:tcW w:w="240" w:type="dxa"/>
            <w:vAlign w:val="bottom"/>
            <w:vMerge w:val="continue"/>
          </w:tcPr>
          <w:p>
            <w:pPr>
              <w:spacing w:after="0"/>
              <w:rPr>
                <w:sz w:val="8"/>
                <w:szCs w:val="8"/>
                <w:color w:val="auto"/>
              </w:rPr>
            </w:pPr>
          </w:p>
        </w:tc>
        <w:tc>
          <w:tcPr>
            <w:tcW w:w="9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06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9900" w:type="dxa"/>
            <w:vAlign w:val="bottom"/>
            <w:vMerge w:val="restart"/>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1"/>
        </w:trPr>
        <w:tc>
          <w:tcPr>
            <w:tcW w:w="1060" w:type="dxa"/>
            <w:vAlign w:val="bottom"/>
            <w:vMerge w:val="restart"/>
          </w:tcPr>
          <w:p>
            <w:pPr>
              <w:jc w:val="center"/>
              <w:ind w:right="114"/>
              <w:spacing w:after="0"/>
              <w:rPr>
                <w:sz w:val="20"/>
                <w:szCs w:val="20"/>
                <w:color w:val="auto"/>
              </w:rPr>
            </w:pPr>
            <w:r>
              <w:rPr>
                <w:rFonts w:ascii="Arial" w:cs="Arial" w:eastAsia="Arial" w:hAnsi="Arial"/>
                <w:sz w:val="18"/>
                <w:szCs w:val="18"/>
                <w:color w:val="auto"/>
                <w:w w:val="94"/>
              </w:rPr>
              <w:t>Beneficially</w:t>
            </w:r>
          </w:p>
        </w:tc>
        <w:tc>
          <w:tcPr>
            <w:tcW w:w="240" w:type="dxa"/>
            <w:vAlign w:val="bottom"/>
          </w:tcPr>
          <w:p>
            <w:pPr>
              <w:spacing w:after="0"/>
              <w:rPr>
                <w:sz w:val="8"/>
                <w:szCs w:val="8"/>
                <w:color w:val="auto"/>
              </w:rPr>
            </w:pPr>
          </w:p>
        </w:tc>
        <w:tc>
          <w:tcPr>
            <w:tcW w:w="9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06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9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1060" w:type="dxa"/>
            <w:vAlign w:val="bottom"/>
            <w:vMerge w:val="restart"/>
          </w:tcPr>
          <w:p>
            <w:pPr>
              <w:jc w:val="center"/>
              <w:ind w:right="114"/>
              <w:spacing w:after="0"/>
              <w:rPr>
                <w:sz w:val="20"/>
                <w:szCs w:val="20"/>
                <w:color w:val="auto"/>
              </w:rPr>
            </w:pPr>
            <w:r>
              <w:rPr>
                <w:rFonts w:ascii="Arial" w:cs="Arial" w:eastAsia="Arial" w:hAnsi="Arial"/>
                <w:sz w:val="18"/>
                <w:szCs w:val="18"/>
                <w:color w:val="auto"/>
                <w:w w:val="91"/>
              </w:rPr>
              <w:t>Owned by</w:t>
            </w:r>
          </w:p>
        </w:tc>
        <w:tc>
          <w:tcPr>
            <w:tcW w:w="240" w:type="dxa"/>
            <w:vAlign w:val="bottom"/>
            <w:tcBorders>
              <w:bottom w:val="single" w:sz="8" w:color="808080"/>
            </w:tcBorders>
          </w:tcPr>
          <w:p>
            <w:pPr>
              <w:spacing w:after="0"/>
              <w:rPr>
                <w:sz w:val="9"/>
                <w:szCs w:val="9"/>
                <w:color w:val="auto"/>
              </w:rPr>
            </w:pPr>
          </w:p>
        </w:tc>
        <w:tc>
          <w:tcPr>
            <w:tcW w:w="99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106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9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060" w:type="dxa"/>
            <w:vAlign w:val="bottom"/>
          </w:tcPr>
          <w:p>
            <w:pPr>
              <w:jc w:val="center"/>
              <w:ind w:right="114"/>
              <w:spacing w:after="0"/>
              <w:rPr>
                <w:sz w:val="20"/>
                <w:szCs w:val="20"/>
                <w:color w:val="auto"/>
              </w:rPr>
            </w:pPr>
            <w:r>
              <w:rPr>
                <w:rFonts w:ascii="Arial" w:cs="Arial" w:eastAsia="Arial" w:hAnsi="Arial"/>
                <w:sz w:val="18"/>
                <w:szCs w:val="18"/>
                <w:color w:val="auto"/>
                <w:w w:val="82"/>
              </w:rPr>
              <w:t>Each</w:t>
            </w:r>
          </w:p>
        </w:tc>
        <w:tc>
          <w:tcPr>
            <w:tcW w:w="240" w:type="dxa"/>
            <w:vAlign w:val="bottom"/>
            <w:vMerge w:val="restart"/>
          </w:tcPr>
          <w:p>
            <w:pPr>
              <w:jc w:val="right"/>
              <w:ind w:right="12"/>
              <w:spacing w:after="0"/>
              <w:rPr>
                <w:sz w:val="20"/>
                <w:szCs w:val="20"/>
                <w:color w:val="auto"/>
              </w:rPr>
            </w:pPr>
            <w:r>
              <w:rPr>
                <w:rFonts w:ascii="Arial" w:cs="Arial" w:eastAsia="Arial" w:hAnsi="Arial"/>
                <w:sz w:val="18"/>
                <w:szCs w:val="18"/>
                <w:color w:val="auto"/>
                <w:w w:val="79"/>
              </w:rPr>
              <w:t>7.</w:t>
            </w:r>
          </w:p>
        </w:tc>
        <w:tc>
          <w:tcPr>
            <w:tcW w:w="9900" w:type="dxa"/>
            <w:vAlign w:val="bottom"/>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36"/>
        </w:trPr>
        <w:tc>
          <w:tcPr>
            <w:tcW w:w="1060" w:type="dxa"/>
            <w:vAlign w:val="bottom"/>
          </w:tcPr>
          <w:p>
            <w:pPr>
              <w:jc w:val="center"/>
              <w:ind w:right="114"/>
              <w:spacing w:after="0" w:line="136" w:lineRule="exact"/>
              <w:rPr>
                <w:sz w:val="20"/>
                <w:szCs w:val="20"/>
                <w:color w:val="auto"/>
              </w:rPr>
            </w:pPr>
            <w:r>
              <w:rPr>
                <w:rFonts w:ascii="Arial" w:cs="Arial" w:eastAsia="Arial" w:hAnsi="Arial"/>
                <w:sz w:val="15"/>
                <w:szCs w:val="15"/>
                <w:color w:val="auto"/>
              </w:rPr>
              <w:t>Reporting</w:t>
            </w:r>
          </w:p>
        </w:tc>
        <w:tc>
          <w:tcPr>
            <w:tcW w:w="240" w:type="dxa"/>
            <w:vAlign w:val="bottom"/>
            <w:vMerge w:val="continue"/>
          </w:tcPr>
          <w:p>
            <w:pPr>
              <w:spacing w:after="0"/>
              <w:rPr>
                <w:sz w:val="11"/>
                <w:szCs w:val="11"/>
                <w:color w:val="auto"/>
              </w:rPr>
            </w:pPr>
          </w:p>
        </w:tc>
        <w:tc>
          <w:tcPr>
            <w:tcW w:w="9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7168515</wp:posOffset>
            </wp:positionH>
            <wp:positionV relativeFrom="paragraph">
              <wp:posOffset>-855980</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736600</wp:posOffset>
            </wp:positionH>
            <wp:positionV relativeFrom="paragraph">
              <wp:posOffset>-855980</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7168515</wp:posOffset>
            </wp:positionH>
            <wp:positionV relativeFrom="paragraph">
              <wp:posOffset>-290195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736600</wp:posOffset>
            </wp:positionH>
            <wp:positionV relativeFrom="paragraph">
              <wp:posOffset>-290195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tbl>
      <w:tblPr>
        <w:tblLayout w:type="fixed"/>
        <w:tblInd w:w="100" w:type="dxa"/>
        <w:tblCellMar>
          <w:top w:w="0" w:type="dxa"/>
          <w:left w:w="0" w:type="dxa"/>
          <w:bottom w:w="0" w:type="dxa"/>
          <w:right w:w="0" w:type="dxa"/>
        </w:tblCellMar>
      </w:tblPr>
      <w:tr>
        <w:trPr>
          <w:trHeight w:val="222"/>
        </w:trPr>
        <w:tc>
          <w:tcPr>
            <w:tcW w:w="1060" w:type="dxa"/>
            <w:vAlign w:val="bottom"/>
            <w:vMerge w:val="restart"/>
          </w:tcPr>
          <w:p>
            <w:pPr>
              <w:spacing w:after="0"/>
              <w:rPr>
                <w:sz w:val="20"/>
                <w:szCs w:val="20"/>
                <w:color w:val="auto"/>
              </w:rPr>
            </w:pPr>
            <w:r>
              <w:rPr>
                <w:rFonts w:ascii="Arial" w:cs="Arial" w:eastAsia="Arial" w:hAnsi="Arial"/>
                <w:sz w:val="18"/>
                <w:szCs w:val="18"/>
                <w:color w:val="auto"/>
              </w:rPr>
              <w:t>Person With</w:t>
            </w:r>
          </w:p>
        </w:tc>
        <w:tc>
          <w:tcPr>
            <w:tcW w:w="10140" w:type="dxa"/>
            <w:vAlign w:val="bottom"/>
          </w:tcPr>
          <w:p>
            <w:pPr>
              <w:jc w:val="right"/>
              <w:ind w:right="9012"/>
              <w:spacing w:after="0"/>
              <w:rPr>
                <w:sz w:val="20"/>
                <w:szCs w:val="20"/>
                <w:color w:val="auto"/>
              </w:rPr>
            </w:pPr>
            <w:r>
              <w:rPr>
                <w:rFonts w:ascii="Arial" w:cs="Arial" w:eastAsia="Arial" w:hAnsi="Arial"/>
                <w:sz w:val="18"/>
                <w:szCs w:val="18"/>
                <w:color w:val="auto"/>
              </w:rPr>
              <w:t>2,192,300</w:t>
            </w:r>
          </w:p>
        </w:tc>
        <w:tc>
          <w:tcPr>
            <w:tcW w:w="0" w:type="dxa"/>
            <w:vAlign w:val="bottom"/>
          </w:tcPr>
          <w:p>
            <w:pPr>
              <w:spacing w:after="0"/>
              <w:rPr>
                <w:sz w:val="1"/>
                <w:szCs w:val="1"/>
                <w:color w:val="auto"/>
              </w:rPr>
            </w:pPr>
          </w:p>
        </w:tc>
      </w:tr>
      <w:tr>
        <w:trPr>
          <w:trHeight w:val="81"/>
        </w:trPr>
        <w:tc>
          <w:tcPr>
            <w:tcW w:w="1060" w:type="dxa"/>
            <w:vAlign w:val="bottom"/>
            <w:vMerge w:val="continue"/>
          </w:tcPr>
          <w:p>
            <w:pPr>
              <w:spacing w:after="0"/>
              <w:rPr>
                <w:sz w:val="7"/>
                <w:szCs w:val="7"/>
                <w:color w:val="auto"/>
              </w:rPr>
            </w:pPr>
          </w:p>
        </w:tc>
        <w:tc>
          <w:tcPr>
            <w:tcW w:w="10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060" w:type="dxa"/>
            <w:vAlign w:val="bottom"/>
          </w:tcPr>
          <w:p>
            <w:pPr>
              <w:spacing w:after="0"/>
              <w:rPr>
                <w:sz w:val="11"/>
                <w:szCs w:val="11"/>
                <w:color w:val="auto"/>
              </w:rPr>
            </w:pPr>
          </w:p>
        </w:tc>
        <w:tc>
          <w:tcPr>
            <w:tcW w:w="101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7168515</wp:posOffset>
            </wp:positionH>
            <wp:positionV relativeFrom="paragraph">
              <wp:posOffset>-14605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736600</wp:posOffset>
            </wp:positionH>
            <wp:positionV relativeFrom="paragraph">
              <wp:posOffset>-14605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4" w:lineRule="exact"/>
        <w:rPr>
          <w:sz w:val="20"/>
          <w:szCs w:val="20"/>
          <w:color w:val="auto"/>
        </w:rPr>
      </w:pPr>
    </w:p>
    <w:p>
      <w:pPr>
        <w:ind w:left="1500" w:right="7920" w:hanging="336"/>
        <w:spacing w:after="0" w:line="268" w:lineRule="auto"/>
        <w:tabs>
          <w:tab w:leader="none" w:pos="1500" w:val="left"/>
        </w:tabs>
        <w:numPr>
          <w:ilvl w:val="1"/>
          <w:numId w:val="6"/>
        </w:numPr>
        <w:rPr>
          <w:rFonts w:ascii="Arial" w:cs="Arial" w:eastAsia="Arial" w:hAnsi="Arial"/>
          <w:sz w:val="18"/>
          <w:szCs w:val="18"/>
          <w:color w:val="auto"/>
        </w:rPr>
      </w:pPr>
      <w:r>
        <w:rPr>
          <w:rFonts w:ascii="Arial" w:cs="Arial" w:eastAsia="Arial" w:hAnsi="Arial"/>
          <w:sz w:val="18"/>
          <w:szCs w:val="18"/>
          <w:color w:val="auto"/>
        </w:rPr>
        <w:t>Shared Dispositive Power: -0-</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820" w:right="5760" w:hanging="359"/>
        <w:spacing w:after="0" w:line="268" w:lineRule="auto"/>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2,192,300</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820" w:right="5620" w:hanging="359"/>
        <w:spacing w:after="0" w:line="268" w:lineRule="auto"/>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o</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820" w:right="6740" w:hanging="359"/>
        <w:spacing w:after="0" w:line="268" w:lineRule="auto"/>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Percent of Class Represented by Amount in Row (9): 5.22%</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820" w:hanging="359"/>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15" w:lineRule="exact"/>
        <w:rPr>
          <w:rFonts w:ascii="Arial" w:cs="Arial" w:eastAsia="Arial" w:hAnsi="Arial"/>
          <w:sz w:val="18"/>
          <w:szCs w:val="18"/>
          <w:color w:val="auto"/>
        </w:rPr>
      </w:pPr>
    </w:p>
    <w:p>
      <w:pPr>
        <w:ind w:left="820"/>
        <w:spacing w:after="0"/>
        <w:rPr>
          <w:rFonts w:ascii="Arial" w:cs="Arial" w:eastAsia="Arial" w:hAnsi="Arial"/>
          <w:sz w:val="18"/>
          <w:szCs w:val="18"/>
          <w:color w:val="auto"/>
        </w:rPr>
      </w:pPr>
      <w:r>
        <w:rPr>
          <w:rFonts w:ascii="Arial" w:cs="Arial" w:eastAsia="Arial" w:hAnsi="Arial"/>
          <w:sz w:val="18"/>
          <w:szCs w:val="18"/>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-2120900</wp:posOffset>
            </wp:positionV>
            <wp:extent cx="718185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185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-1555115</wp:posOffset>
            </wp:positionV>
            <wp:extent cx="718185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185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-989330</wp:posOffset>
            </wp:positionV>
            <wp:extent cx="718185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185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-422910</wp:posOffset>
            </wp:positionV>
            <wp:extent cx="718185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185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142240</wp:posOffset>
            </wp:positionV>
            <wp:extent cx="718185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1850" cy="21590"/>
                    </a:xfrm>
                    <a:prstGeom prst="rect">
                      <a:avLst/>
                    </a:prstGeom>
                    <a:noFill/>
                  </pic:spPr>
                </pic:pic>
              </a:graphicData>
            </a:graphic>
          </wp:anchor>
        </w:drawing>
        <w:drawing>
          <wp:anchor simplePos="0" relativeHeight="251657728" behindDoc="1" locked="0" layoutInCell="0" allowOverlap="1">
            <wp:simplePos x="0" y="0"/>
            <wp:positionH relativeFrom="column">
              <wp:posOffset>-34290</wp:posOffset>
            </wp:positionH>
            <wp:positionV relativeFrom="paragraph">
              <wp:posOffset>399415</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300" w:top="1320" w:right="299" w:bottom="1440" w:gutter="0" w:footer="0" w:header="0"/>
        </w:sectPr>
      </w:pPr>
    </w:p>
    <w:bookmarkStart w:id="4" w:name="page5"/>
    <w:bookmarkEnd w:id="4"/>
    <w:tbl>
      <w:tblPr>
        <w:tblLayout w:type="fixed"/>
        <w:tblInd w:w="30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660" w:type="dxa"/>
            <w:vAlign w:val="bottom"/>
            <w:vMerge w:val="restart"/>
          </w:tcPr>
          <w:p>
            <w:pPr>
              <w:ind w:left="220"/>
              <w:spacing w:after="0"/>
              <w:rPr>
                <w:sz w:val="20"/>
                <w:szCs w:val="20"/>
                <w:color w:val="auto"/>
              </w:rPr>
            </w:pPr>
            <w:r>
              <w:rPr>
                <w:rFonts w:ascii="Arial" w:cs="Arial" w:eastAsia="Arial" w:hAnsi="Arial"/>
                <w:sz w:val="18"/>
                <w:szCs w:val="18"/>
                <w:color w:val="auto"/>
              </w:rPr>
              <w:t>(a)</w:t>
            </w:r>
          </w:p>
        </w:tc>
        <w:tc>
          <w:tcPr>
            <w:tcW w:w="5240" w:type="dxa"/>
            <w:vAlign w:val="bottom"/>
            <w:vMerge w:val="restart"/>
          </w:tcPr>
          <w:p>
            <w:pPr>
              <w:ind w:left="220"/>
              <w:spacing w:after="0"/>
              <w:rPr>
                <w:sz w:val="20"/>
                <w:szCs w:val="20"/>
                <w:color w:val="auto"/>
              </w:rPr>
            </w:pPr>
            <w:r>
              <w:rPr>
                <w:rFonts w:ascii="Arial" w:cs="Arial" w:eastAsia="Arial" w:hAnsi="Arial"/>
                <w:sz w:val="18"/>
                <w:szCs w:val="18"/>
                <w:color w:val="auto"/>
              </w:rPr>
              <w:t>Name of Issuer:</w:t>
            </w:r>
          </w:p>
        </w:tc>
        <w:tc>
          <w:tcPr>
            <w:tcW w:w="3680" w:type="dxa"/>
            <w:vAlign w:val="bottom"/>
            <w:vMerge w:val="restart"/>
          </w:tcPr>
          <w:p>
            <w:pPr>
              <w:ind w:left="720"/>
              <w:spacing w:after="0"/>
              <w:rPr>
                <w:sz w:val="20"/>
                <w:szCs w:val="20"/>
                <w:color w:val="auto"/>
              </w:rPr>
            </w:pPr>
            <w:r>
              <w:rPr>
                <w:rFonts w:ascii="Arial" w:cs="Arial" w:eastAsia="Arial" w:hAnsi="Arial"/>
                <w:sz w:val="18"/>
                <w:szCs w:val="18"/>
                <w:b w:val="1"/>
                <w:bCs w:val="1"/>
                <w:color w:val="auto"/>
              </w:rPr>
              <w:t>Active Power, Inc.</w:t>
            </w:r>
          </w:p>
        </w:tc>
        <w:tc>
          <w:tcPr>
            <w:tcW w:w="0" w:type="dxa"/>
            <w:vAlign w:val="bottom"/>
          </w:tcPr>
          <w:p>
            <w:pPr>
              <w:spacing w:after="0"/>
              <w:rPr>
                <w:sz w:val="1"/>
                <w:szCs w:val="1"/>
                <w:color w:val="auto"/>
              </w:rPr>
            </w:pPr>
          </w:p>
        </w:tc>
      </w:tr>
      <w:tr>
        <w:trPr>
          <w:trHeight w:val="198"/>
        </w:trPr>
        <w:tc>
          <w:tcPr>
            <w:tcW w:w="76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5240" w:type="dxa"/>
            <w:vAlign w:val="bottom"/>
            <w:vMerge w:val="continue"/>
          </w:tcPr>
          <w:p>
            <w:pPr>
              <w:spacing w:after="0"/>
              <w:rPr>
                <w:sz w:val="17"/>
                <w:szCs w:val="17"/>
                <w:color w:val="auto"/>
              </w:rPr>
            </w:pPr>
          </w:p>
        </w:tc>
        <w:tc>
          <w:tcPr>
            <w:tcW w:w="3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Arial" w:cs="Arial" w:eastAsia="Arial" w:hAnsi="Arial"/>
                <w:sz w:val="18"/>
                <w:szCs w:val="18"/>
                <w:color w:val="auto"/>
              </w:rPr>
              <w:t>(b)</w:t>
            </w:r>
          </w:p>
        </w:tc>
        <w:tc>
          <w:tcPr>
            <w:tcW w:w="5240" w:type="dxa"/>
            <w:vAlign w:val="bottom"/>
          </w:tcPr>
          <w:p>
            <w:pPr>
              <w:ind w:left="220"/>
              <w:spacing w:after="0"/>
              <w:rPr>
                <w:sz w:val="20"/>
                <w:szCs w:val="20"/>
                <w:color w:val="auto"/>
              </w:rPr>
            </w:pPr>
            <w:r>
              <w:rPr>
                <w:rFonts w:ascii="Arial" w:cs="Arial" w:eastAsia="Arial" w:hAnsi="Arial"/>
                <w:sz w:val="18"/>
                <w:szCs w:val="18"/>
                <w:color w:val="auto"/>
              </w:rPr>
              <w:t>Address of Issuer’s Principal Executive Offices:</w:t>
            </w:r>
          </w:p>
        </w:tc>
        <w:tc>
          <w:tcPr>
            <w:tcW w:w="3680" w:type="dxa"/>
            <w:vAlign w:val="bottom"/>
          </w:tcPr>
          <w:p>
            <w:pPr>
              <w:ind w:left="720"/>
              <w:spacing w:after="0"/>
              <w:rPr>
                <w:sz w:val="20"/>
                <w:szCs w:val="20"/>
                <w:color w:val="auto"/>
              </w:rPr>
            </w:pPr>
            <w:r>
              <w:rPr>
                <w:rFonts w:ascii="Arial" w:cs="Arial" w:eastAsia="Arial" w:hAnsi="Arial"/>
                <w:sz w:val="18"/>
                <w:szCs w:val="18"/>
                <w:b w:val="1"/>
                <w:bCs w:val="1"/>
                <w:color w:val="auto"/>
                <w:w w:val="99"/>
              </w:rPr>
              <w:t>11525 Stonehollow Drive Suite 110</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3680" w:type="dxa"/>
            <w:vAlign w:val="bottom"/>
          </w:tcPr>
          <w:p>
            <w:pPr>
              <w:ind w:left="720"/>
              <w:spacing w:after="0"/>
              <w:rPr>
                <w:sz w:val="20"/>
                <w:szCs w:val="20"/>
                <w:color w:val="auto"/>
              </w:rPr>
            </w:pPr>
            <w:r>
              <w:rPr>
                <w:rFonts w:ascii="Arial" w:cs="Arial" w:eastAsia="Arial" w:hAnsi="Arial"/>
                <w:sz w:val="18"/>
                <w:szCs w:val="18"/>
                <w:b w:val="1"/>
                <w:bCs w:val="1"/>
                <w:color w:val="auto"/>
              </w:rPr>
              <w:t>Austin, TX 78758</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660" w:type="dxa"/>
            <w:vAlign w:val="bottom"/>
          </w:tcPr>
          <w:p>
            <w:pPr>
              <w:ind w:left="220"/>
              <w:spacing w:after="0"/>
              <w:rPr>
                <w:sz w:val="20"/>
                <w:szCs w:val="20"/>
                <w:color w:val="auto"/>
              </w:rPr>
            </w:pPr>
            <w:r>
              <w:rPr>
                <w:rFonts w:ascii="Arial" w:cs="Arial" w:eastAsia="Arial" w:hAnsi="Arial"/>
                <w:sz w:val="18"/>
                <w:szCs w:val="18"/>
                <w:color w:val="auto"/>
              </w:rPr>
              <w:t>(a)</w:t>
            </w:r>
          </w:p>
        </w:tc>
        <w:tc>
          <w:tcPr>
            <w:tcW w:w="5240" w:type="dxa"/>
            <w:vAlign w:val="bottom"/>
          </w:tcPr>
          <w:p>
            <w:pPr>
              <w:ind w:left="220"/>
              <w:spacing w:after="0"/>
              <w:rPr>
                <w:sz w:val="20"/>
                <w:szCs w:val="20"/>
                <w:color w:val="auto"/>
              </w:rPr>
            </w:pPr>
            <w:r>
              <w:rPr>
                <w:rFonts w:ascii="Arial" w:cs="Arial" w:eastAsia="Arial" w:hAnsi="Arial"/>
                <w:sz w:val="18"/>
                <w:szCs w:val="18"/>
                <w:color w:val="auto"/>
              </w:rPr>
              <w:t>Name of Person Filing</w:t>
            </w:r>
          </w:p>
        </w:tc>
        <w:tc>
          <w:tcPr>
            <w:tcW w:w="3680" w:type="dxa"/>
            <w:vAlign w:val="bottom"/>
          </w:tcPr>
          <w:p>
            <w:pPr>
              <w:ind w:left="720"/>
              <w:spacing w:after="0"/>
              <w:rPr>
                <w:sz w:val="20"/>
                <w:szCs w:val="20"/>
                <w:color w:val="auto"/>
              </w:rPr>
            </w:pPr>
            <w:r>
              <w:rPr>
                <w:rFonts w:ascii="Arial" w:cs="Arial" w:eastAsia="Arial" w:hAnsi="Arial"/>
                <w:sz w:val="18"/>
                <w:szCs w:val="18"/>
                <w:b w:val="1"/>
                <w:bCs w:val="1"/>
                <w:color w:val="auto"/>
                <w:w w:val="91"/>
              </w:rPr>
              <w:t>North American Equity Investors, Inc.</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Arial" w:cs="Arial" w:eastAsia="Arial" w:hAnsi="Arial"/>
                <w:sz w:val="18"/>
                <w:szCs w:val="18"/>
                <w:color w:val="auto"/>
              </w:rPr>
              <w:t>(b)</w:t>
            </w:r>
          </w:p>
        </w:tc>
        <w:tc>
          <w:tcPr>
            <w:tcW w:w="5240" w:type="dxa"/>
            <w:vAlign w:val="bottom"/>
          </w:tcPr>
          <w:p>
            <w:pPr>
              <w:ind w:left="220"/>
              <w:spacing w:after="0"/>
              <w:rPr>
                <w:sz w:val="20"/>
                <w:szCs w:val="20"/>
                <w:color w:val="auto"/>
              </w:rPr>
            </w:pPr>
            <w:r>
              <w:rPr>
                <w:rFonts w:ascii="Arial" w:cs="Arial" w:eastAsia="Arial" w:hAnsi="Arial"/>
                <w:sz w:val="18"/>
                <w:szCs w:val="18"/>
                <w:color w:val="auto"/>
              </w:rPr>
              <w:t>Address of Principal Business Office or, if none, Residence:</w:t>
            </w:r>
          </w:p>
        </w:tc>
        <w:tc>
          <w:tcPr>
            <w:tcW w:w="3680" w:type="dxa"/>
            <w:vAlign w:val="bottom"/>
          </w:tcPr>
          <w:p>
            <w:pPr>
              <w:ind w:left="720"/>
              <w:spacing w:after="0"/>
              <w:rPr>
                <w:sz w:val="20"/>
                <w:szCs w:val="20"/>
                <w:color w:val="auto"/>
              </w:rPr>
            </w:pPr>
            <w:r>
              <w:rPr>
                <w:rFonts w:ascii="Arial" w:cs="Arial" w:eastAsia="Arial" w:hAnsi="Arial"/>
                <w:sz w:val="18"/>
                <w:szCs w:val="18"/>
                <w:b w:val="1"/>
                <w:bCs w:val="1"/>
                <w:color w:val="auto"/>
              </w:rPr>
              <w:t>1245 Bridgestone Boulevard</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3680" w:type="dxa"/>
            <w:vAlign w:val="bottom"/>
          </w:tcPr>
          <w:p>
            <w:pPr>
              <w:ind w:left="720"/>
              <w:spacing w:after="0"/>
              <w:rPr>
                <w:sz w:val="20"/>
                <w:szCs w:val="20"/>
                <w:color w:val="auto"/>
              </w:rPr>
            </w:pPr>
            <w:r>
              <w:rPr>
                <w:rFonts w:ascii="Arial" w:cs="Arial" w:eastAsia="Arial" w:hAnsi="Arial"/>
                <w:sz w:val="18"/>
                <w:szCs w:val="18"/>
                <w:b w:val="1"/>
                <w:bCs w:val="1"/>
                <w:color w:val="auto"/>
              </w:rPr>
              <w:t>LaVergne, TN 37015</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Arial" w:cs="Arial" w:eastAsia="Arial" w:hAnsi="Arial"/>
                <w:sz w:val="18"/>
                <w:szCs w:val="18"/>
                <w:color w:val="auto"/>
              </w:rPr>
              <w:t>(c)</w:t>
            </w:r>
          </w:p>
        </w:tc>
        <w:tc>
          <w:tcPr>
            <w:tcW w:w="5240" w:type="dxa"/>
            <w:vAlign w:val="bottom"/>
          </w:tcPr>
          <w:p>
            <w:pPr>
              <w:ind w:left="220"/>
              <w:spacing w:after="0"/>
              <w:rPr>
                <w:sz w:val="20"/>
                <w:szCs w:val="20"/>
                <w:color w:val="auto"/>
              </w:rPr>
            </w:pPr>
            <w:r>
              <w:rPr>
                <w:rFonts w:ascii="Arial" w:cs="Arial" w:eastAsia="Arial" w:hAnsi="Arial"/>
                <w:sz w:val="18"/>
                <w:szCs w:val="18"/>
                <w:color w:val="auto"/>
              </w:rPr>
              <w:t>Citizenship:</w:t>
            </w:r>
          </w:p>
        </w:tc>
        <w:tc>
          <w:tcPr>
            <w:tcW w:w="3680" w:type="dxa"/>
            <w:vAlign w:val="bottom"/>
          </w:tcPr>
          <w:p>
            <w:pPr>
              <w:ind w:left="720"/>
              <w:spacing w:after="0"/>
              <w:rPr>
                <w:sz w:val="20"/>
                <w:szCs w:val="20"/>
                <w:color w:val="auto"/>
              </w:rPr>
            </w:pPr>
            <w:r>
              <w:rPr>
                <w:rFonts w:ascii="Arial" w:cs="Arial" w:eastAsia="Arial" w:hAnsi="Arial"/>
                <w:sz w:val="18"/>
                <w:szCs w:val="18"/>
                <w:b w:val="1"/>
                <w:bCs w:val="1"/>
                <w:color w:val="auto"/>
              </w:rPr>
              <w:t>Delaware</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Arial" w:cs="Arial" w:eastAsia="Arial" w:hAnsi="Arial"/>
                <w:sz w:val="18"/>
                <w:szCs w:val="18"/>
                <w:color w:val="auto"/>
              </w:rPr>
              <w:t>(d)</w:t>
            </w:r>
          </w:p>
        </w:tc>
        <w:tc>
          <w:tcPr>
            <w:tcW w:w="5240" w:type="dxa"/>
            <w:vAlign w:val="bottom"/>
          </w:tcPr>
          <w:p>
            <w:pPr>
              <w:ind w:left="220"/>
              <w:spacing w:after="0"/>
              <w:rPr>
                <w:sz w:val="20"/>
                <w:szCs w:val="20"/>
                <w:color w:val="auto"/>
              </w:rPr>
            </w:pPr>
            <w:r>
              <w:rPr>
                <w:rFonts w:ascii="Arial" w:cs="Arial" w:eastAsia="Arial" w:hAnsi="Arial"/>
                <w:sz w:val="18"/>
                <w:szCs w:val="18"/>
                <w:color w:val="auto"/>
              </w:rPr>
              <w:t>Title of Class of Securities:</w:t>
            </w:r>
          </w:p>
        </w:tc>
        <w:tc>
          <w:tcPr>
            <w:tcW w:w="3680" w:type="dxa"/>
            <w:vAlign w:val="bottom"/>
          </w:tcPr>
          <w:p>
            <w:pPr>
              <w:ind w:left="720"/>
              <w:spacing w:after="0"/>
              <w:rPr>
                <w:sz w:val="20"/>
                <w:szCs w:val="20"/>
                <w:color w:val="auto"/>
              </w:rPr>
            </w:pPr>
            <w:r>
              <w:rPr>
                <w:rFonts w:ascii="Arial" w:cs="Arial" w:eastAsia="Arial" w:hAnsi="Arial"/>
                <w:sz w:val="18"/>
                <w:szCs w:val="18"/>
                <w:b w:val="1"/>
                <w:bCs w:val="1"/>
                <w:color w:val="auto"/>
              </w:rPr>
              <w:t>Common stock</w:t>
            </w:r>
          </w:p>
        </w:tc>
        <w:tc>
          <w:tcPr>
            <w:tcW w:w="0" w:type="dxa"/>
            <w:vAlign w:val="bottom"/>
          </w:tcPr>
          <w:p>
            <w:pPr>
              <w:spacing w:after="0"/>
              <w:rPr>
                <w:sz w:val="1"/>
                <w:szCs w:val="1"/>
                <w:color w:val="auto"/>
              </w:rPr>
            </w:pPr>
          </w:p>
        </w:tc>
      </w:tr>
      <w:tr>
        <w:trPr>
          <w:trHeight w:val="234"/>
        </w:trPr>
        <w:tc>
          <w:tcPr>
            <w:tcW w:w="760" w:type="dxa"/>
            <w:vAlign w:val="bottom"/>
          </w:tcPr>
          <w:p>
            <w:pPr>
              <w:spacing w:after="0"/>
              <w:rPr>
                <w:sz w:val="20"/>
                <w:szCs w:val="20"/>
                <w:color w:val="auto"/>
              </w:rPr>
            </w:pPr>
          </w:p>
        </w:tc>
        <w:tc>
          <w:tcPr>
            <w:tcW w:w="660" w:type="dxa"/>
            <w:vAlign w:val="bottom"/>
          </w:tcPr>
          <w:p>
            <w:pPr>
              <w:ind w:left="220"/>
              <w:spacing w:after="0"/>
              <w:rPr>
                <w:sz w:val="20"/>
                <w:szCs w:val="20"/>
                <w:color w:val="auto"/>
              </w:rPr>
            </w:pPr>
            <w:r>
              <w:rPr>
                <w:rFonts w:ascii="Arial" w:cs="Arial" w:eastAsia="Arial" w:hAnsi="Arial"/>
                <w:sz w:val="18"/>
                <w:szCs w:val="18"/>
                <w:color w:val="auto"/>
              </w:rPr>
              <w:t>(e)</w:t>
            </w:r>
          </w:p>
        </w:tc>
        <w:tc>
          <w:tcPr>
            <w:tcW w:w="5240" w:type="dxa"/>
            <w:vAlign w:val="bottom"/>
          </w:tcPr>
          <w:p>
            <w:pPr>
              <w:ind w:left="220"/>
              <w:spacing w:after="0"/>
              <w:rPr>
                <w:sz w:val="20"/>
                <w:szCs w:val="20"/>
                <w:color w:val="auto"/>
              </w:rPr>
            </w:pPr>
            <w:r>
              <w:rPr>
                <w:rFonts w:ascii="Arial" w:cs="Arial" w:eastAsia="Arial" w:hAnsi="Arial"/>
                <w:sz w:val="18"/>
                <w:szCs w:val="18"/>
                <w:color w:val="auto"/>
              </w:rPr>
              <w:t>CUSIP Number:</w:t>
            </w:r>
          </w:p>
        </w:tc>
        <w:tc>
          <w:tcPr>
            <w:tcW w:w="3680" w:type="dxa"/>
            <w:vAlign w:val="bottom"/>
          </w:tcPr>
          <w:p>
            <w:pPr>
              <w:ind w:left="720"/>
              <w:spacing w:after="0"/>
              <w:rPr>
                <w:sz w:val="20"/>
                <w:szCs w:val="20"/>
                <w:color w:val="auto"/>
              </w:rPr>
            </w:pPr>
            <w:r>
              <w:rPr>
                <w:rFonts w:ascii="Arial" w:cs="Arial" w:eastAsia="Arial" w:hAnsi="Arial"/>
                <w:sz w:val="18"/>
                <w:szCs w:val="18"/>
                <w:b w:val="1"/>
                <w:bCs w:val="1"/>
                <w:color w:val="auto"/>
              </w:rPr>
              <w:t>00504W100</w:t>
            </w: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§§240.13d-1(b) or 240.13d-2(b) or (c), check whether the person filing is a</w:t>
      </w:r>
      <w:r>
        <w:rPr>
          <w:rFonts w:ascii="Arial" w:cs="Arial" w:eastAsia="Arial" w:hAnsi="Arial"/>
          <w:sz w:val="18"/>
          <w:szCs w:val="18"/>
          <w:color w:val="auto"/>
        </w:rPr>
        <w:t>:</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940" w:type="dxa"/>
            <w:vAlign w:val="bottom"/>
          </w:tcPr>
          <w:p>
            <w:pPr>
              <w:ind w:left="260"/>
              <w:spacing w:after="0"/>
              <w:rPr>
                <w:sz w:val="20"/>
                <w:szCs w:val="20"/>
                <w:color w:val="auto"/>
              </w:rPr>
            </w:pPr>
            <w:r>
              <w:rPr>
                <w:rFonts w:ascii="Arial" w:cs="Arial" w:eastAsia="Arial" w:hAnsi="Arial"/>
                <w:sz w:val="18"/>
                <w:szCs w:val="18"/>
                <w:b w:val="1"/>
                <w:bCs w:val="1"/>
                <w:color w:val="auto"/>
              </w:rPr>
              <w:t>NOT APPLICABLE</w:t>
            </w:r>
          </w:p>
        </w:tc>
      </w:tr>
      <w:tr>
        <w:trPr>
          <w:trHeight w:val="216"/>
        </w:trPr>
        <w:tc>
          <w:tcPr>
            <w:tcW w:w="1620" w:type="dxa"/>
            <w:vAlign w:val="bottom"/>
          </w:tcPr>
          <w:p>
            <w:pPr>
              <w:ind w:left="860"/>
              <w:spacing w:after="0"/>
              <w:rPr>
                <w:sz w:val="20"/>
                <w:szCs w:val="20"/>
                <w:color w:val="auto"/>
              </w:rPr>
            </w:pPr>
            <w:r>
              <w:rPr>
                <w:rFonts w:ascii="Arial" w:cs="Arial" w:eastAsia="Arial" w:hAnsi="Arial"/>
                <w:sz w:val="18"/>
                <w:szCs w:val="18"/>
                <w:color w:val="auto"/>
              </w:rPr>
              <w:t>(a)</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7940" w:type="dxa"/>
            <w:vAlign w:val="bottom"/>
          </w:tcPr>
          <w:p>
            <w:pPr>
              <w:ind w:left="260"/>
              <w:spacing w:after="0"/>
              <w:rPr>
                <w:sz w:val="20"/>
                <w:szCs w:val="20"/>
                <w:color w:val="auto"/>
              </w:rPr>
            </w:pPr>
            <w:r>
              <w:rPr>
                <w:rFonts w:ascii="Arial" w:cs="Arial" w:eastAsia="Arial" w:hAnsi="Arial"/>
                <w:sz w:val="18"/>
                <w:szCs w:val="18"/>
                <w:color w:val="auto"/>
              </w:rPr>
              <w:t>Broker or dealer registered under section 15 of the Act (15 U.S.C. 78o).</w:t>
            </w:r>
          </w:p>
        </w:tc>
      </w:tr>
      <w:tr>
        <w:trPr>
          <w:trHeight w:val="216"/>
        </w:trPr>
        <w:tc>
          <w:tcPr>
            <w:tcW w:w="1620" w:type="dxa"/>
            <w:vAlign w:val="bottom"/>
          </w:tcPr>
          <w:p>
            <w:pPr>
              <w:ind w:left="860"/>
              <w:spacing w:after="0"/>
              <w:rPr>
                <w:sz w:val="20"/>
                <w:szCs w:val="20"/>
                <w:color w:val="auto"/>
              </w:rPr>
            </w:pPr>
            <w:r>
              <w:rPr>
                <w:rFonts w:ascii="Arial" w:cs="Arial" w:eastAsia="Arial" w:hAnsi="Arial"/>
                <w:sz w:val="18"/>
                <w:szCs w:val="18"/>
                <w:color w:val="auto"/>
              </w:rPr>
              <w:t>(b)</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7940" w:type="dxa"/>
            <w:vAlign w:val="bottom"/>
          </w:tcPr>
          <w:p>
            <w:pPr>
              <w:ind w:left="260"/>
              <w:spacing w:after="0"/>
              <w:rPr>
                <w:sz w:val="20"/>
                <w:szCs w:val="20"/>
                <w:color w:val="auto"/>
              </w:rPr>
            </w:pPr>
            <w:r>
              <w:rPr>
                <w:rFonts w:ascii="Arial" w:cs="Arial" w:eastAsia="Arial" w:hAnsi="Arial"/>
                <w:sz w:val="18"/>
                <w:szCs w:val="18"/>
                <w:color w:val="auto"/>
              </w:rPr>
              <w:t>Bank as defined in section 3(a)(6) of the Act (15 U.S.C. 78c).</w:t>
            </w:r>
          </w:p>
        </w:tc>
      </w:tr>
      <w:tr>
        <w:trPr>
          <w:trHeight w:val="216"/>
        </w:trPr>
        <w:tc>
          <w:tcPr>
            <w:tcW w:w="1620" w:type="dxa"/>
            <w:vAlign w:val="bottom"/>
          </w:tcPr>
          <w:p>
            <w:pPr>
              <w:ind w:left="860"/>
              <w:spacing w:after="0"/>
              <w:rPr>
                <w:sz w:val="20"/>
                <w:szCs w:val="20"/>
                <w:color w:val="auto"/>
              </w:rPr>
            </w:pPr>
            <w:r>
              <w:rPr>
                <w:rFonts w:ascii="Arial" w:cs="Arial" w:eastAsia="Arial" w:hAnsi="Arial"/>
                <w:sz w:val="18"/>
                <w:szCs w:val="18"/>
                <w:color w:val="auto"/>
              </w:rPr>
              <w:t>(c)</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7940" w:type="dxa"/>
            <w:vAlign w:val="bottom"/>
          </w:tcPr>
          <w:p>
            <w:pPr>
              <w:ind w:left="260"/>
              <w:spacing w:after="0"/>
              <w:rPr>
                <w:sz w:val="20"/>
                <w:szCs w:val="20"/>
                <w:color w:val="auto"/>
              </w:rPr>
            </w:pPr>
            <w:r>
              <w:rPr>
                <w:rFonts w:ascii="Arial" w:cs="Arial" w:eastAsia="Arial" w:hAnsi="Arial"/>
                <w:sz w:val="18"/>
                <w:szCs w:val="18"/>
                <w:color w:val="auto"/>
              </w:rPr>
              <w:t>Insurance company as defined in section 3(a)(19) of the Act (15 U.S.C. 78c).</w:t>
            </w:r>
          </w:p>
        </w:tc>
      </w:tr>
      <w:tr>
        <w:trPr>
          <w:trHeight w:val="216"/>
        </w:trPr>
        <w:tc>
          <w:tcPr>
            <w:tcW w:w="1620" w:type="dxa"/>
            <w:vAlign w:val="bottom"/>
          </w:tcPr>
          <w:p>
            <w:pPr>
              <w:ind w:left="860"/>
              <w:spacing w:after="0"/>
              <w:rPr>
                <w:sz w:val="20"/>
                <w:szCs w:val="20"/>
                <w:color w:val="auto"/>
              </w:rPr>
            </w:pPr>
            <w:r>
              <w:rPr>
                <w:rFonts w:ascii="Arial" w:cs="Arial" w:eastAsia="Arial" w:hAnsi="Arial"/>
                <w:sz w:val="18"/>
                <w:szCs w:val="18"/>
                <w:color w:val="auto"/>
              </w:rPr>
              <w:t>(d)</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7940" w:type="dxa"/>
            <w:vAlign w:val="bottom"/>
          </w:tcPr>
          <w:p>
            <w:pPr>
              <w:ind w:left="260"/>
              <w:spacing w:after="0"/>
              <w:rPr>
                <w:sz w:val="20"/>
                <w:szCs w:val="20"/>
                <w:color w:val="auto"/>
              </w:rPr>
            </w:pPr>
            <w:r>
              <w:rPr>
                <w:rFonts w:ascii="Arial" w:cs="Arial" w:eastAsia="Arial" w:hAnsi="Arial"/>
                <w:sz w:val="18"/>
                <w:szCs w:val="18"/>
                <w:color w:val="auto"/>
                <w:w w:val="90"/>
              </w:rPr>
              <w:t>Investment company registered under section 8 of the Investment Company Act of 1940 (15 U.S.C 80a-8).</w:t>
            </w:r>
          </w:p>
        </w:tc>
      </w:tr>
      <w:tr>
        <w:trPr>
          <w:trHeight w:val="216"/>
        </w:trPr>
        <w:tc>
          <w:tcPr>
            <w:tcW w:w="1620" w:type="dxa"/>
            <w:vAlign w:val="bottom"/>
          </w:tcPr>
          <w:p>
            <w:pPr>
              <w:ind w:left="860"/>
              <w:spacing w:after="0"/>
              <w:rPr>
                <w:sz w:val="20"/>
                <w:szCs w:val="20"/>
                <w:color w:val="auto"/>
              </w:rPr>
            </w:pPr>
            <w:r>
              <w:rPr>
                <w:rFonts w:ascii="Arial" w:cs="Arial" w:eastAsia="Arial" w:hAnsi="Arial"/>
                <w:sz w:val="18"/>
                <w:szCs w:val="18"/>
                <w:color w:val="auto"/>
              </w:rPr>
              <w:t>(e)</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7940" w:type="dxa"/>
            <w:vAlign w:val="bottom"/>
          </w:tcPr>
          <w:p>
            <w:pPr>
              <w:ind w:left="260"/>
              <w:spacing w:after="0"/>
              <w:rPr>
                <w:sz w:val="20"/>
                <w:szCs w:val="20"/>
                <w:color w:val="auto"/>
              </w:rPr>
            </w:pPr>
            <w:r>
              <w:rPr>
                <w:rFonts w:ascii="Arial" w:cs="Arial" w:eastAsia="Arial" w:hAnsi="Arial"/>
                <w:sz w:val="18"/>
                <w:szCs w:val="18"/>
                <w:color w:val="auto"/>
              </w:rPr>
              <w:t>An investment adviser in accordance with §240.13d-1(b)(1)(ii)(E);</w:t>
            </w:r>
          </w:p>
        </w:tc>
      </w:tr>
      <w:tr>
        <w:trPr>
          <w:trHeight w:val="216"/>
        </w:trPr>
        <w:tc>
          <w:tcPr>
            <w:tcW w:w="1620" w:type="dxa"/>
            <w:vAlign w:val="bottom"/>
          </w:tcPr>
          <w:p>
            <w:pPr>
              <w:ind w:left="860"/>
              <w:spacing w:after="0"/>
              <w:rPr>
                <w:sz w:val="20"/>
                <w:szCs w:val="20"/>
                <w:color w:val="auto"/>
              </w:rPr>
            </w:pPr>
            <w:r>
              <w:rPr>
                <w:rFonts w:ascii="Arial" w:cs="Arial" w:eastAsia="Arial" w:hAnsi="Arial"/>
                <w:sz w:val="18"/>
                <w:szCs w:val="18"/>
                <w:color w:val="auto"/>
              </w:rPr>
              <w:t>(f)</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7940" w:type="dxa"/>
            <w:vAlign w:val="bottom"/>
          </w:tcPr>
          <w:p>
            <w:pPr>
              <w:ind w:left="260"/>
              <w:spacing w:after="0"/>
              <w:rPr>
                <w:sz w:val="20"/>
                <w:szCs w:val="20"/>
                <w:color w:val="auto"/>
              </w:rPr>
            </w:pPr>
            <w:r>
              <w:rPr>
                <w:rFonts w:ascii="Arial" w:cs="Arial" w:eastAsia="Arial" w:hAnsi="Arial"/>
                <w:sz w:val="18"/>
                <w:szCs w:val="18"/>
                <w:color w:val="auto"/>
              </w:rPr>
              <w:t>An employee benefit plan or endowment fund in accordance with §240.13d-1(b)(1)(ii)(F);</w:t>
            </w:r>
          </w:p>
        </w:tc>
      </w:tr>
      <w:tr>
        <w:trPr>
          <w:trHeight w:val="216"/>
        </w:trPr>
        <w:tc>
          <w:tcPr>
            <w:tcW w:w="1620" w:type="dxa"/>
            <w:vAlign w:val="bottom"/>
          </w:tcPr>
          <w:p>
            <w:pPr>
              <w:ind w:left="860"/>
              <w:spacing w:after="0"/>
              <w:rPr>
                <w:sz w:val="20"/>
                <w:szCs w:val="20"/>
                <w:color w:val="auto"/>
              </w:rPr>
            </w:pPr>
            <w:r>
              <w:rPr>
                <w:rFonts w:ascii="Arial" w:cs="Arial" w:eastAsia="Arial" w:hAnsi="Arial"/>
                <w:sz w:val="18"/>
                <w:szCs w:val="18"/>
                <w:color w:val="auto"/>
              </w:rPr>
              <w:t>(g)</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7940" w:type="dxa"/>
            <w:vAlign w:val="bottom"/>
          </w:tcPr>
          <w:p>
            <w:pPr>
              <w:ind w:left="260"/>
              <w:spacing w:after="0"/>
              <w:rPr>
                <w:sz w:val="20"/>
                <w:szCs w:val="20"/>
                <w:color w:val="auto"/>
              </w:rPr>
            </w:pPr>
            <w:r>
              <w:rPr>
                <w:rFonts w:ascii="Arial" w:cs="Arial" w:eastAsia="Arial" w:hAnsi="Arial"/>
                <w:sz w:val="18"/>
                <w:szCs w:val="18"/>
                <w:color w:val="auto"/>
              </w:rPr>
              <w:t>A parent holding company or control person in accordance with §240.13d-1(b)(1)(ii)(G);</w:t>
            </w:r>
          </w:p>
        </w:tc>
      </w:tr>
      <w:tr>
        <w:trPr>
          <w:trHeight w:val="216"/>
        </w:trPr>
        <w:tc>
          <w:tcPr>
            <w:tcW w:w="1620" w:type="dxa"/>
            <w:vAlign w:val="bottom"/>
          </w:tcPr>
          <w:p>
            <w:pPr>
              <w:ind w:left="860"/>
              <w:spacing w:after="0"/>
              <w:rPr>
                <w:sz w:val="20"/>
                <w:szCs w:val="20"/>
                <w:color w:val="auto"/>
              </w:rPr>
            </w:pPr>
            <w:r>
              <w:rPr>
                <w:rFonts w:ascii="Arial" w:cs="Arial" w:eastAsia="Arial" w:hAnsi="Arial"/>
                <w:sz w:val="18"/>
                <w:szCs w:val="18"/>
                <w:color w:val="auto"/>
              </w:rPr>
              <w:t>(h)</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7940" w:type="dxa"/>
            <w:vAlign w:val="bottom"/>
          </w:tcPr>
          <w:p>
            <w:pPr>
              <w:ind w:left="260"/>
              <w:spacing w:after="0"/>
              <w:rPr>
                <w:sz w:val="20"/>
                <w:szCs w:val="20"/>
                <w:color w:val="auto"/>
              </w:rPr>
            </w:pPr>
            <w:r>
              <w:rPr>
                <w:rFonts w:ascii="Arial" w:cs="Arial" w:eastAsia="Arial" w:hAnsi="Arial"/>
                <w:sz w:val="18"/>
                <w:szCs w:val="18"/>
                <w:color w:val="auto"/>
                <w:w w:val="91"/>
              </w:rPr>
              <w:t>A savings associations as defined in Section 3(b) of the Federal Deposit Insurance Act (12 U.S.C. 1813);</w:t>
            </w:r>
          </w:p>
        </w:tc>
      </w:tr>
      <w:tr>
        <w:trPr>
          <w:trHeight w:val="216"/>
        </w:trPr>
        <w:tc>
          <w:tcPr>
            <w:tcW w:w="1620" w:type="dxa"/>
            <w:vAlign w:val="bottom"/>
          </w:tcPr>
          <w:p>
            <w:pPr>
              <w:ind w:left="860"/>
              <w:spacing w:after="0"/>
              <w:rPr>
                <w:sz w:val="20"/>
                <w:szCs w:val="20"/>
                <w:color w:val="auto"/>
              </w:rPr>
            </w:pPr>
            <w:r>
              <w:rPr>
                <w:rFonts w:ascii="Arial" w:cs="Arial" w:eastAsia="Arial" w:hAnsi="Arial"/>
                <w:sz w:val="18"/>
                <w:szCs w:val="18"/>
                <w:color w:val="auto"/>
              </w:rPr>
              <w:t>(i)</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7940" w:type="dxa"/>
            <w:vAlign w:val="bottom"/>
          </w:tcPr>
          <w:p>
            <w:pPr>
              <w:ind w:left="260"/>
              <w:spacing w:after="0"/>
              <w:rPr>
                <w:sz w:val="20"/>
                <w:szCs w:val="20"/>
                <w:color w:val="auto"/>
              </w:rPr>
            </w:pPr>
            <w:r>
              <w:rPr>
                <w:rFonts w:ascii="Arial" w:cs="Arial" w:eastAsia="Arial" w:hAnsi="Arial"/>
                <w:sz w:val="18"/>
                <w:szCs w:val="18"/>
                <w:color w:val="auto"/>
                <w:w w:val="91"/>
              </w:rPr>
              <w:t>A church plan that is excluded from the definition of an investment company under section 3(c)(14) of the</w:t>
            </w:r>
          </w:p>
        </w:tc>
      </w:tr>
      <w:tr>
        <w:trPr>
          <w:trHeight w:val="216"/>
        </w:trPr>
        <w:tc>
          <w:tcPr>
            <w:tcW w:w="1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940" w:type="dxa"/>
            <w:vAlign w:val="bottom"/>
          </w:tcPr>
          <w:p>
            <w:pPr>
              <w:ind w:left="260"/>
              <w:spacing w:after="0"/>
              <w:rPr>
                <w:sz w:val="20"/>
                <w:szCs w:val="20"/>
                <w:color w:val="auto"/>
              </w:rPr>
            </w:pPr>
            <w:r>
              <w:rPr>
                <w:rFonts w:ascii="Arial" w:cs="Arial" w:eastAsia="Arial" w:hAnsi="Arial"/>
                <w:sz w:val="18"/>
                <w:szCs w:val="18"/>
                <w:color w:val="auto"/>
              </w:rPr>
              <w:t>Investment Company Act of 1940 (15 U.S.C. 80a-3);</w:t>
            </w:r>
          </w:p>
        </w:tc>
      </w:tr>
      <w:tr>
        <w:trPr>
          <w:trHeight w:val="230"/>
        </w:trPr>
        <w:tc>
          <w:tcPr>
            <w:tcW w:w="1620" w:type="dxa"/>
            <w:vAlign w:val="bottom"/>
          </w:tcPr>
          <w:p>
            <w:pPr>
              <w:ind w:left="860"/>
              <w:spacing w:after="0"/>
              <w:rPr>
                <w:sz w:val="20"/>
                <w:szCs w:val="20"/>
                <w:color w:val="auto"/>
              </w:rPr>
            </w:pPr>
            <w:r>
              <w:rPr>
                <w:rFonts w:ascii="Arial" w:cs="Arial" w:eastAsia="Arial" w:hAnsi="Arial"/>
                <w:sz w:val="18"/>
                <w:szCs w:val="18"/>
                <w:color w:val="auto"/>
              </w:rPr>
              <w:t>(j)</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7940" w:type="dxa"/>
            <w:vAlign w:val="bottom"/>
          </w:tcPr>
          <w:p>
            <w:pPr>
              <w:ind w:left="260"/>
              <w:spacing w:after="0"/>
              <w:rPr>
                <w:sz w:val="20"/>
                <w:szCs w:val="20"/>
                <w:color w:val="auto"/>
              </w:rPr>
            </w:pPr>
            <w:r>
              <w:rPr>
                <w:rFonts w:ascii="Arial" w:cs="Arial" w:eastAsia="Arial" w:hAnsi="Arial"/>
                <w:sz w:val="18"/>
                <w:szCs w:val="18"/>
                <w:color w:val="auto"/>
              </w:rPr>
              <w:t>Group, in accordance with §240.13d-1(b)(1)(ii)(J).</w:t>
            </w:r>
          </w:p>
        </w:tc>
      </w:tr>
      <w:tr>
        <w:trPr>
          <w:trHeight w:val="392"/>
        </w:trPr>
        <w:tc>
          <w:tcPr>
            <w:tcW w:w="1620" w:type="dxa"/>
            <w:vAlign w:val="bottom"/>
          </w:tcPr>
          <w:p>
            <w:pPr>
              <w:spacing w:after="0"/>
              <w:rPr>
                <w:sz w:val="20"/>
                <w:szCs w:val="20"/>
                <w:color w:val="auto"/>
              </w:rPr>
            </w:pPr>
            <w:r>
              <w:rPr>
                <w:rFonts w:ascii="Arial" w:cs="Arial" w:eastAsia="Arial" w:hAnsi="Arial"/>
                <w:sz w:val="18"/>
                <w:szCs w:val="18"/>
                <w:b w:val="1"/>
                <w:bCs w:val="1"/>
                <w:color w:val="auto"/>
                <w:w w:val="99"/>
              </w:rPr>
              <w:t>Item 4. Ownership.</w:t>
            </w: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940" w:type="dxa"/>
            <w:vAlign w:val="bottom"/>
          </w:tcPr>
          <w:p>
            <w:pPr>
              <w:spacing w:after="0"/>
              <w:rPr>
                <w:sz w:val="24"/>
                <w:szCs w:val="24"/>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397" w:lineRule="exact"/>
        <w:rPr>
          <w:sz w:val="20"/>
          <w:szCs w:val="20"/>
          <w:color w:val="auto"/>
        </w:rPr>
      </w:pPr>
    </w:p>
    <w:tbl>
      <w:tblPr>
        <w:tblLayout w:type="fixed"/>
        <w:tblInd w:w="2000" w:type="dxa"/>
        <w:tblCellMar>
          <w:top w:w="0" w:type="dxa"/>
          <w:left w:w="0" w:type="dxa"/>
          <w:bottom w:w="0" w:type="dxa"/>
          <w:right w:w="0" w:type="dxa"/>
        </w:tblCellMar>
      </w:tblP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(a)</w:t>
            </w:r>
          </w:p>
        </w:tc>
        <w:tc>
          <w:tcPr>
            <w:tcW w:w="4040" w:type="dxa"/>
            <w:vAlign w:val="bottom"/>
          </w:tcPr>
          <w:p>
            <w:pPr>
              <w:ind w:left="340"/>
              <w:spacing w:after="0"/>
              <w:rPr>
                <w:sz w:val="20"/>
                <w:szCs w:val="20"/>
                <w:color w:val="auto"/>
              </w:rPr>
            </w:pPr>
            <w:r>
              <w:rPr>
                <w:rFonts w:ascii="Arial" w:cs="Arial" w:eastAsia="Arial" w:hAnsi="Arial"/>
                <w:sz w:val="18"/>
                <w:szCs w:val="18"/>
                <w:color w:val="auto"/>
              </w:rPr>
              <w:t>Amount beneficially owned:</w:t>
            </w:r>
          </w:p>
        </w:tc>
        <w:tc>
          <w:tcPr>
            <w:tcW w:w="2360" w:type="dxa"/>
            <w:vAlign w:val="bottom"/>
          </w:tcPr>
          <w:p>
            <w:pPr>
              <w:ind w:left="1640"/>
              <w:spacing w:after="0"/>
              <w:rPr>
                <w:sz w:val="20"/>
                <w:szCs w:val="20"/>
                <w:color w:val="auto"/>
              </w:rPr>
            </w:pPr>
            <w:r>
              <w:rPr>
                <w:rFonts w:ascii="Arial" w:cs="Arial" w:eastAsia="Arial" w:hAnsi="Arial"/>
                <w:sz w:val="18"/>
                <w:szCs w:val="18"/>
                <w:b w:val="1"/>
                <w:bCs w:val="1"/>
                <w:color w:val="auto"/>
                <w:w w:val="87"/>
              </w:rPr>
              <w:t>2,192,300</w:t>
            </w:r>
          </w:p>
        </w:tc>
      </w:tr>
      <w:tr>
        <w:trPr>
          <w:trHeight w:val="234"/>
        </w:trPr>
        <w:tc>
          <w:tcPr>
            <w:tcW w:w="540" w:type="dxa"/>
            <w:vAlign w:val="bottom"/>
          </w:tcPr>
          <w:p>
            <w:pPr>
              <w:spacing w:after="0"/>
              <w:rPr>
                <w:sz w:val="20"/>
                <w:szCs w:val="20"/>
                <w:color w:val="auto"/>
              </w:rPr>
            </w:pPr>
            <w:r>
              <w:rPr>
                <w:rFonts w:ascii="Arial" w:cs="Arial" w:eastAsia="Arial" w:hAnsi="Arial"/>
                <w:sz w:val="18"/>
                <w:szCs w:val="18"/>
                <w:color w:val="auto"/>
              </w:rPr>
              <w:t>(b)</w:t>
            </w:r>
          </w:p>
        </w:tc>
        <w:tc>
          <w:tcPr>
            <w:tcW w:w="4040" w:type="dxa"/>
            <w:vAlign w:val="bottom"/>
          </w:tcPr>
          <w:p>
            <w:pPr>
              <w:ind w:left="340"/>
              <w:spacing w:after="0"/>
              <w:rPr>
                <w:sz w:val="20"/>
                <w:szCs w:val="20"/>
                <w:color w:val="auto"/>
              </w:rPr>
            </w:pPr>
            <w:r>
              <w:rPr>
                <w:rFonts w:ascii="Arial" w:cs="Arial" w:eastAsia="Arial" w:hAnsi="Arial"/>
                <w:sz w:val="18"/>
                <w:szCs w:val="18"/>
                <w:color w:val="auto"/>
              </w:rPr>
              <w:t>Percent of class:</w:t>
            </w:r>
          </w:p>
        </w:tc>
        <w:tc>
          <w:tcPr>
            <w:tcW w:w="2360" w:type="dxa"/>
            <w:vAlign w:val="bottom"/>
          </w:tcPr>
          <w:p>
            <w:pPr>
              <w:ind w:left="1640"/>
              <w:spacing w:after="0"/>
              <w:rPr>
                <w:sz w:val="20"/>
                <w:szCs w:val="20"/>
                <w:color w:val="auto"/>
              </w:rPr>
            </w:pPr>
            <w:r>
              <w:rPr>
                <w:rFonts w:ascii="Arial" w:cs="Arial" w:eastAsia="Arial" w:hAnsi="Arial"/>
                <w:sz w:val="18"/>
                <w:szCs w:val="18"/>
                <w:b w:val="1"/>
                <w:bCs w:val="1"/>
                <w:color w:val="auto"/>
              </w:rPr>
              <w:t>5.22%</w:t>
            </w:r>
          </w:p>
        </w:tc>
      </w:tr>
    </w:tbl>
    <w:p>
      <w:pPr>
        <w:ind w:left="2880" w:hanging="873"/>
        <w:spacing w:after="0"/>
        <w:tabs>
          <w:tab w:leader="none" w:pos="2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60" w:type="dxa"/>
            <w:vAlign w:val="bottom"/>
          </w:tcPr>
          <w:p>
            <w:pPr>
              <w:ind w:left="2860"/>
              <w:spacing w:after="0"/>
              <w:rPr>
                <w:sz w:val="20"/>
                <w:szCs w:val="20"/>
                <w:color w:val="auto"/>
              </w:rPr>
            </w:pPr>
            <w:r>
              <w:rPr>
                <w:rFonts w:ascii="Arial" w:cs="Arial" w:eastAsia="Arial" w:hAnsi="Arial"/>
                <w:sz w:val="18"/>
                <w:szCs w:val="18"/>
                <w:color w:val="auto"/>
              </w:rPr>
              <w:t>(i)</w:t>
            </w:r>
          </w:p>
        </w:tc>
        <w:tc>
          <w:tcPr>
            <w:tcW w:w="4100" w:type="dxa"/>
            <w:vAlign w:val="bottom"/>
          </w:tcPr>
          <w:p>
            <w:pPr>
              <w:ind w:left="160"/>
              <w:spacing w:after="0"/>
              <w:rPr>
                <w:sz w:val="20"/>
                <w:szCs w:val="20"/>
                <w:color w:val="auto"/>
              </w:rPr>
            </w:pPr>
            <w:r>
              <w:rPr>
                <w:rFonts w:ascii="Arial" w:cs="Arial" w:eastAsia="Arial" w:hAnsi="Arial"/>
                <w:sz w:val="18"/>
                <w:szCs w:val="18"/>
                <w:color w:val="auto"/>
              </w:rPr>
              <w:t>Sole power to vote or to direct the vote</w:t>
            </w:r>
          </w:p>
        </w:tc>
        <w:tc>
          <w:tcPr>
            <w:tcW w:w="4060" w:type="dxa"/>
            <w:vAlign w:val="bottom"/>
          </w:tcPr>
          <w:p>
            <w:pPr>
              <w:ind w:left="920"/>
              <w:spacing w:after="0"/>
              <w:rPr>
                <w:sz w:val="20"/>
                <w:szCs w:val="20"/>
                <w:color w:val="auto"/>
              </w:rPr>
            </w:pPr>
            <w:r>
              <w:rPr>
                <w:rFonts w:ascii="Arial" w:cs="Arial" w:eastAsia="Arial" w:hAnsi="Arial"/>
                <w:sz w:val="18"/>
                <w:szCs w:val="18"/>
                <w:b w:val="1"/>
                <w:bCs w:val="1"/>
                <w:color w:val="auto"/>
              </w:rPr>
              <w:t>2,192,300</w:t>
            </w:r>
          </w:p>
        </w:tc>
      </w:tr>
      <w:tr>
        <w:trPr>
          <w:trHeight w:val="234"/>
        </w:trPr>
        <w:tc>
          <w:tcPr>
            <w:tcW w:w="3260" w:type="dxa"/>
            <w:vAlign w:val="bottom"/>
          </w:tcPr>
          <w:p>
            <w:pPr>
              <w:ind w:left="2860"/>
              <w:spacing w:after="0"/>
              <w:rPr>
                <w:sz w:val="20"/>
                <w:szCs w:val="20"/>
                <w:color w:val="auto"/>
              </w:rPr>
            </w:pPr>
            <w:r>
              <w:rPr>
                <w:rFonts w:ascii="Arial" w:cs="Arial" w:eastAsia="Arial" w:hAnsi="Arial"/>
                <w:sz w:val="18"/>
                <w:szCs w:val="18"/>
                <w:color w:val="auto"/>
              </w:rPr>
              <w:t>(ii)</w:t>
            </w:r>
          </w:p>
        </w:tc>
        <w:tc>
          <w:tcPr>
            <w:tcW w:w="4100" w:type="dxa"/>
            <w:vAlign w:val="bottom"/>
          </w:tcPr>
          <w:p>
            <w:pPr>
              <w:ind w:left="160"/>
              <w:spacing w:after="0"/>
              <w:rPr>
                <w:sz w:val="20"/>
                <w:szCs w:val="20"/>
                <w:color w:val="auto"/>
              </w:rPr>
            </w:pPr>
            <w:r>
              <w:rPr>
                <w:rFonts w:ascii="Arial" w:cs="Arial" w:eastAsia="Arial" w:hAnsi="Arial"/>
                <w:sz w:val="18"/>
                <w:szCs w:val="18"/>
                <w:color w:val="auto"/>
              </w:rPr>
              <w:t>Shared power to vote or to direct the vote</w:t>
            </w:r>
          </w:p>
        </w:tc>
        <w:tc>
          <w:tcPr>
            <w:tcW w:w="4060" w:type="dxa"/>
            <w:vAlign w:val="bottom"/>
          </w:tcPr>
          <w:p>
            <w:pPr>
              <w:ind w:left="920"/>
              <w:spacing w:after="0"/>
              <w:rPr>
                <w:sz w:val="20"/>
                <w:szCs w:val="20"/>
                <w:color w:val="auto"/>
              </w:rPr>
            </w:pPr>
            <w:r>
              <w:rPr>
                <w:rFonts w:ascii="Arial" w:cs="Arial" w:eastAsia="Arial" w:hAnsi="Arial"/>
                <w:sz w:val="18"/>
                <w:szCs w:val="18"/>
                <w:b w:val="1"/>
                <w:bCs w:val="1"/>
                <w:color w:val="auto"/>
              </w:rPr>
              <w:t>N/A</w:t>
            </w:r>
          </w:p>
        </w:tc>
      </w:tr>
      <w:tr>
        <w:trPr>
          <w:trHeight w:val="392"/>
        </w:trPr>
        <w:tc>
          <w:tcPr>
            <w:tcW w:w="3260" w:type="dxa"/>
            <w:vAlign w:val="bottom"/>
          </w:tcPr>
          <w:p>
            <w:pPr>
              <w:spacing w:after="0"/>
              <w:rPr>
                <w:sz w:val="24"/>
                <w:szCs w:val="24"/>
                <w:color w:val="auto"/>
              </w:rPr>
            </w:pPr>
          </w:p>
        </w:tc>
        <w:tc>
          <w:tcPr>
            <w:tcW w:w="4100" w:type="dxa"/>
            <w:vAlign w:val="bottom"/>
          </w:tcPr>
          <w:p>
            <w:pPr>
              <w:ind w:left="1820"/>
              <w:spacing w:after="0"/>
              <w:rPr>
                <w:sz w:val="20"/>
                <w:szCs w:val="20"/>
                <w:color w:val="auto"/>
              </w:rPr>
            </w:pPr>
            <w:r>
              <w:rPr>
                <w:rFonts w:ascii="Arial" w:cs="Arial" w:eastAsia="Arial" w:hAnsi="Arial"/>
                <w:sz w:val="18"/>
                <w:szCs w:val="18"/>
                <w:color w:val="auto"/>
              </w:rPr>
              <w:t>Page 4 of 7 pages</w:t>
            </w:r>
          </w:p>
        </w:tc>
        <w:tc>
          <w:tcPr>
            <w:tcW w:w="4060" w:type="dxa"/>
            <w:vAlign w:val="bottom"/>
          </w:tcPr>
          <w:p>
            <w:pPr>
              <w:spacing w:after="0"/>
              <w:rPr>
                <w:sz w:val="24"/>
                <w:szCs w:val="24"/>
                <w:color w:val="auto"/>
              </w:rPr>
            </w:pPr>
          </w:p>
        </w:tc>
      </w:tr>
      <w:tr>
        <w:trPr>
          <w:trHeight w:val="226"/>
        </w:trPr>
        <w:tc>
          <w:tcPr>
            <w:tcW w:w="3260" w:type="dxa"/>
            <w:vAlign w:val="bottom"/>
            <w:tcBorders>
              <w:bottom w:val="single" w:sz="8" w:color="808080"/>
            </w:tcBorders>
          </w:tcPr>
          <w:p>
            <w:pPr>
              <w:spacing w:after="0"/>
              <w:rPr>
                <w:sz w:val="19"/>
                <w:szCs w:val="19"/>
                <w:color w:val="auto"/>
              </w:rPr>
            </w:pPr>
          </w:p>
        </w:tc>
        <w:tc>
          <w:tcPr>
            <w:tcW w:w="4100" w:type="dxa"/>
            <w:vAlign w:val="bottom"/>
            <w:tcBorders>
              <w:bottom w:val="single" w:sz="8" w:color="808080"/>
            </w:tcBorders>
          </w:tcPr>
          <w:p>
            <w:pPr>
              <w:spacing w:after="0"/>
              <w:rPr>
                <w:sz w:val="19"/>
                <w:szCs w:val="19"/>
                <w:color w:val="auto"/>
              </w:rPr>
            </w:pPr>
          </w:p>
        </w:tc>
        <w:tc>
          <w:tcPr>
            <w:tcW w:w="40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48" w:right="239" w:bottom="1440" w:gutter="0" w:footer="0" w:header="0"/>
        </w:sectPr>
      </w:pPr>
    </w:p>
    <w:bookmarkStart w:id="5" w:name="page6"/>
    <w:bookmarkEnd w:id="5"/>
    <w:p>
      <w:pPr>
        <w:spacing w:after="0" w:line="4"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(iii)</w:t>
      </w:r>
    </w:p>
    <w:p>
      <w:pPr>
        <w:spacing w:after="0" w:line="23"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br w:type="column"/>
      </w:r>
    </w:p>
    <w:p>
      <w:pPr>
        <w:ind w:right="1240"/>
        <w:spacing w:after="0" w:line="342" w:lineRule="auto"/>
        <w:rPr>
          <w:sz w:val="20"/>
          <w:szCs w:val="20"/>
          <w:color w:val="auto"/>
        </w:rPr>
      </w:pPr>
      <w:r>
        <w:rPr>
          <w:rFonts w:ascii="Arial" w:cs="Arial" w:eastAsia="Arial" w:hAnsi="Arial"/>
          <w:sz w:val="16"/>
          <w:szCs w:val="16"/>
          <w:color w:val="auto"/>
        </w:rPr>
        <w:t>Sole power to dispose or to direct the disposition of Shared power to dispose or to direct the disposition 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2,192,300</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w:t>
      </w:r>
    </w:p>
    <w:p>
      <w:pPr>
        <w:spacing w:after="0" w:line="183" w:lineRule="exact"/>
        <w:rPr>
          <w:sz w:val="20"/>
          <w:szCs w:val="20"/>
          <w:color w:val="auto"/>
        </w:rPr>
      </w:pPr>
    </w:p>
    <w:p>
      <w:pPr>
        <w:sectPr>
          <w:pgSz w:w="11900" w:h="16838" w:orient="portrait"/>
          <w:cols w:equalWidth="0" w:num="3">
            <w:col w:w="2700" w:space="380"/>
            <w:col w:w="5140" w:space="720"/>
            <w:col w:w="2440"/>
          </w:cols>
          <w:pgMar w:left="240" w:top="1148" w:right="279" w:bottom="1440" w:gutter="0" w:footer="0" w:header="0"/>
        </w:sectPr>
      </w:pPr>
    </w:p>
    <w:p>
      <w:pPr>
        <w:ind w:right="2040"/>
        <w:spacing w:after="0" w:line="454" w:lineRule="auto"/>
        <w:rPr>
          <w:sz w:val="20"/>
          <w:szCs w:val="20"/>
          <w:color w:val="auto"/>
        </w:rPr>
      </w:pPr>
      <w:r>
        <w:rPr>
          <w:rFonts w:ascii="Arial" w:cs="Arial" w:eastAsia="Arial" w:hAnsi="Arial"/>
          <w:sz w:val="18"/>
          <w:szCs w:val="18"/>
          <w:i w:val="1"/>
          <w:iCs w:val="1"/>
          <w:color w:val="auto"/>
        </w:rPr>
        <w:t>Instruction</w:t>
      </w:r>
      <w:r>
        <w:rPr>
          <w:rFonts w:ascii="Arial" w:cs="Arial" w:eastAsia="Arial" w:hAnsi="Arial"/>
          <w:sz w:val="18"/>
          <w:szCs w:val="18"/>
          <w:color w:val="auto"/>
        </w:rPr>
        <w:t>. For computations regarding securities which represent a right to acquire an underlying security</w:t>
      </w:r>
      <w:r>
        <w:rPr>
          <w:rFonts w:ascii="Arial" w:cs="Arial" w:eastAsia="Arial" w:hAnsi="Arial"/>
          <w:sz w:val="18"/>
          <w:szCs w:val="18"/>
          <w:i w:val="1"/>
          <w:iCs w:val="1"/>
          <w:color w:val="auto"/>
        </w:rPr>
        <w:t xml:space="preserve"> see </w:t>
      </w:r>
      <w:r>
        <w:rPr>
          <w:rFonts w:ascii="Arial" w:cs="Arial" w:eastAsia="Arial" w:hAnsi="Arial"/>
          <w:sz w:val="18"/>
          <w:szCs w:val="18"/>
          <w:color w:val="auto"/>
        </w:rPr>
        <w:t>§240.13d-3(d)(1).</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Item 5. Ownership of Five Percent or Less of a Class</w:t>
      </w:r>
    </w:p>
    <w:p>
      <w:pPr>
        <w:ind w:right="440" w:firstLine="225"/>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o</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r>
        <w:rPr>
          <w:rFonts w:ascii="Arial" w:cs="Arial" w:eastAsia="Arial" w:hAnsi="Arial"/>
          <w:sz w:val="18"/>
          <w:szCs w:val="18"/>
          <w:color w:val="auto"/>
        </w:rPr>
        <w:t>.</w:t>
      </w:r>
    </w:p>
    <w:p>
      <w:pPr>
        <w:spacing w:after="0" w:line="189" w:lineRule="exact"/>
        <w:rPr>
          <w:sz w:val="20"/>
          <w:szCs w:val="20"/>
          <w:color w:val="auto"/>
        </w:rPr>
      </w:pPr>
    </w:p>
    <w:p>
      <w:pPr>
        <w:ind w:right="100" w:firstLine="225"/>
        <w:spacing w:after="0" w:line="259" w:lineRule="auto"/>
        <w:rPr>
          <w:sz w:val="20"/>
          <w:szCs w:val="20"/>
          <w:color w:val="auto"/>
        </w:rPr>
      </w:pPr>
      <w:r>
        <w:rPr>
          <w:rFonts w:ascii="Arial" w:cs="Arial" w:eastAsia="Arial" w:hAnsi="Arial"/>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five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42"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NOT APPLICABLE</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 Identification and Classification of the Subsidiary Which Acquired the Security Being Reported on By the Parent Holding Company</w:t>
      </w:r>
    </w:p>
    <w:p>
      <w:pPr>
        <w:spacing w:after="0" w:line="200" w:lineRule="exact"/>
        <w:rPr>
          <w:sz w:val="20"/>
          <w:szCs w:val="20"/>
          <w:color w:val="auto"/>
        </w:rPr>
      </w:pPr>
    </w:p>
    <w:p>
      <w:pPr>
        <w:jc w:val="both"/>
        <w:ind w:right="40" w:firstLine="225"/>
        <w:spacing w:after="0" w:line="264" w:lineRule="auto"/>
        <w:rPr>
          <w:sz w:val="20"/>
          <w:szCs w:val="20"/>
          <w:color w:val="auto"/>
        </w:rPr>
      </w:pPr>
      <w:r>
        <w:rPr>
          <w:rFonts w:ascii="Arial" w:cs="Arial" w:eastAsia="Arial" w:hAnsi="Arial"/>
          <w:sz w:val="18"/>
          <w:szCs w:val="18"/>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13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EXHIBIT ATTACHED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189"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pacing w:after="0" w:line="13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NOT APPLICABLE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189" w:lineRule="exact"/>
        <w:rPr>
          <w:sz w:val="20"/>
          <w:szCs w:val="20"/>
          <w:color w:val="auto"/>
        </w:rPr>
      </w:pPr>
    </w:p>
    <w:p>
      <w:pPr>
        <w:ind w:right="100" w:firstLine="225"/>
        <w:spacing w:after="0" w:line="277" w:lineRule="auto"/>
        <w:rPr>
          <w:sz w:val="20"/>
          <w:szCs w:val="20"/>
          <w:color w:val="auto"/>
        </w:rPr>
      </w:pPr>
      <w:r>
        <w:rPr>
          <w:rFonts w:ascii="Arial" w:cs="Arial" w:eastAsia="Arial" w:hAnsi="Arial"/>
          <w:sz w:val="18"/>
          <w:szCs w:val="18"/>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12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NOT APPLICABLE</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5 of 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148" w:right="279" w:bottom="1440" w:gutter="0" w:footer="0" w:header="0"/>
          <w:type w:val="continuous"/>
        </w:sectPr>
      </w:pPr>
    </w:p>
    <w:bookmarkStart w:id="6" w:name="page7"/>
    <w:bookmarkEnd w:id="6"/>
    <w:p>
      <w:pPr>
        <w:ind w:left="1720"/>
        <w:spacing w:after="0" w:line="286"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w:t>
      </w:r>
    </w:p>
    <w:p>
      <w:pPr>
        <w:spacing w:after="0" w:line="189" w:lineRule="exact"/>
        <w:rPr>
          <w:sz w:val="20"/>
          <w:szCs w:val="20"/>
          <w:color w:val="auto"/>
        </w:rPr>
      </w:pPr>
    </w:p>
    <w:p>
      <w:pPr>
        <w:jc w:val="center"/>
        <w:ind w:right="24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24"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March 19,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3444240</wp:posOffset>
            </wp:positionH>
            <wp:positionV relativeFrom="paragraph">
              <wp:posOffset>23495</wp:posOffset>
            </wp:positionV>
            <wp:extent cx="217805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30"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North American Equity Investors, Inc.</w:t>
      </w:r>
    </w:p>
    <w:p>
      <w:pPr>
        <w:spacing w:after="0" w:line="225"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/s/ DeWitt C. Thompson, V</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DeWitt C. Thompson, 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256413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President</w:t>
      </w:r>
    </w:p>
    <w:p>
      <w:pPr>
        <w:spacing w:after="0" w:line="200" w:lineRule="exact"/>
        <w:rPr>
          <w:sz w:val="20"/>
          <w:szCs w:val="20"/>
          <w:color w:val="auto"/>
        </w:rPr>
      </w:pPr>
    </w:p>
    <w:p>
      <w:pPr>
        <w:spacing w:after="0" w:line="227"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Thompson Machinery Commerce Corporation</w:t>
      </w:r>
    </w:p>
    <w:p>
      <w:pPr>
        <w:spacing w:after="0" w:line="225"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/s/ DeWitt C. Thompson, IV</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DeWitt C. Thompson,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256413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President</w:t>
      </w:r>
    </w:p>
    <w:p>
      <w:pPr>
        <w:spacing w:after="0" w:line="18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Page 6 of 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935" w:right="359" w:bottom="1440" w:gutter="0" w:footer="0" w:header="0"/>
        </w:sectPr>
      </w:pPr>
    </w:p>
    <w:bookmarkStart w:id="7" w:name="page8"/>
    <w:bookmarkEnd w:id="7"/>
    <w:p>
      <w:pPr>
        <w:ind w:left="5320"/>
        <w:spacing w:after="0"/>
        <w:rPr>
          <w:sz w:val="20"/>
          <w:szCs w:val="20"/>
          <w:color w:val="auto"/>
        </w:rPr>
      </w:pPr>
      <w:r>
        <w:rPr>
          <w:rFonts w:ascii="Arial" w:cs="Arial" w:eastAsia="Arial" w:hAnsi="Arial"/>
          <w:sz w:val="18"/>
          <w:szCs w:val="18"/>
          <w:b w:val="1"/>
          <w:bCs w:val="1"/>
          <w:color w:val="auto"/>
        </w:rPr>
        <w:t>EXHIBIT</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North American Equity Investors, Inc., the relevant subsidiary, is a direct, wholly-owned subsidiary of Thompson Machinery Commerce Corporation.</w:t>
      </w:r>
    </w:p>
    <w:p>
      <w:pPr>
        <w:spacing w:after="0" w:line="208"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Page 7 of 7 pages</w:t>
      </w:r>
    </w:p>
    <w:sectPr>
      <w:pgSz w:w="11900" w:h="16838" w:orient="portrait"/>
      <w:cols w:equalWidth="0" w:num="1">
        <w:col w:w="10820"/>
      </w:cols>
      <w:pgMar w:left="240" w:top="1337" w:right="8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decimal"/>
      <w:start w:val="2"/>
    </w:lvl>
    <w:lvl w:ilvl="1">
      <w:lvlJc w:val="left"/>
      <w:lvlText w:val="(%2)"/>
      <w:numFmt w:val="lowerLetter"/>
      <w:start w:val="1"/>
    </w:lvl>
  </w:abstractNum>
  <w:abstractNum w:abstractNumId="2">
    <w:nsid w:val="3D1B58BA"/>
    <w:multiLevelType w:val="hybridMultilevel"/>
    <w:lvl w:ilvl="0">
      <w:lvlJc w:val="left"/>
      <w:lvlText w:val="%1"/>
      <w:numFmt w:val="decimal"/>
      <w:start w:val="1"/>
    </w:lvl>
    <w:lvl w:ilvl="1">
      <w:lvlJc w:val="left"/>
      <w:lvlText w:val="%2."/>
      <w:numFmt w:val="decimal"/>
      <w:start w:val="8"/>
    </w:lvl>
  </w:abstractNum>
  <w:abstractNum w:abstractNumId="3">
    <w:nsid w:val="507ED7AB"/>
    <w:multiLevelType w:val="hybridMultilevel"/>
    <w:lvl w:ilvl="0">
      <w:lvlJc w:val="left"/>
      <w:lvlText w:val="%1."/>
      <w:numFmt w:val="decimal"/>
      <w:start w:val="9"/>
    </w:lvl>
    <w:lvl w:ilvl="1">
      <w:lvlJc w:val="left"/>
      <w:lvlText w:val="%2"/>
      <w:numFmt w:val="decimal"/>
      <w:start w:val="1"/>
    </w:lvl>
  </w:abstractNum>
  <w:abstractNum w:abstractNumId="4">
    <w:nsid w:val="2EB141F2"/>
    <w:multiLevelType w:val="hybridMultilevel"/>
    <w:lvl w:ilvl="0">
      <w:lvlJc w:val="left"/>
      <w:lvlText w:val="%1."/>
      <w:numFmt w:val="decimal"/>
      <w:start w:val="2"/>
    </w:lvl>
    <w:lvl w:ilvl="1">
      <w:lvlJc w:val="left"/>
      <w:lvlText w:val="(%2)"/>
      <w:numFmt w:val="lowerLetter"/>
      <w:start w:val="1"/>
    </w:lvl>
  </w:abstractNum>
  <w:abstractNum w:abstractNumId="5">
    <w:nsid w:val="41B71EFB"/>
    <w:multiLevelType w:val="hybridMultilevel"/>
    <w:lvl w:ilvl="0">
      <w:lvlJc w:val="left"/>
      <w:lvlText w:val="%1"/>
      <w:numFmt w:val="decimal"/>
      <w:start w:val="1"/>
    </w:lvl>
    <w:lvl w:ilvl="1">
      <w:lvlJc w:val="left"/>
      <w:lvlText w:val="%2."/>
      <w:numFmt w:val="decimal"/>
      <w:start w:val="8"/>
    </w:lvl>
  </w:abstractNum>
  <w:abstractNum w:abstractNumId="6">
    <w:nsid w:val="79E2A9E3"/>
    <w:multiLevelType w:val="hybridMultilevel"/>
    <w:lvl w:ilvl="0">
      <w:lvlJc w:val="left"/>
      <w:lvlText w:val="%1."/>
      <w:numFmt w:val="decimal"/>
      <w:start w:val="9"/>
    </w:lvl>
    <w:lvl w:ilvl="1">
      <w:lvlJc w:val="left"/>
      <w:lvlText w:val="%2"/>
      <w:numFmt w:val="decimal"/>
      <w:start w:val="1"/>
    </w:lvl>
  </w:abstractNum>
  <w:abstractNum w:abstractNumId="7">
    <w:nsid w:val="7545E146"/>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2019-12-14T18:13:28Z</dcterms:created>
  <dcterms:modified xsi:type="dcterms:W3CDTF">2019-12-14T18:13:28Z</dcterms:modified>
</cp:coreProperties>
</file>