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2007</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580" w:right="20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686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860" w:type="dxa"/>
            <w:vAlign w:val="bottom"/>
          </w:tcPr>
          <w:p>
            <w:pPr>
              <w:jc w:val="center"/>
              <w:ind w:right="3585"/>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2"/>
        </w:trPr>
        <w:tc>
          <w:tcPr>
            <w:tcW w:w="6860" w:type="dxa"/>
            <w:vAlign w:val="bottom"/>
          </w:tcPr>
          <w:p>
            <w:pPr>
              <w:jc w:val="center"/>
              <w:ind w:right="3565"/>
              <w:spacing w:after="0"/>
              <w:rPr>
                <w:sz w:val="20"/>
                <w:szCs w:val="20"/>
                <w:color w:val="auto"/>
              </w:rPr>
            </w:pPr>
            <w:r>
              <w:rPr>
                <w:rFonts w:ascii="Times New Roman" w:cs="Times New Roman" w:eastAsia="Times New Roman" w:hAnsi="Times New Roman"/>
                <w:sz w:val="18"/>
                <w:szCs w:val="18"/>
                <w:b w:val="1"/>
                <w:bCs w:val="1"/>
                <w:color w:val="auto"/>
                <w:w w:val="96"/>
              </w:rPr>
              <w:t>2128 W. Braker Lane, BK12, Austin, Texas</w:t>
            </w:r>
          </w:p>
        </w:tc>
        <w:tc>
          <w:tcPr>
            <w:tcW w:w="110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78"/>
        </w:trPr>
        <w:tc>
          <w:tcPr>
            <w:tcW w:w="6860" w:type="dxa"/>
            <w:vAlign w:val="bottom"/>
          </w:tcPr>
          <w:p>
            <w:pPr>
              <w:jc w:val="center"/>
              <w:ind w:right="3585"/>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8"/>
                <w:szCs w:val="18"/>
                <w:b w:val="1"/>
                <w:bCs w:val="1"/>
                <w:color w:val="auto"/>
                <w:w w:val="97"/>
              </w:rPr>
              <w:t>(512) 836-6464</w:t>
            </w:r>
          </w:p>
        </w:tc>
        <w:tc>
          <w:tcPr>
            <w:tcW w:w="1100" w:type="dxa"/>
            <w:vAlign w:val="bottom"/>
          </w:tcPr>
          <w:p>
            <w:pPr>
              <w:spacing w:after="0"/>
              <w:rPr>
                <w:sz w:val="24"/>
                <w:szCs w:val="24"/>
                <w:color w:val="auto"/>
              </w:rPr>
            </w:pPr>
          </w:p>
        </w:tc>
      </w:tr>
      <w:tr>
        <w:trPr>
          <w:trHeight w:val="178"/>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Times New Roman" w:cs="Times New Roman" w:eastAsia="Times New Roman" w:hAnsi="Times New Roman"/>
                <w:sz w:val="14"/>
                <w:szCs w:val="14"/>
                <w:b w:val="1"/>
                <w:bCs w:val="1"/>
                <w:color w:val="auto"/>
                <w:w w:val="95"/>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10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30"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3" w:lineRule="exact"/>
        <w:rPr>
          <w:sz w:val="24"/>
          <w:szCs w:val="24"/>
          <w:color w:val="auto"/>
        </w:rPr>
      </w:pPr>
    </w:p>
    <w:p>
      <w:pPr>
        <w:ind w:left="2940"/>
        <w:spacing w:after="0" w:line="207" w:lineRule="exact"/>
        <w:tabs>
          <w:tab w:leader="none" w:pos="5000" w:val="left"/>
          <w:tab w:leader="none" w:pos="66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9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number of shares of common stock, par value of $0.001 per share, outstanding at October 29, 2007 was 60,371,311.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ACTIVE POWER,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 Consolidated Financial Statements.</w:t>
              </w:r>
            </w:hyperlink>
          </w:p>
        </w:tc>
        <w:tc>
          <w:tcPr>
            <w:tcW w:w="602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6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4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2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9060" w:type="dxa"/>
            <w:vAlign w:val="bottom"/>
            <w:gridSpan w:val="1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PART II – OTHER INFORMATION</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8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4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520" w:type="dxa"/>
            <w:vAlign w:val="bottom"/>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3.</w:t>
              </w:r>
            </w:hyperlink>
          </w:p>
        </w:tc>
        <w:tc>
          <w:tcPr>
            <w:tcW w:w="8540" w:type="dxa"/>
            <w:vAlign w:val="bottom"/>
            <w:gridSpan w:val="13"/>
          </w:tcPr>
          <w:p>
            <w:pPr>
              <w:ind w:lef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Defaults Upon Senior Securities.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4.</w:t>
              </w:r>
            </w:hyperlink>
          </w:p>
        </w:tc>
        <w:tc>
          <w:tcPr>
            <w:tcW w:w="8540" w:type="dxa"/>
            <w:vAlign w:val="bottom"/>
            <w:gridSpan w:val="13"/>
          </w:tcPr>
          <w:p>
            <w:pPr>
              <w:ind w:lef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5.</w:t>
              </w:r>
            </w:hyperlink>
          </w:p>
        </w:tc>
        <w:tc>
          <w:tcPr>
            <w:tcW w:w="1360" w:type="dxa"/>
            <w:vAlign w:val="bottom"/>
            <w:tcBorders>
              <w:top w:val="single" w:sz="8" w:color="0000EE"/>
              <w:bottom w:val="single" w:sz="8" w:color="0000EE"/>
            </w:tcBorders>
            <w:gridSpan w:val="4"/>
          </w:tcPr>
          <w:p>
            <w:pPr>
              <w:ind w:left="20"/>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520" w:type="dxa"/>
            <w:vAlign w:val="bottom"/>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6.</w:t>
              </w:r>
            </w:hyperlink>
          </w:p>
        </w:tc>
        <w:tc>
          <w:tcPr>
            <w:tcW w:w="8540" w:type="dxa"/>
            <w:vAlign w:val="bottom"/>
            <w:gridSpan w:val="13"/>
          </w:tcPr>
          <w:p>
            <w:pPr>
              <w:ind w:lef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83"/>
        </w:trPr>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20" w:type="dxa"/>
            <w:vAlign w:val="bottom"/>
            <w:gridSpan w:val="3"/>
          </w:tcPr>
          <w:p>
            <w:pPr>
              <w:jc w:val="center"/>
              <w:ind w:right="1786"/>
              <w:spacing w:after="0"/>
              <w:rPr>
                <w:sz w:val="20"/>
                <w:szCs w:val="20"/>
                <w:color w:val="auto"/>
              </w:rPr>
            </w:pPr>
            <w:r>
              <w:rPr>
                <w:rFonts w:ascii="Times New Roman" w:cs="Times New Roman" w:eastAsia="Times New Roman" w:hAnsi="Times New Roman"/>
                <w:sz w:val="18"/>
                <w:szCs w:val="18"/>
                <w:b w:val="1"/>
                <w:bCs w:val="1"/>
                <w:color w:val="auto"/>
                <w:w w:val="96"/>
              </w:rPr>
              <w:t>Active Power, Inc.</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220" w:type="dxa"/>
            <w:vAlign w:val="bottom"/>
            <w:gridSpan w:val="3"/>
          </w:tcPr>
          <w:p>
            <w:pPr>
              <w:jc w:val="center"/>
              <w:ind w:right="1806"/>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220" w:type="dxa"/>
            <w:vAlign w:val="bottom"/>
            <w:gridSpan w:val="3"/>
          </w:tcPr>
          <w:p>
            <w:pPr>
              <w:jc w:val="center"/>
              <w:ind w:right="1786"/>
              <w:spacing w:after="0"/>
              <w:rPr>
                <w:sz w:val="20"/>
                <w:szCs w:val="20"/>
                <w:color w:val="auto"/>
              </w:rPr>
            </w:pPr>
            <w:r>
              <w:rPr>
                <w:rFonts w:ascii="Times New Roman" w:cs="Times New Roman" w:eastAsia="Times New Roman" w:hAnsi="Times New Roman"/>
                <w:sz w:val="18"/>
                <w:szCs w:val="18"/>
                <w:color w:val="auto"/>
                <w:w w:val="97"/>
              </w:rPr>
              <w:t>(in thousands)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1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3"/>
              </w:rPr>
              <w:t>Other assets</w:t>
            </w:r>
          </w:p>
        </w:tc>
        <w:tc>
          <w:tcPr>
            <w:tcW w:w="31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220" w:type="dxa"/>
            <w:vAlign w:val="bottom"/>
            <w:gridSpan w:val="3"/>
            <w:shd w:val="clear" w:color="auto" w:fill="CCEEFF"/>
          </w:tcPr>
          <w:p>
            <w:pPr>
              <w:ind w:left="5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040" w:type="dxa"/>
            <w:vAlign w:val="bottom"/>
            <w:gridSpan w:val="3"/>
            <w:vMerge w:val="continue"/>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20" w:type="dxa"/>
            <w:vAlign w:val="bottom"/>
            <w:gridSpan w:val="2"/>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5220" w:type="dxa"/>
            <w:vAlign w:val="bottom"/>
            <w:gridSpan w:val="3"/>
          </w:tcPr>
          <w:p>
            <w:pPr>
              <w:ind w:left="5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(219,347)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accumulated comprehensive income (loss)</w:t>
            </w:r>
          </w:p>
        </w:tc>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w w:val="95"/>
              </w:rPr>
              <w:t>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4,823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spares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 and spares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8"/>
              </w:rPr>
              <w:t>(3,725)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97"/>
              </w:rPr>
              <w:t>(15,204)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(18,769)</w:t>
            </w: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(3,512</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(14,582</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(17,309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55,210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w w:val="96"/>
              </w:rPr>
              <w:t>49,795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8"/>
              </w:rPr>
              <w:t>(3,512)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(4,926)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w w:val="97"/>
              </w:rPr>
              <w:t>(14,582)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(17,309)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Translation gain (loss) on subsidiaries in foreign currencies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 (loss) on investments in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8"/>
              </w:rPr>
              <w:t>(3,286)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97"/>
              </w:rPr>
              <w:t>(14,445)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Nine Months</w:t>
      </w:r>
    </w:p>
    <w:p>
      <w:pPr>
        <w:spacing w:after="0" w:line="5"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0"/>
              </w:rPr>
              <w:t>$ (14,582)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(17,309)</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expense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Accretion of premium/discount on marketable securities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Long term liabilities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322"/>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60" w:type="dxa"/>
            <w:vAlign w:val="bottom"/>
            <w:shd w:val="clear" w:color="auto" w:fill="CCEEFF"/>
          </w:tcPr>
          <w:p>
            <w:pPr>
              <w:spacing w:after="0"/>
              <w:rPr>
                <w:sz w:val="18"/>
                <w:szCs w:val="18"/>
                <w:color w:val="auto"/>
              </w:rPr>
            </w:pPr>
          </w:p>
        </w:tc>
      </w:tr>
      <w:tr>
        <w:trPr>
          <w:trHeight w:val="322"/>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0" w:type="dxa"/>
            <w:vAlign w:val="bottom"/>
            <w:shd w:val="clear" w:color="auto" w:fill="CCEEFF"/>
          </w:tcPr>
          <w:p>
            <w:pPr>
              <w:spacing w:after="0"/>
              <w:rPr>
                <w:sz w:val="18"/>
                <w:szCs w:val="18"/>
                <w:color w:val="auto"/>
              </w:rPr>
            </w:pPr>
          </w:p>
        </w:tc>
      </w:tr>
      <w:tr>
        <w:trPr>
          <w:trHeight w:val="230"/>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loss on subsidiaries in foreign currencies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r>
      <w:tr>
        <w:trPr>
          <w:trHeight w:val="322"/>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10,728</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$ 18,380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$ 12,053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90" w:lineRule="exact"/>
        <w:rPr>
          <w:sz w:val="20"/>
          <w:szCs w:val="20"/>
          <w:color w:val="auto"/>
        </w:rPr>
      </w:pPr>
    </w:p>
    <w:p>
      <w:pPr>
        <w:ind w:left="460" w:right="60" w:firstLine="43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Active Power, Inc. and its subsidiaries (hereinafter referred to as “we”, “Active Power” or the “Company”)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and market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We offer a range of patented flywheel energy storage systems that provide an alternative for lead-acid batteries used in conventional power quality installations. We have recently broadened our product offerings with a battery-free extended runtime technology that utilizes thermal and compressed air storage to provide backup power for minutes to hours depending on the application. We sell our products globally through direct and Original Equipment Manufacturer (OEM) channels. Our current principal markets are North America and Europe, Middle East and Africa (EMEA).</w:t>
      </w:r>
    </w:p>
    <w:p>
      <w:pPr>
        <w:spacing w:after="0" w:line="59" w:lineRule="exact"/>
        <w:rPr>
          <w:sz w:val="20"/>
          <w:szCs w:val="20"/>
          <w:color w:val="auto"/>
        </w:rPr>
      </w:pPr>
    </w:p>
    <w:p>
      <w:pPr>
        <w:ind w:left="460" w:right="120" w:firstLine="438"/>
        <w:spacing w:after="0" w:line="296"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normal and recurring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2006.</w:t>
      </w:r>
    </w:p>
    <w:p>
      <w:pPr>
        <w:spacing w:after="0" w:line="25" w:lineRule="exact"/>
        <w:rPr>
          <w:sz w:val="20"/>
          <w:szCs w:val="20"/>
          <w:color w:val="auto"/>
        </w:rPr>
      </w:pPr>
    </w:p>
    <w:p>
      <w:pPr>
        <w:ind w:left="460" w:firstLine="438"/>
        <w:spacing w:after="0" w:line="254" w:lineRule="auto"/>
        <w:rPr>
          <w:sz w:val="20"/>
          <w:szCs w:val="20"/>
          <w:color w:val="auto"/>
        </w:rPr>
      </w:pPr>
      <w:r>
        <w:rPr>
          <w:rFonts w:ascii="Times New Roman" w:cs="Times New Roman" w:eastAsia="Times New Roman" w:hAnsi="Times New Roman"/>
          <w:sz w:val="18"/>
          <w:szCs w:val="18"/>
          <w:b w:val="1"/>
          <w:bCs w:val="1"/>
          <w:color w:val="auto"/>
        </w:rPr>
        <w:t>Recently issued accounting standards</w:t>
      </w:r>
      <w:r>
        <w:rPr>
          <w:rFonts w:ascii="Times New Roman" w:cs="Times New Roman" w:eastAsia="Times New Roman" w:hAnsi="Times New Roman"/>
          <w:sz w:val="18"/>
          <w:szCs w:val="18"/>
          <w:color w:val="auto"/>
        </w:rPr>
        <w:t>: In September 2006 the Financial Accounting Standards Board (“FASB”) issued Statement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Standards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has not adopted SFAS 157 as of the date of this report but is currently evaluating the effect that the adoption of SFAS 157 will have on its financial position and results of operations.</w:t>
      </w:r>
    </w:p>
    <w:p>
      <w:pPr>
        <w:spacing w:after="0" w:line="59" w:lineRule="exact"/>
        <w:rPr>
          <w:sz w:val="20"/>
          <w:szCs w:val="20"/>
          <w:color w:val="auto"/>
        </w:rPr>
      </w:pPr>
    </w:p>
    <w:p>
      <w:pPr>
        <w:ind w:left="460" w:firstLine="438"/>
        <w:spacing w:after="0" w:line="255" w:lineRule="auto"/>
        <w:rPr>
          <w:sz w:val="20"/>
          <w:szCs w:val="20"/>
          <w:color w:val="auto"/>
        </w:rPr>
      </w:pPr>
      <w:r>
        <w:rPr>
          <w:rFonts w:ascii="Times New Roman" w:cs="Times New Roman" w:eastAsia="Times New Roman" w:hAnsi="Times New Roman"/>
          <w:sz w:val="18"/>
          <w:szCs w:val="18"/>
          <w:color w:val="auto"/>
        </w:rPr>
        <w:t>In February 2007, FASB issued Statement of Financial Accounting Standards (SFAS) 159, “The Fair Value Option for Financial Assets and Financial Liabilities — Including an amendment of FASB Statement No. 115”. SFAS 159 expands the use of fair value accounting to many financial instruments and certain other items. The fair value option is irrevocable and generally made on an instrument-by-instrument basis, even if a company has similar instruments that it elects not to measure based on fair value. SFAS 159 is effective for fiscal years beginning after November 15, 2007. The Company has not adopted SFAS 159 as of the date of this report but is currently evaluating the effect that the adoption of SFAS 159 will have on its financial position and results of operations.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7840" w:hanging="452"/>
        <w:spacing w:after="0" w:line="345" w:lineRule="auto"/>
        <w:tabs>
          <w:tab w:leader="none" w:pos="4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Information Receivables</w:t>
      </w:r>
    </w:p>
    <w:p>
      <w:pPr>
        <w:spacing w:after="0" w:line="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 of the following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4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56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(1,284)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7"/>
        </w:trPr>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6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state inventories at the lower of cost or market, using the first-in-first-out-method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7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6,386</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finished goods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Allowances for obsolescence</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7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6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firstLine="438"/>
        <w:spacing w:after="0" w:line="262" w:lineRule="auto"/>
        <w:rPr>
          <w:sz w:val="20"/>
          <w:szCs w:val="20"/>
          <w:color w:val="auto"/>
        </w:rPr>
      </w:pPr>
      <w:r>
        <w:rPr>
          <w:rFonts w:ascii="Times New Roman" w:cs="Times New Roman" w:eastAsia="Times New Roman" w:hAnsi="Times New Roman"/>
          <w:sz w:val="18"/>
          <w:szCs w:val="18"/>
          <w:color w:val="auto"/>
        </w:rPr>
        <w:t>Included in inventory at September 30, 2007 is $4.2 million of inventory relating exclusively to our CoolAir family of products. This product was introduced in 2006. If we are unable to sell sufficient quantities of our finished CoolAir products or our sales do not meet our expectations, we may need to record an impairment charge for some or all of this CoolAir inventory.</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020" w:type="dxa"/>
            <w:vAlign w:val="bottom"/>
            <w:gridSpan w:val="2"/>
            <w:shd w:val="clear" w:color="auto" w:fill="CCEEFF"/>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Demonstration units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20,711</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20" w:type="dxa"/>
            <w:vAlign w:val="bottom"/>
            <w:vMerge w:val="restart"/>
          </w:tcPr>
          <w:p>
            <w:pPr>
              <w:jc w:val="right"/>
              <w:ind w:right="201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65"/>
        </w:trPr>
        <w:tc>
          <w:tcPr>
            <w:tcW w:w="7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Warranty liability</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state, property and sales taxes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3"/>
        </w:trPr>
        <w:tc>
          <w:tcPr>
            <w:tcW w:w="7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Warranty Liability</w:t>
      </w:r>
    </w:p>
    <w:p>
      <w:pPr>
        <w:spacing w:after="0" w:line="92" w:lineRule="exact"/>
        <w:rPr>
          <w:sz w:val="20"/>
          <w:szCs w:val="20"/>
          <w:color w:val="auto"/>
        </w:rPr>
      </w:pPr>
    </w:p>
    <w:p>
      <w:pPr>
        <w:ind w:left="460" w:right="80" w:firstLine="438"/>
        <w:spacing w:after="0" w:line="262" w:lineRule="auto"/>
        <w:rPr>
          <w:sz w:val="20"/>
          <w:szCs w:val="20"/>
          <w:color w:val="auto"/>
        </w:rPr>
      </w:pPr>
      <w:r>
        <w:rPr>
          <w:rFonts w:ascii="Times New Roman" w:cs="Times New Roman" w:eastAsia="Times New Roman" w:hAnsi="Times New Roman"/>
          <w:sz w:val="18"/>
          <w:szCs w:val="18"/>
          <w:color w:val="auto"/>
        </w:rPr>
        <w:t>Generally, the warranty period for our power quality products is 12 months from the date of commissioning or 18 months from the date of shipment from Active Power, whichever period is shorter. We accrue the estimated cost of product warranties at the time revenue is recognized and this accrual is contained in accrued expenses on the accompanying balance sheet.</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our warranty liability are presented in the following table (in thousands):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$ 734</w:t>
            </w: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Warranty expense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Warranty charges incurred</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2007</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$ 672</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Capital</w:t>
      </w:r>
    </w:p>
    <w:p>
      <w:pPr>
        <w:spacing w:after="0" w:line="92" w:lineRule="exact"/>
        <w:rPr>
          <w:sz w:val="20"/>
          <w:szCs w:val="20"/>
          <w:color w:val="auto"/>
        </w:rPr>
      </w:pPr>
    </w:p>
    <w:p>
      <w:pPr>
        <w:ind w:left="460" w:right="160" w:firstLine="438"/>
        <w:spacing w:after="0" w:line="258" w:lineRule="auto"/>
        <w:rPr>
          <w:sz w:val="20"/>
          <w:szCs w:val="20"/>
          <w:color w:val="auto"/>
        </w:rPr>
      </w:pPr>
      <w:r>
        <w:rPr>
          <w:rFonts w:ascii="Times New Roman" w:cs="Times New Roman" w:eastAsia="Times New Roman" w:hAnsi="Times New Roman"/>
          <w:sz w:val="18"/>
          <w:szCs w:val="18"/>
          <w:color w:val="auto"/>
        </w:rPr>
        <w:t>On August 14, 2007, we completed the private placement of 10,000,000 shares of our common stock at a price of $1.40 per share, for an aggregate offering price of $14 million before expenses, with certain qualified institutional investors. We paid approximately $840,000 in commissions to our exclusive placement agent, RBC Capital Markets in connection with this transaction. We intend to use the net proceeds from this placement to grow our business in new markets and for working capital purposes.</w:t>
      </w:r>
    </w:p>
    <w:p>
      <w:pPr>
        <w:spacing w:after="0" w:line="55" w:lineRule="exact"/>
        <w:rPr>
          <w:sz w:val="20"/>
          <w:szCs w:val="20"/>
          <w:color w:val="auto"/>
        </w:rPr>
      </w:pPr>
    </w:p>
    <w:p>
      <w:pPr>
        <w:ind w:left="460" w:firstLine="438"/>
        <w:spacing w:after="0" w:line="262" w:lineRule="auto"/>
        <w:rPr>
          <w:sz w:val="20"/>
          <w:szCs w:val="20"/>
          <w:color w:val="auto"/>
        </w:rPr>
      </w:pPr>
      <w:r>
        <w:rPr>
          <w:rFonts w:ascii="Times New Roman" w:cs="Times New Roman" w:eastAsia="Times New Roman" w:hAnsi="Times New Roman"/>
          <w:sz w:val="18"/>
          <w:szCs w:val="18"/>
          <w:color w:val="auto"/>
        </w:rPr>
        <w:t>The transaction was exempt from the registration requirements of the Securities Act of 1933, as amended, and Regulation D promulgated thereunder, as a transaction not involving a public offering, and was exempt from the registration requirements of applicable state securities laws pursuant to similar exemptions under such laws.</w:t>
      </w:r>
    </w:p>
    <w:p>
      <w:pPr>
        <w:spacing w:after="0" w:line="51" w:lineRule="exact"/>
        <w:rPr>
          <w:sz w:val="20"/>
          <w:szCs w:val="20"/>
          <w:color w:val="auto"/>
        </w:rPr>
      </w:pPr>
    </w:p>
    <w:p>
      <w:pPr>
        <w:ind w:left="460" w:right="40" w:firstLine="438"/>
        <w:spacing w:after="0" w:line="254" w:lineRule="auto"/>
        <w:rPr>
          <w:sz w:val="20"/>
          <w:szCs w:val="20"/>
          <w:color w:val="auto"/>
        </w:rPr>
      </w:pPr>
      <w:r>
        <w:rPr>
          <w:rFonts w:ascii="Times New Roman" w:cs="Times New Roman" w:eastAsia="Times New Roman" w:hAnsi="Times New Roman"/>
          <w:sz w:val="18"/>
          <w:szCs w:val="18"/>
          <w:color w:val="auto"/>
        </w:rPr>
        <w:t>As part of this transaction, we entered into a Registration Rights Agreement on August 14, 2007 pursuant to which we agreed to register for resale under the Securities Act all of the shares of common stock issued in this placement. We filed a registration statement on Form S-1 with the Securities and Exchange Commission (“SEC”) on September 12, 2007. Under the transaction documents we were required to file the Form S-1 on or prior to the 30th calendar day following August 14, 2007, and to use our best efforts to cause the Registration Statement to become effective as soon as possible, but in no event later than (i) the 75th calendar day following August 14, 2007 if the Registration Statement is not reviewed by the SEC or (ii) the 120th calendar day following August 14, 2007, if the Registration Statement is reviewed by the SEC. The SEC has reviewed the Registration Statement and we are in the process of responding to those comments.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8"/>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Ended 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3"/>
        </w:trPr>
        <w:tc>
          <w:tcPr>
            <w:tcW w:w="8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(3,512)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(14,582)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(17,309)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55,210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49,795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55,210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49,795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20" w:firstLine="438"/>
        <w:spacing w:after="0" w:line="262" w:lineRule="auto"/>
        <w:rPr>
          <w:sz w:val="20"/>
          <w:szCs w:val="20"/>
          <w:color w:val="auto"/>
        </w:rPr>
      </w:pPr>
      <w:r>
        <w:rPr>
          <w:rFonts w:ascii="Times New Roman" w:cs="Times New Roman" w:eastAsia="Times New Roman" w:hAnsi="Times New Roman"/>
          <w:sz w:val="18"/>
          <w:szCs w:val="18"/>
          <w:color w:val="auto"/>
        </w:rPr>
        <w:t>Our calculation of diluted loss per share excludes 5,474,017 and 5,815,440 shares of restricted stock and common stock issuable upon exercise of employee stock options as of September 30, 2007 and 2006, respectively, because their inclusion in the calculation would have an anti-dilutive effect. As of September 30, 2007 and 2006, respectively, there was no common stock subject to repurchase.</w:t>
      </w:r>
    </w:p>
    <w:p>
      <w:pPr>
        <w:spacing w:after="0" w:line="25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92" w:lineRule="exact"/>
        <w:rPr>
          <w:sz w:val="20"/>
          <w:szCs w:val="20"/>
          <w:color w:val="auto"/>
        </w:rPr>
      </w:pPr>
    </w:p>
    <w:p>
      <w:pPr>
        <w:ind w:left="460" w:right="100" w:firstLine="438"/>
        <w:spacing w:after="0" w:line="254" w:lineRule="auto"/>
        <w:rPr>
          <w:sz w:val="20"/>
          <w:szCs w:val="20"/>
          <w:color w:val="auto"/>
        </w:rPr>
      </w:pPr>
      <w:r>
        <w:rPr>
          <w:rFonts w:ascii="Times New Roman" w:cs="Times New Roman" w:eastAsia="Times New Roman" w:hAnsi="Times New Roman"/>
          <w:sz w:val="18"/>
          <w:szCs w:val="18"/>
          <w:color w:val="auto"/>
        </w:rPr>
        <w:t>On October 5, 2007, we entered into a Loan and Security Agreement (the “Loan Agreement”) with Silicon Valley Bank (“SVB”). The Loan Agreement provides for a secured revolving line of credit in an amount of up to $5.0 million, subject to a borrowing base formula. The revolving line of credit can be used to borrow revolving loans, issue standby letters of credit, and support certain cash management services. Revolving loans may be borrowed, repaid and re-borrowed until October 4, 2009, at which time all amounts borrowed must be repaid and all outstanding letters of credit must be cash collateralized. Revolving loans will bear interest at a floating per annum rate equal to SVB’s prime rate plus 0.25%. A default interest rate shall apply during an event of default under the Loan Agreement at a rate per annum equal to 5.0% above the otherwise applicable interest rate. We plan to draw upon the line of credit for working capital purposes as required.</w:t>
      </w:r>
    </w:p>
    <w:p>
      <w:pPr>
        <w:spacing w:after="0" w:line="60" w:lineRule="exact"/>
        <w:rPr>
          <w:sz w:val="20"/>
          <w:szCs w:val="20"/>
          <w:color w:val="auto"/>
        </w:rPr>
      </w:pPr>
    </w:p>
    <w:p>
      <w:pPr>
        <w:ind w:left="460" w:right="200" w:firstLine="438"/>
        <w:spacing w:after="0" w:line="258" w:lineRule="auto"/>
        <w:rPr>
          <w:sz w:val="20"/>
          <w:szCs w:val="20"/>
          <w:color w:val="auto"/>
        </w:rPr>
      </w:pPr>
      <w:r>
        <w:rPr>
          <w:rFonts w:ascii="Times New Roman" w:cs="Times New Roman" w:eastAsia="Times New Roman" w:hAnsi="Times New Roman"/>
          <w:sz w:val="18"/>
          <w:szCs w:val="18"/>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55" w:lineRule="exact"/>
        <w:rPr>
          <w:sz w:val="20"/>
          <w:szCs w:val="20"/>
          <w:color w:val="auto"/>
        </w:rPr>
      </w:pPr>
    </w:p>
    <w:p>
      <w:pPr>
        <w:ind w:left="460" w:right="40" w:firstLine="438"/>
        <w:spacing w:after="0" w:line="275" w:lineRule="auto"/>
        <w:rPr>
          <w:sz w:val="20"/>
          <w:szCs w:val="20"/>
          <w:color w:val="auto"/>
        </w:rPr>
      </w:pPr>
      <w:r>
        <w:rPr>
          <w:rFonts w:ascii="Times New Roman" w:cs="Times New Roman" w:eastAsia="Times New Roman" w:hAnsi="Times New Roman"/>
          <w:sz w:val="18"/>
          <w:szCs w:val="18"/>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58" w:lineRule="exact"/>
        <w:rPr>
          <w:sz w:val="20"/>
          <w:szCs w:val="20"/>
          <w:color w:val="auto"/>
        </w:rPr>
      </w:pPr>
    </w:p>
    <w:p>
      <w:pPr>
        <w:ind w:left="460" w:right="20" w:firstLine="438"/>
        <w:spacing w:after="0" w:line="258" w:lineRule="auto"/>
        <w:rPr>
          <w:sz w:val="20"/>
          <w:szCs w:val="20"/>
          <w:color w:val="auto"/>
        </w:rPr>
      </w:pPr>
      <w:r>
        <w:rPr>
          <w:rFonts w:ascii="Times New Roman" w:cs="Times New Roman" w:eastAsia="Times New Roman" w:hAnsi="Times New Roman"/>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5" w:right="2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40" w:firstLine="913"/>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2006 included in our 2006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in our Annual Report on Form 10-K for the year ended December 31, 2006 for a discussion of items that may affect our future results.</w:t>
      </w:r>
    </w:p>
    <w:p>
      <w:pPr>
        <w:spacing w:after="0" w:line="2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We design, manufacture and market efficient, reliable and green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Our products are designed to be environmentally friendly compared to existing solutions without compromising functionality, efficiency or cost. We have shipped over 1,700 flywheels or more than 425 megawatts of our products to businesses in over 40 countries since we were founded in 1992.</w:t>
      </w:r>
    </w:p>
    <w:p>
      <w:pPr>
        <w:spacing w:after="0" w:line="139" w:lineRule="exact"/>
        <w:rPr>
          <w:sz w:val="20"/>
          <w:szCs w:val="20"/>
          <w:color w:val="auto"/>
        </w:rPr>
      </w:pPr>
    </w:p>
    <w:p>
      <w:pPr>
        <w:ind w:right="20" w:firstLine="913"/>
        <w:spacing w:after="0" w:line="269" w:lineRule="auto"/>
        <w:rPr>
          <w:sz w:val="20"/>
          <w:szCs w:val="20"/>
          <w:color w:val="auto"/>
        </w:rPr>
      </w:pPr>
      <w:r>
        <w:rPr>
          <w:rFonts w:ascii="Times New Roman" w:cs="Times New Roman" w:eastAsia="Times New Roman" w:hAnsi="Times New Roman"/>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 generators. We market our flywheel products</w:t>
      </w:r>
    </w:p>
    <w:p>
      <w:pPr>
        <w:spacing w:after="0" w:line="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7"/>
          <w:szCs w:val="17"/>
          <w:color w:val="auto"/>
        </w:rPr>
        <w:t>under the brand name CleanSource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by Caterpillar</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Inc. under the brand name “Cat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UPS”.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 address the requirements of customers without backup generators that require protection from utility disturbances, we have also developed a</w:t>
      </w:r>
    </w:p>
    <w:p>
      <w:pPr>
        <w:spacing w:after="0" w:line="23"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patented extended runtime product that we call CoolAir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third-party double-conversion UPS.</w:t>
      </w:r>
    </w:p>
    <w:p>
      <w:pPr>
        <w:spacing w:after="0" w:line="178"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primary sales channels in Europe, Middle East and Asia (EMEA) include selling directly to end users and indirectly through select value added resellers (VARs).</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also provide services including engineering, installation, start-up, monitoring, and repair for our products under contracts with our customers.</w:t>
      </w:r>
    </w:p>
    <w:p>
      <w:pPr>
        <w:spacing w:after="0" w:line="2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an accounting policy to be critical if:</w:t>
      </w:r>
    </w:p>
    <w:p>
      <w:pPr>
        <w:spacing w:after="0" w:line="90" w:lineRule="exact"/>
        <w:rPr>
          <w:sz w:val="20"/>
          <w:szCs w:val="20"/>
          <w:color w:val="auto"/>
        </w:rPr>
      </w:pPr>
    </w:p>
    <w:p>
      <w:pPr>
        <w:ind w:left="900" w:right="14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estimate requires us to make assumptions about matters that are highly uncertain or require the use of judgment at the time we make that estimate; and</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Management believes there have been no significant changes during the quarter ended September 30, 2007 to the items that we disclosed as our critical accounting policies and estimates in the Management’s Discussion and Analysis of Financial Condition and Results of Operations section of our Annual Report on Form 10-K for the year ended December 31 2006.</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tables set forth our condensed consolidated results of operations data, including data as a percentage of total revenue, for the periods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300" w:type="dxa"/>
            <w:vAlign w:val="bottom"/>
          </w:tcPr>
          <w:p>
            <w:pPr>
              <w:spacing w:after="0"/>
              <w:rPr>
                <w:sz w:val="15"/>
                <w:szCs w:val="15"/>
                <w:color w:val="auto"/>
              </w:rPr>
            </w:pPr>
          </w:p>
        </w:tc>
        <w:tc>
          <w:tcPr>
            <w:tcW w:w="34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3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2007 vs. 2006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total</w:t>
            </w: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total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$ 4,823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$ 2,184</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spares revenue</w:t>
            </w:r>
          </w:p>
        </w:tc>
        <w:tc>
          <w:tcPr>
            <w:tcW w:w="2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revenue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2,506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service and spares revenue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cost of revenue</w:t>
            </w:r>
          </w:p>
        </w:tc>
        <w:tc>
          <w:tcPr>
            <w:tcW w:w="2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677</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(589)</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Selling and marketing</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158</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(445)</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8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(3,725)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(5,278)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(3,512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(4,926</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(1,414</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vMerge w:val="restart"/>
          </w:tcPr>
          <w:p>
            <w:pPr>
              <w:jc w:val="right"/>
              <w:ind w:right="572"/>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9"/>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Nine months ended September 30,</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2007 vs. 2006</w:t>
            </w:r>
          </w:p>
        </w:tc>
      </w:tr>
      <w:tr>
        <w:trPr>
          <w:trHeight w:val="125"/>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 of total</w:t>
            </w: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 of total</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revenue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$ 20,003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8"/>
              </w:rPr>
              <w:t>$ 14,702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$ 5,301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Service and spares revenue</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2,061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1,325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16,763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6,626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 of product revenue</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service and spares revenue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1,829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1,036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Pr>
          <w:p>
            <w:pPr>
              <w:spacing w:after="0"/>
              <w:rPr>
                <w:sz w:val="20"/>
                <w:szCs w:val="20"/>
                <w:color w:val="auto"/>
              </w:rPr>
            </w:pPr>
          </w:p>
        </w:tc>
        <w:tc>
          <w:tcPr>
            <w:tcW w:w="6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638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2,831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444%</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6,290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(1,968)</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(31)%</w:t>
            </w:r>
          </w:p>
        </w:tc>
      </w:tr>
      <w:tr>
        <w:trPr>
          <w:trHeight w:val="216"/>
        </w:trPr>
        <w:tc>
          <w:tcPr>
            <w:tcW w:w="2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Selling and marketing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7,802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5,315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1,136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0" w:type="dxa"/>
            <w:vAlign w:val="bottom"/>
          </w:tcPr>
          <w:p>
            <w:pPr>
              <w:spacing w:after="0"/>
              <w:rPr>
                <w:sz w:val="20"/>
                <w:szCs w:val="20"/>
                <w:color w:val="auto"/>
              </w:rPr>
            </w:pPr>
          </w:p>
        </w:tc>
        <w:tc>
          <w:tcPr>
            <w:tcW w:w="6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gridSpan w:val="4"/>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(15,204)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(18,769)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(3,565)</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(19)%</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1,122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(555)</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(49)%</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338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(84)%</w:t>
            </w:r>
          </w:p>
        </w:tc>
      </w:tr>
      <w:tr>
        <w:trPr>
          <w:trHeight w:val="223"/>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6"/>
              </w:rPr>
              <w:t>$</w:t>
            </w:r>
            <w:r>
              <w:rPr>
                <w:rFonts w:ascii="Times New Roman" w:cs="Times New Roman" w:eastAsia="Times New Roman" w:hAnsi="Times New Roman"/>
                <w:sz w:val="18"/>
                <w:szCs w:val="18"/>
                <w:color w:val="auto"/>
                <w:w w:val="86"/>
              </w:rPr>
              <w:t xml:space="preserve"> (14,582</w:t>
            </w:r>
          </w:p>
        </w:tc>
        <w:tc>
          <w:tcPr>
            <w:tcW w:w="240" w:type="dxa"/>
            <w:vAlign w:val="bottom"/>
            <w:gridSpan w:val="2"/>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(17,309</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(2,727</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(16)%</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firstLine="91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revenue. </w:t>
      </w:r>
      <w:r>
        <w:rPr>
          <w:rFonts w:ascii="Times New Roman" w:cs="Times New Roman" w:eastAsia="Times New Roman" w:hAnsi="Times New Roman"/>
          <w:sz w:val="18"/>
          <w:szCs w:val="18"/>
          <w:color w:val="auto"/>
        </w:rPr>
        <w:t>Product revenue consists of sales of our CleanSource power quality products, comprising both UPS and DC product lines, CoolAir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family products, and sales of third-party ancillary equipment, such as engine generators, electrical and switchgear products.</w:t>
      </w:r>
    </w:p>
    <w:p>
      <w:pPr>
        <w:spacing w:after="0" w:line="115" w:lineRule="exact"/>
        <w:rPr>
          <w:sz w:val="20"/>
          <w:szCs w:val="20"/>
          <w:color w:val="auto"/>
        </w:rPr>
      </w:pPr>
    </w:p>
    <w:p>
      <w:pPr>
        <w:ind w:right="80" w:firstLine="913"/>
        <w:spacing w:after="0" w:line="287" w:lineRule="auto"/>
        <w:rPr>
          <w:sz w:val="20"/>
          <w:szCs w:val="20"/>
          <w:color w:val="auto"/>
        </w:rPr>
      </w:pPr>
      <w:r>
        <w:rPr>
          <w:rFonts w:ascii="Times New Roman" w:cs="Times New Roman" w:eastAsia="Times New Roman" w:hAnsi="Times New Roman"/>
          <w:sz w:val="16"/>
          <w:szCs w:val="16"/>
          <w:color w:val="auto"/>
        </w:rPr>
        <w:t>Product revenue for the three-month period ended September 30, 2007 was $7.0 million, compared to $4.8 million in the corresponding period of 2006, an increase of 45%. For the nine-month period ended September 30, 2007, product revenue was $20 million, compared to $14.7 million in the corresponding period of 2006, an increase of 36%. This increase in both our quarterly and year to date product revenues was due to higher sales of our 300 kVA series and megawatt-class UPS product lines, as well as increased sales of ancillary equipment that we sold along with our major product lines. Strong sales of our 250-900 kVA UPS product family represented 50% of our total revenue during our three-month period ended September 30, 2007 and 40% of our total revenue for the nine-month period ended September 30, 2007. Our effort to develop direct sales in new markets has led to continued growth from our direct sales channel. When we sell product directly, as compared to through our OEM channels, we typically generate higher prices and better contribution margins as we do not have to offer channel discounts. The average selling price during the third quarter of 2007 was $83,000 per quarter-megawatt flywheel, compared to $75,000 over the corresponding period in 2006. This increase is due to the increased emphasis on our direct sales, the effect of price increases made late in 2006 and a discontinuance of some of our low kVA machines which sold for lower prices. This is also reflected in our average selling price for the nine-months ended September 30, 2007, which was $77,000 per quarter-megawatt flywheel, compared to $65,000 in the corresponding period of 2006, an increase of 18%. During the quarter ended September 30, 2007 we sold 73 flywheel units compared to 64 in the corresponding period of 2006. For the nine-month period ended September 30, 2007, we have sold 202 flywheels, compared to 212 in the corresponding period of 2006.</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frequency and timing of our larger system sales, including megawatt class UPS products, is more volatile and can result in material changes in period-to-period revenue. Such revenues also can occur in periods other than when originally anticipated, which can add to the potential volatility and affect our ability to meet forecasted targets. Larger system sales may also involve higher amounts of ancillary products upon which we typically generate lower profits when compared to sale of our UPS products. Therefore a significant increase in product revenues that was caused by higher sales of ancillary products may not result in a commensurate increase in our gross or operating profit levels.</w:t>
      </w:r>
    </w:p>
    <w:p>
      <w:pPr>
        <w:spacing w:after="0" w:line="139" w:lineRule="exact"/>
        <w:rPr>
          <w:sz w:val="20"/>
          <w:szCs w:val="20"/>
          <w:color w:val="auto"/>
        </w:rPr>
      </w:pPr>
    </w:p>
    <w:p>
      <w:pPr>
        <w:jc w:val="both"/>
        <w:ind w:right="80" w:firstLine="913"/>
        <w:spacing w:after="0" w:line="262" w:lineRule="auto"/>
        <w:rPr>
          <w:sz w:val="20"/>
          <w:szCs w:val="20"/>
          <w:color w:val="auto"/>
        </w:rPr>
      </w:pPr>
      <w:r>
        <w:rPr>
          <w:rFonts w:ascii="Times New Roman" w:cs="Times New Roman" w:eastAsia="Times New Roman" w:hAnsi="Times New Roman"/>
          <w:sz w:val="18"/>
          <w:szCs w:val="18"/>
          <w:color w:val="auto"/>
        </w:rPr>
        <w:t>North American sales were 44% of our total revenue for the three-month period ended September 30, 2007 compared to 50% for the corresponding period of 2006, and 66% for the second quarter of 2007. For the nine-month period ended September 30, 2007 North American sales were 57% of total revenues, compared to 59% for the corresponding period of 2006.</w:t>
      </w:r>
    </w:p>
    <w:p>
      <w:pPr>
        <w:spacing w:after="0" w:line="132"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During the first quarter of 2007 we opened our first office in the Asia Pacific region, located in Tokyo. Sales of Active Power branded products through our direct and manufacturer’s representative channels were 73% of our total revenues for the three-month period ended September 30, 2007 compared to 67% for the corresponding period of 2006. For the nine months ended September 30, 2007, sales of Active Power branded products were 71% of total revenues compared to 55% for the corresponding period of 2006, reflecting in part the impact of this direct sales strategy. Direct sales typically have higher profit margins than sales through our OEM channels. Therefore, increasing our direct sales channel is expected to result in increased revenue and improved profit margins. We believe sales of our Active Power branded products to government facilities and industrial customers in regions that were not covered by our OEMs will continue to increase over time and will continue to become a larger percentage of our total revenue.</w:t>
      </w:r>
    </w:p>
    <w:p>
      <w:pPr>
        <w:spacing w:after="0" w:line="143"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Caterpillar remains our largest OEM partner and largest overall customer and represented 27% of our revenue for the three-month period ended September 30, 2007, compared to 31% of our revenue for the three-month period ended September 30, 2006. For the nine-month period ended September 30, 2007, Caterpillar has represented 27% of our revenues compared to 36% in the corresponding period of 2006. We have had recent success with Caterpillar selling our megawatt-class UPS products along with their large engine generators, and expect total revenue from this channel to continue to increase in absolute terms, even though it may decline as a percentage of our total revenue.</w:t>
      </w:r>
    </w:p>
    <w:p>
      <w:pPr>
        <w:spacing w:after="0" w:line="13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Our products perform well in harsh environments where power quality is particularly poor, which makes them a good fit for industrial countries with a poor power infrastructure and therefore we have traditionally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2007. We have also seen and anticipate a further increase in capital spending in data centers where there is a requirement for higher-density power solutions such as flywheels, and believe that focusing sales at this market segment along with our expanding direct sales strategy will result in higher product revenue levels for us during the remaining three months of 2007 and in 2008.</w:t>
      </w:r>
    </w:p>
    <w:p>
      <w:pPr>
        <w:spacing w:after="0" w:line="135" w:lineRule="exact"/>
        <w:rPr>
          <w:sz w:val="20"/>
          <w:szCs w:val="20"/>
          <w:color w:val="auto"/>
        </w:rPr>
      </w:pPr>
    </w:p>
    <w:p>
      <w:pPr>
        <w:ind w:right="100" w:firstLine="913"/>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Service and spares revenue. </w:t>
      </w:r>
      <w:r>
        <w:rPr>
          <w:rFonts w:ascii="Times New Roman" w:cs="Times New Roman" w:eastAsia="Times New Roman" w:hAnsi="Times New Roman"/>
          <w:sz w:val="16"/>
          <w:szCs w:val="16"/>
          <w:color w:val="auto"/>
        </w:rPr>
        <w:t>Service and spares revenue primarily relates to revenue generated from installation, startup, repairs or reconfigurations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our product or power systems and the sale of spare or replacement parts to our OEM and end-user customers. It also includes revenue associated with</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costs of travel of our service personnel. Service and spares revenue was $1.2 million for the three-month period ended September 30, 2007, compared to $0.9 million in the corresponding period in 2006, an increase of 36%. For the nine-month period ended September 30, 2007, service and spares revenue was $3.4 million compared to $2.1 million in the corresponding period in 2006, an increase of 64%. This increase in service and spares revenue is primarily due to higher levels of service and contract work from a higher level of direct product sales. Typically service revenue is generated within two quarters from product shipment. For some of our customers we provide a full power solution, including site preparation, installation of an entire power solution and provision of all products required to provide a turnkey product to the end user. Our installation revenue continues to increase as we sell more full service power solutions as opposed to simply selling products. We also are more aggressively selling long-term maintenance contracts to customers in addition to providing repair and maintenance services when requested. We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types of services to their end-user customers. Therefore, an increase in sales through our OEM channel could adversely impact our levels of service and spares revenue.</w:t>
      </w:r>
    </w:p>
    <w:p>
      <w:pPr>
        <w:spacing w:after="0" w:line="135" w:lineRule="exact"/>
        <w:rPr>
          <w:sz w:val="20"/>
          <w:szCs w:val="20"/>
          <w:color w:val="auto"/>
        </w:rPr>
      </w:pPr>
    </w:p>
    <w:p>
      <w:pPr>
        <w:ind w:firstLine="913"/>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product revenue. </w:t>
      </w:r>
      <w:r>
        <w:rPr>
          <w:rFonts w:ascii="Times New Roman" w:cs="Times New Roman" w:eastAsia="Times New Roman" w:hAnsi="Times New Roman"/>
          <w:sz w:val="16"/>
          <w:szCs w:val="16"/>
          <w:color w:val="auto"/>
        </w:rPr>
        <w:t>Cost of product revenue includes the cost of component parts of our products that are sourced from suppliers, personnel,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equipment and other costs associated with our assembly and test operations, including costs from having underutilized facilities, shipping costs, warranty costs, and the costs of manufacturing support functions such as logistics and quality assurance. The cost of product revenue was $5.7 million for the three-month period ended September 30, 2007, compared to $4.1 million for the corresponding period of 2006. The cost of product revenue as a percentage of total product revenue in the three-month period ended September 30, 2007 decreased by 5% compared to the corresponding period in 2006 due to the effect of higher average selling prices, improved efficiency in our manufacturing operations and material and overhead cost reductions. In addition to more frequently passing component price increases on to customers, we have instituted programs to reduce product and component costs where feasible, and this has resulted in a decrease in materials costs as a percentage of product revenue. Some of these benefits have been offset by commodity price increases particularly in copper and steel during 2007. For the nine-month period ended September 30, 2007, the cost of product revenue was $17.1 million, compared to $14.3 million for the corresponding period of 2006, an increase of 19%. This 19% increase compares to the 36% increase in product revenues in this same period, and reflects the benefits of higher average selling prices, overhead and product cost reductions, and better utilization of our manufacturing facilities. We continue to operate a manufacturing facility that has a capacity level significantly greater than our current production levels. In addition, a large portion of the costs involved in operating our manufacturing facility are fixed in nature and we incur approximately $1.0 million to $1.2 million in unabsorbed overhead each quarter, although this amount is decreasing as our production levels rise and as we continue to reduce manufacturing costs. We reduced our manufacturing staff levels in 2006 and have continued to reduce our overhead levels where feasible. During the past two quarters we have been able to sublease portions of our manufacturing and office space to help further reduce our manufacturing overhead levels, and we continue to work on other cost reduction activities that we expect to implement in future periods. We also continue to work on reducing our product costs through design enhancements and modifications, and vendor management programs. We have achieved positive and improving gross-margin levels in the last four quarters; however, our ability to maintain and improve our gross-margin levels is heavily dependent upon our sales channel mix and the effectiveness of our product pricing to our customers. Our ability to maintain positive product gross margin will depend on multiple factors, including our ability to continue to reduce material costs, improve our sales channel mix in favor of direct sales versus OEM, our ability to increase product prices, and to increase our total revenues to a level that will allow us to improve the utilization of our manufacturing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firstLine="913"/>
        <w:spacing w:after="0" w:line="275" w:lineRule="auto"/>
        <w:rPr>
          <w:sz w:val="20"/>
          <w:szCs w:val="20"/>
          <w:color w:val="auto"/>
        </w:rPr>
      </w:pPr>
      <w:r>
        <w:rPr>
          <w:rFonts w:ascii="Times New Roman" w:cs="Times New Roman" w:eastAsia="Times New Roman" w:hAnsi="Times New Roman"/>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16"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 and spares revenue. </w:t>
      </w:r>
      <w:r>
        <w:rPr>
          <w:rFonts w:ascii="Times New Roman" w:cs="Times New Roman" w:eastAsia="Times New Roman" w:hAnsi="Times New Roman"/>
          <w:sz w:val="18"/>
          <w:szCs w:val="18"/>
          <w:color w:val="auto"/>
        </w:rPr>
        <w:t>Cost of service and spares revenue includes the cost of component spare parts, as well as labor and overhead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spare parts, direct costs of installation projects, costs associated with travel and labor used in servicing a unit and unabsorbed overhead from the service group. The cost of service and spares revenue was $1.0 million for the three-month period ended September 30, 2007, compared to $0.7 million for the corresponding period in 2006. The cost of service and spares revenue increased to 79% of service and spares revenue in the three-month period ended September 30, 2007 compared to 76% in the corresponding period of 2006. This increase reflects a higher level of project costs in the EMEA market which were proportionately more expensive than our prior installation and project work. For the nine-month period ended September 30, 2007, our cost of service and spares revenue was $2.9 million, compared to $1.8 million in the corresponding period of 2006, an increase of 57%. This is comparable to the 64% increase in service and spares revenue in the same period.</w:t>
      </w:r>
    </w:p>
    <w:p>
      <w:pPr>
        <w:spacing w:after="0" w:line="138" w:lineRule="exact"/>
        <w:rPr>
          <w:sz w:val="20"/>
          <w:szCs w:val="20"/>
          <w:color w:val="auto"/>
        </w:rPr>
      </w:pPr>
    </w:p>
    <w:p>
      <w:pPr>
        <w:ind w:firstLine="913"/>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Research and development. </w:t>
      </w:r>
      <w:r>
        <w:rPr>
          <w:rFonts w:ascii="Times New Roman" w:cs="Times New Roman" w:eastAsia="Times New Roman" w:hAnsi="Times New Roman"/>
          <w:sz w:val="16"/>
          <w:szCs w:val="16"/>
          <w:color w:val="auto"/>
        </w:rPr>
        <w:t>Research and development expense primarily consists of compensation and related costs of employees engaged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research, development and engineering activities, third party consulting and product development activities, as well as an allocated portion of our occupancy costs. Overall our research and development expenses were $1.4 million for the three-month period ended September 30, 2007, compared to $2.0 million for the corresponding period of 2006, a decrease of 29%. However research and development expenses increased by 6% as compared to the second quarter of 2007. The decrease from the third quarter in 2006 was primarily due to the effect of headcount reductions that the Company made in the third quarter of 2006. The increase from the second quarter in 2007 was primarily attributable to higher prototype and personnel expenses on new flywheel configurations under development. The prior year expenses included higher prototype and development costs for our CoolAir DC product and costs incurred in paralleling our megawatt-class UPS product. Our research and development expenses for the nine-month period ended September 30, 2007 were $4.3 million compared to $6.3 million in the corresponding period of 2006, a decrease of 31%. The primary reason for this year over year decrease was the headcount reduction made in the third quarter of 2006. We believe research and development expenses in the fourth quarter of 2007 will stay at similar levels to those recorded in the third quarter of this year.</w:t>
      </w:r>
    </w:p>
    <w:p>
      <w:pPr>
        <w:spacing w:after="0" w:line="115" w:lineRule="exact"/>
        <w:rPr>
          <w:sz w:val="20"/>
          <w:szCs w:val="20"/>
          <w:color w:val="auto"/>
        </w:rPr>
      </w:pPr>
    </w:p>
    <w:p>
      <w:pPr>
        <w:jc w:val="both"/>
        <w:ind w:firstLine="913"/>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Selling and marketing. </w:t>
      </w:r>
      <w:r>
        <w:rPr>
          <w:rFonts w:ascii="Times New Roman" w:cs="Times New Roman" w:eastAsia="Times New Roman" w:hAnsi="Times New Roman"/>
          <w:sz w:val="16"/>
          <w:szCs w:val="16"/>
          <w:color w:val="auto"/>
        </w:rPr>
        <w:t>Selling and marketing expenses primarily comprise compensation, including variable sales compensation, and related costs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sales and marketing personnel, and related travel, selling and marketing expenses, as well as an allocated portion of our occupancy costs. Sales and marketing costs were $2.7 million for the three-month period ended September 30, 2007, compared to $2.5 million for the corresponding period in 2006, an increase of 6%. Selling and marketing expenses were approximately the same for the three-month period ended September 30, 2007 as compared to the second quarter of 2007.</w:t>
      </w:r>
    </w:p>
    <w:p>
      <w:pPr>
        <w:spacing w:after="0" w:line="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Although the total amount of quarterly expenditure has remained relatively constant over the last year, the mix of expenditure has changed as we have moved marketing and sales personnel and costs away from supporting our OEM channels and focused on higher marketing expenditures to support our direct sales force and develop the Active Power brand, re-branding of our collateral and other direct sales activities as part of our effort to facilitate more direct sales. Our addition of sales distributors has increased the amount of sales commissions that we pay, as has the overall increase in revenues. Sales and marketing expenses for the nine-month period ended September 30, 2007 were $7.9 million, compared to $7.8 million in the corresponding period of 2006, an increase of 1%. This increase is disproportionate to the overall 40% increase in our total revenues in this same period. Our total headcount in sales and marketing remains at similar levels to last quarter and to last year, although we have changed the composition of our sales team over the last year as we expand our direct sales force</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455" w:right="3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while reducing the resources devoted to supporting our OEM partners. We believe that sales and marketing expenses will increase slightly in the fourth quarter as we continue to expand into the Asia market and as our variable compensation increases with higher revenue levels.</w:t>
      </w:r>
    </w:p>
    <w:p>
      <w:pPr>
        <w:spacing w:after="0" w:line="116" w:lineRule="exact"/>
        <w:rPr>
          <w:sz w:val="20"/>
          <w:szCs w:val="20"/>
          <w:color w:val="auto"/>
        </w:rPr>
      </w:pPr>
    </w:p>
    <w:p>
      <w:pPr>
        <w:ind w:right="20" w:firstLine="91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is primarily comprised of compensation and related costs for executive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personnel, professional fees, and taxes, including property and franchise taxes. General and administrative expenses were $1.2 million for the three-month period ended September 30, 2007, compared to $1.7 million for the corresponding period in 2006, a decrease of 26%. For the nine-month period ended September 30, 2007, general and administrative expenses were $6.5 million compared to $5.3 million in the corresponding period of 2006, an increase of 21%. General and administrative expenses for the three-month period ended September 30, 2007 also decreased by 49% as compared to the second quarter of 2007. The decrease from the second quarter of 2007 was primarily due to the absence of professional fees of $1.2 million that we recorded in the second quarter in connection with a review of our historical stock option granting procedures which was substantially completed in the second quarter of 2007. The decrease compared to 2006 was primarily due to lower headcount costs compared to 2006 and approximately $300,000 in legal fees recorded in 2006 relating to insurance litigation that was ultimately settled in December 2006. The increase in year-to-date expense compared to 2006 is due to $2.9 million of costs associated with the stock option review that we incurred in 2007. Absent these expenses, our general and administrative expenses would have decreased by 33% from 2006 levels, primarily due to the absence of litigation expenses that we were incurring in 2006. We expect general and administrative expenses to stay at similar levels in the next quarter; however, the amount of professional fees relating to the option review remains unknown and will be influenced by the number and extent of regulatory reviews and/or litigation that may still occur as a result of this investigation. We are currently in the process of negotiating to settle outstanding tax matters emanating from the option review with the Internal Revenue Service, and will record additional expense to cover tax obligations for innocent employees who were affected by the option review. We will record these expenses at the time we legally finalizes those obligations for our employees, and we currently estimate that such expenses will be approximately $200,000. Absent the impact of such expenses from the option review, we anticipate that the level of general and administrative expenses should stay at similar levels.</w:t>
      </w:r>
    </w:p>
    <w:p>
      <w:pPr>
        <w:spacing w:after="0" w:line="141" w:lineRule="exact"/>
        <w:rPr>
          <w:sz w:val="20"/>
          <w:szCs w:val="20"/>
          <w:color w:val="auto"/>
        </w:rPr>
      </w:pPr>
    </w:p>
    <w:p>
      <w:pPr>
        <w:ind w:right="220" w:firstLine="913"/>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$196,000 in the three-month period ended September 30, 2007, compared to $346,000 in the corresponding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2006, a decrease of 43%. For the nine-month period ended September 30, 2007, our interest income was $567,000 compared to $1,122,000 in the corresponding period of 2006, a decrease of 49%. This decrease in interest income in both of these periods reflects the decrease in our average cash and investments balance compared to the corresponding period in 2006, as the Company has been using its investments to fund operations. Our average cash and investments balance over the three month period ending September 30, 2007 has decreased by approximately $12.2 million or 41% compared to the average balance over the corresponding period ending September 30, 2006.</w:t>
      </w:r>
    </w:p>
    <w:p>
      <w:pPr>
        <w:spacing w:after="0" w:line="1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Other income was approximately $17,000 for the three-month period ended September 30, 2007, compared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$6,000 for the corresponding period in 2006. For the nine-month period ended September 30, 2007, other income was $55,000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$338,000 in the corresponding period of 2006, a decrease of 84%. Other income in 2006 included cost recoveries from annual audits of our real estate leases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of state franchise taxes.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560" w:firstLine="913"/>
        <w:spacing w:after="0" w:line="275" w:lineRule="auto"/>
        <w:rPr>
          <w:sz w:val="20"/>
          <w:szCs w:val="20"/>
          <w:color w:val="auto"/>
        </w:rPr>
      </w:pPr>
      <w:r>
        <w:rPr>
          <w:rFonts w:ascii="Times New Roman" w:cs="Times New Roman" w:eastAsia="Times New Roman" w:hAnsi="Times New Roman"/>
          <w:sz w:val="18"/>
          <w:szCs w:val="18"/>
          <w:color w:val="auto"/>
        </w:rPr>
        <w:t>Our cash and investments at September 30, 2007 totalled $22.8 million. We have primarily funded our operations through public and private placements of our common stock as well as $10.0</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million in development funding received from Caterpillar since 1999, and from our product, service and spares revenue. We believe that our cash and investments on hand will be sufficient to fund our operations through at least the middle of 2009.</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During the third quarter of 2007 we completed a private placement of our common stock that resulted in net proceeds to us of $13.1 million.</w:t>
      </w:r>
    </w:p>
    <w:p>
      <w:pPr>
        <w:spacing w:after="0" w:line="171" w:lineRule="exact"/>
        <w:rPr>
          <w:sz w:val="20"/>
          <w:szCs w:val="20"/>
          <w:color w:val="auto"/>
        </w:rPr>
      </w:pPr>
    </w:p>
    <w:p>
      <w:pPr>
        <w:jc w:val="both"/>
        <w:ind w:right="160" w:firstLine="913"/>
        <w:spacing w:after="0" w:line="262" w:lineRule="auto"/>
        <w:rPr>
          <w:sz w:val="20"/>
          <w:szCs w:val="20"/>
          <w:color w:val="auto"/>
        </w:rPr>
      </w:pPr>
      <w:r>
        <w:rPr>
          <w:rFonts w:ascii="Times New Roman" w:cs="Times New Roman" w:eastAsia="Times New Roman" w:hAnsi="Times New Roman"/>
          <w:sz w:val="18"/>
          <w:szCs w:val="18"/>
          <w:color w:val="auto"/>
        </w:rPr>
        <w:t>Further, during the third quarter of 2007, we entered into a secured revolving line of credit facility of up to $5 million, subject to a borrowing base formula, with Silicon Valley Bank (SVB), to help fund our working capital requirements and to provide additional liquidity. There were no amounts outstanding under this facility at September 30, 2007.</w:t>
      </w:r>
    </w:p>
    <w:p>
      <w:pPr>
        <w:spacing w:after="0" w:line="132"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Revolving loans may be borrowed, repaid and re-borrowed until October 4, 2009, at which time all amounts borrowed must be repaid and all outstanding letters of credit must be cash collateralized. Revolving loans bear interest at a floating per annum rate equal to SVB’s prime rate plus 0.25%.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39" w:lineRule="exact"/>
        <w:rPr>
          <w:sz w:val="20"/>
          <w:szCs w:val="20"/>
          <w:color w:val="auto"/>
        </w:rPr>
      </w:pPr>
    </w:p>
    <w:p>
      <w:pPr>
        <w:ind w:firstLine="913"/>
        <w:spacing w:after="0" w:line="293" w:lineRule="auto"/>
        <w:rPr>
          <w:sz w:val="20"/>
          <w:szCs w:val="20"/>
          <w:color w:val="auto"/>
        </w:rPr>
      </w:pPr>
      <w:r>
        <w:rPr>
          <w:rFonts w:ascii="Times New Roman" w:cs="Times New Roman" w:eastAsia="Times New Roman" w:hAnsi="Times New Roman"/>
          <w:sz w:val="16"/>
          <w:szCs w:val="16"/>
          <w:color w:val="auto"/>
        </w:rPr>
        <w:t>The Loan and Security Agreement with SVB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Loan Agreement includes customary events of default that include, among other things:</w:t>
      </w:r>
    </w:p>
    <w:p>
      <w:pPr>
        <w:spacing w:after="0" w:line="90" w:lineRule="exact"/>
        <w:rPr>
          <w:sz w:val="20"/>
          <w:szCs w:val="20"/>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principal, interest or fees;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covenants;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and insolvency events;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under material agreements;</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judgments against us; and</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representations and warranties.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occurrence of an event of default could result in the acceleration of any outstanding obligations under the Loan Agreement.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the yearly changes in cash used in operating activities: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9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200" w:type="dxa"/>
            <w:vAlign w:val="bottom"/>
          </w:tcPr>
          <w:p>
            <w:pPr>
              <w:spacing w:after="0"/>
              <w:rPr>
                <w:sz w:val="13"/>
                <w:szCs w:val="13"/>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6"/>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60" w:type="dxa"/>
            <w:vAlign w:val="bottom"/>
          </w:tcPr>
          <w:p>
            <w:pPr>
              <w:spacing w:after="0"/>
              <w:rPr>
                <w:sz w:val="15"/>
                <w:szCs w:val="15"/>
                <w:color w:val="auto"/>
              </w:rPr>
            </w:pPr>
          </w:p>
        </w:tc>
        <w:tc>
          <w:tcPr>
            <w:tcW w:w="1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ended September 30,</w:t>
            </w:r>
          </w:p>
        </w:tc>
        <w:tc>
          <w:tcPr>
            <w:tcW w:w="200" w:type="dxa"/>
            <w:vAlign w:val="bottom"/>
          </w:tcPr>
          <w:p>
            <w:pPr>
              <w:spacing w:after="0"/>
              <w:rPr>
                <w:sz w:val="15"/>
                <w:szCs w:val="15"/>
                <w:color w:val="auto"/>
              </w:rPr>
            </w:pP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2007 vs. 2006</w:t>
            </w:r>
          </w:p>
        </w:tc>
      </w:tr>
      <w:tr>
        <w:trPr>
          <w:trHeight w:val="142"/>
        </w:trPr>
        <w:tc>
          <w:tcPr>
            <w:tcW w:w="4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(10,346)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0"/>
              </w:rPr>
              <w:t>$ (16,422)</w:t>
            </w: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$(6,076)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w:t>
            </w:r>
          </w:p>
        </w:tc>
      </w:tr>
    </w:tbl>
    <w:p>
      <w:pPr>
        <w:spacing w:after="0" w:line="148"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nine-month period ended September 30, 2007 decreased by 37% compared to the corresponding period of 2006. This is primarily attributable to lower operating losses, lower levels of stock-based compensation, significantly lower levels of inventory purchases compared to the third quarter of 2006 and higher deferred revenue from maintenance contracts and customer deposits. These were partially offset by decreases in accounts payable as we paid for the expenses of our historical stock option review. We anticipate cash used in operating activities for the fourth quarter of 2007 to generally maintain similar levels to the third quarter of 2007 as we continue to discharge the liabilities from the stock option review, reach settlement of the related income tax liabilities, and record an expected increase in receivables due to anticipated higher revenues.</w:t>
      </w:r>
    </w:p>
    <w:p>
      <w:pPr>
        <w:spacing w:after="0" w:line="139"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$885,000 in the nine-month period ended September 30, 2007, compared to $1.8 million in the corresponding period of 2006. This decrease was primarily due to lower investments in 2007 in opening foreign sales offices and demonstration centers.</w:t>
      </w:r>
    </w:p>
    <w:p>
      <w:pPr>
        <w:spacing w:after="0" w:line="136"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Funds provided by financing activities during the nine-month period ended September 30, 2007 were $13 million compared to $2.7 million for the corresponding period in 2006. The significant increase in funds from financing activities compared to the comparable period of 2006 is due to the $13 million proceeds from the private placement that we completed during the third quarter, offset by lower proceeds from option exercises in 2007 due to a lower stock price for the Company’s common stock.</w:t>
      </w:r>
    </w:p>
    <w:p>
      <w:pPr>
        <w:spacing w:after="0" w:line="136"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As noted above, we believe our existing cash and investments balances at September 30, 2007 will be sufficient to meet our cash requirements through at least the next 18 months. Beyond the next 18 months, our cash requirements will depend on many factors, including the rate of sales growth, the success of our direct selling strategy, the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420" w:firstLine="913"/>
        <w:spacing w:after="0" w:line="264" w:lineRule="auto"/>
        <w:rPr>
          <w:sz w:val="20"/>
          <w:szCs w:val="20"/>
          <w:color w:val="auto"/>
        </w:rPr>
      </w:pPr>
      <w:r>
        <w:rPr>
          <w:rFonts w:ascii="Times New Roman" w:cs="Times New Roman" w:eastAsia="Times New Roman" w:hAnsi="Times New Roman"/>
          <w:sz w:val="18"/>
          <w:szCs w:val="18"/>
          <w:color w:val="auto"/>
        </w:rPr>
        <w:t xml:space="preserve">In September 2006 the FASB issued Statement of Financial Accounting Standards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136" w:lineRule="exact"/>
        <w:rPr>
          <w:sz w:val="20"/>
          <w:szCs w:val="20"/>
          <w:color w:val="auto"/>
        </w:rPr>
      </w:pPr>
    </w:p>
    <w:p>
      <w:pPr>
        <w:ind w:firstLine="913"/>
        <w:spacing w:after="0" w:line="296" w:lineRule="auto"/>
        <w:rPr>
          <w:sz w:val="20"/>
          <w:szCs w:val="20"/>
          <w:color w:val="auto"/>
        </w:rPr>
      </w:pPr>
      <w:r>
        <w:rPr>
          <w:rFonts w:ascii="Times New Roman" w:cs="Times New Roman" w:eastAsia="Times New Roman" w:hAnsi="Times New Roman"/>
          <w:sz w:val="16"/>
          <w:szCs w:val="16"/>
          <w:color w:val="auto"/>
        </w:rPr>
        <w:t>In February 2007, FASB issued Statement of Financial Accounting Standards (SFAS) 159, “The Fair Value Option for Financial Assets and Financial Liabilities — Including an amendment of FASB Statement No. 115”. SFAS 159 expands the use of fair value accounting to many financial instruments and certain other items. The fair value option is irrevocable and generally made on an instrument-by-instrument basis, even if a company has similar instruments that it elects not to measure based on fair value. SFAS 159 is effective for fiscal years beginning after November 15, 2007. The Company has not adopted SFAS 159 as of the date of this report but is currently evaluating the effect that the adoption of SFAS 159 will have on its financial position and results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20"/>
          </w:cols>
          <w:pgMar w:left="24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660" w:firstLine="913"/>
        <w:spacing w:after="0" w:line="339" w:lineRule="auto"/>
        <w:rPr>
          <w:sz w:val="20"/>
          <w:szCs w:val="20"/>
          <w:color w:val="auto"/>
        </w:rPr>
      </w:pPr>
      <w:r>
        <w:rPr>
          <w:rFonts w:ascii="Times New Roman" w:cs="Times New Roman" w:eastAsia="Times New Roman" w:hAnsi="Times New Roman"/>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4" w:lineRule="exact"/>
        <w:rPr>
          <w:sz w:val="20"/>
          <w:szCs w:val="20"/>
          <w:color w:val="auto"/>
        </w:rPr>
      </w:pPr>
    </w:p>
    <w:p>
      <w:pPr>
        <w:jc w:val="both"/>
        <w:ind w:right="160" w:firstLine="913"/>
        <w:spacing w:after="0" w:line="310" w:lineRule="auto"/>
        <w:rPr>
          <w:sz w:val="20"/>
          <w:szCs w:val="20"/>
          <w:color w:val="auto"/>
        </w:rPr>
      </w:pPr>
      <w:r>
        <w:rPr>
          <w:rFonts w:ascii="Times New Roman" w:cs="Times New Roman" w:eastAsia="Times New Roman" w:hAnsi="Times New Roman"/>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$178,000.</w:t>
      </w:r>
    </w:p>
    <w:p>
      <w:pPr>
        <w:spacing w:after="0" w:line="97"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 and pounds sterling. Currently, we do not engage in hedging activities for the collection of foreign currency receivables in our international operations. However, we may engage in hedging activities in the future.</w:t>
      </w:r>
    </w:p>
    <w:p>
      <w:pPr>
        <w:spacing w:after="0" w:line="136" w:lineRule="exact"/>
        <w:rPr>
          <w:sz w:val="20"/>
          <w:szCs w:val="20"/>
          <w:color w:val="auto"/>
        </w:rPr>
      </w:pPr>
    </w:p>
    <w:p>
      <w:pPr>
        <w:ind w:right="160" w:firstLine="913"/>
        <w:spacing w:after="0" w:line="262" w:lineRule="auto"/>
        <w:rPr>
          <w:sz w:val="20"/>
          <w:szCs w:val="20"/>
          <w:color w:val="auto"/>
        </w:rPr>
      </w:pPr>
      <w:r>
        <w:rPr>
          <w:rFonts w:ascii="Times New Roman" w:cs="Times New Roman" w:eastAsia="Times New Roman" w:hAnsi="Times New Roman"/>
          <w:sz w:val="18"/>
          <w:szCs w:val="18"/>
          <w:color w:val="auto"/>
        </w:rPr>
        <w:t>Our international business is subject to the typical risks of any international business, including, but not limited to, the risks described in Item 1A – “Risk Factors” in our Annual Report on Form 10-K for the year ended December 31, 2006. Accordingly, our future results could be materially harmed by the actual occurrence of any of these or other risks.</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left="900" w:right="20" w:hanging="446"/>
        <w:spacing w:after="0" w:line="25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as amended (the “Exchange Act”). Based on their evaluation, our management, including our CEO and CFO, concluded that, effective as of September 30, 2007 (the end of the period covered by this report),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the CEO and CFO, as appropriate, to allow timely decisions regarding required disclosures.</w:t>
      </w:r>
    </w:p>
    <w:p>
      <w:pPr>
        <w:spacing w:after="0" w:line="57"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our internal control over financial reporting (as such term is defined in Rules 13a-15(f) and 15d-15(f) under the Exchange Act) during the three-month period ended September 30, 2007 that has materially affected, or that we believe is reasonably likely to materially affect, our internal control over financial reporting.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color w:val="auto"/>
        </w:rPr>
        <w:t>We voluntarily contacted the United States Securities and Exchange Commission (SEC) regarding the investigation by a special committee of our Board of Directors (the “Special Committee”) into our stock option granting practices and have agreed to share the results of the Special Committee ‘s investigation with the SEC. We have received requests for voluntary production of documents from the SEC and we are fully cooperating with the SEC.</w:t>
      </w:r>
    </w:p>
    <w:p>
      <w:pPr>
        <w:spacing w:after="0" w:line="132" w:lineRule="exact"/>
        <w:rPr>
          <w:sz w:val="20"/>
          <w:szCs w:val="20"/>
          <w:color w:val="auto"/>
        </w:rPr>
      </w:pPr>
    </w:p>
    <w:p>
      <w:pPr>
        <w:ind w:right="140" w:firstLine="913"/>
        <w:spacing w:after="0" w:line="254" w:lineRule="auto"/>
        <w:rPr>
          <w:sz w:val="20"/>
          <w:szCs w:val="20"/>
          <w:color w:val="auto"/>
        </w:rPr>
      </w:pPr>
      <w:r>
        <w:rPr>
          <w:rFonts w:ascii="Times New Roman" w:cs="Times New Roman" w:eastAsia="Times New Roman" w:hAnsi="Times New Roman"/>
          <w:sz w:val="18"/>
          <w:szCs w:val="18"/>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grant measurement date and option modification errors, and there is a risk 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 pay damages or penalties or have other remedies imposed upon us which could harm our business, financial condition, results of operations and cash flows.</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Additionally, we believe there is a possibility that the matters relating to the investigation by the Special Committee into our stock option granting practices and the restatement of our consolidated financial statements for the years 2001 through September 2006 may result in future litigation or formal regulatory inquiries.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in Item 1A of our Annual Report on Form 10-K for the year ended December 31, 2006 before making a decision to invest in our common stock or in evaluating Active Power and our business. The risks and uncertainties described in our Annual Report on Form 10-K for the year ended December 31, 2006 are not the only ones we face. Additional risks and uncertainties that we do not presently know, or that we currently view as immaterial, may also impair our business operations. This report is qualified in its entirety by these risk factors.</w:t>
      </w:r>
    </w:p>
    <w:p>
      <w:pPr>
        <w:spacing w:after="0" w:line="133"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i w:val="1"/>
          <w:iCs w:val="1"/>
          <w:color w:val="auto"/>
        </w:rPr>
        <w:t>The actual occurrence of any of the risks described in our Annual Report on Form 10-K for the year ended December 31, 2006 could materially harm our business, financial condition and results of operations. In that case, the trading price of our common stock could decline.</w:t>
      </w:r>
    </w:p>
    <w:p>
      <w:pPr>
        <w:spacing w:after="0" w:line="11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There are no material changes from the risk factors as previously disclosed in our Annual Report on Form 10-K for the year ended December 31, 2006, except as set forth below:</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Sales of Our Shares by Certain Stockholders Could Have a Material Effect on Our Stock Price.</w:t>
      </w:r>
    </w:p>
    <w:p>
      <w:pPr>
        <w:spacing w:after="0" w:line="94"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If a significant portion of shares eligible for sale or resale by our stockholders were sold by the selling shareholders in the public marketplace, such sales could exceed any demand for our shares and have a severe and adverse material affect on the trading price of our common stock. As of August 31, 2007, we had (i) 60,121,311 shares of common stock outstanding, and (ii) approximately 5,596,956 million shares of common stock issuable upon exercise of outstanding options or subject to unvested restricted stock. In addition to shares held by certain of our affiliates and other large holders, we are registering 10,000,000 shares of common stock for resale by the selling shareholders pursuant to a Registration Statement on Form S-1, which represents approximately an additional 16.6% of our currently outstanding shares, all of which will be eligible for resale from time to time at the discretion of the selling stockholders.</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97"/>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report:</w:t>
            </w:r>
          </w:p>
        </w:tc>
      </w:tr>
      <w:tr>
        <w:trPr>
          <w:trHeight w:val="40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Amended and Restated Certificate of Incorporation (filed as Exhibit 3.1 to Active Power’s IPO Registration Statement on Form S-1 (File No.333-</w:t>
            </w:r>
          </w:p>
        </w:tc>
      </w:tr>
      <w:tr>
        <w:trPr>
          <w:trHeight w:val="228"/>
        </w:trPr>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36946))</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Amended and Restated Bylaws (filed as Exhibit 3.2 to Active Power’s Current Report on Form 8-K filed on February 2, 2007)</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w:t>
            </w: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Purchase Agreement dated August 13, 2007 by and among Active Power, Inc. and the Purchasers named therein.</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(1)</w:t>
            </w: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Rights Agreement dated August 14, 2007 by and among Active Power, Inc. and the Shareholders named therein.</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(2)</w:t>
            </w: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Loan and Security Agreement between Active Power, Inc. and Silicon Valley Bank dated October 5, 2007</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31.1</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13a-15(e)/15d-15(e) Certification of Principal Executive Officer</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13a-15(e)/15d-15(e) Certification of Principal Financial Officer</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32.1</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w:t>
            </w:r>
          </w:p>
        </w:tc>
      </w:tr>
      <w:tr>
        <w:trPr>
          <w:trHeight w:val="324"/>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32.2</w:t>
            </w:r>
          </w:p>
        </w:tc>
        <w:tc>
          <w:tcPr>
            <w:tcW w:w="40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of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Incorporated by reference to the Current Report on Form 8-K filed by Active Power, Inc. on August 14, 2007.</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Incorporated by reference to the Current Report on Form 8-K filed by Active Power, Inc. on October 10, 2007.</w:t>
      </w:r>
    </w:p>
    <w:p>
      <w:pPr>
        <w:spacing w:after="0" w:line="1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00"/>
          </w:cols>
          <w:pgMar w:left="24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ACTIVE POWER, INC.</w:t>
            </w:r>
          </w:p>
        </w:tc>
      </w:tr>
      <w:tr>
        <w:trPr>
          <w:trHeight w:val="228"/>
        </w:trPr>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1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2007</w:t>
            </w:r>
          </w:p>
        </w:tc>
        <w:tc>
          <w:tcPr>
            <w:tcW w:w="29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Clishem</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James A. Clishem</w:t>
            </w:r>
          </w:p>
        </w:tc>
      </w:tr>
      <w:tr>
        <w:trPr>
          <w:trHeight w:val="216"/>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w:t>
            </w:r>
          </w:p>
        </w:tc>
      </w:tr>
      <w:tr>
        <w:trPr>
          <w:trHeight w:val="216"/>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2007</w:t>
            </w:r>
          </w:p>
        </w:tc>
        <w:tc>
          <w:tcPr>
            <w:tcW w:w="29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K. Penver</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John K. Penver</w:t>
            </w:r>
          </w:p>
        </w:tc>
      </w:tr>
      <w:tr>
        <w:trPr>
          <w:trHeight w:val="216"/>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Chief Financial Officer and Secretary</w:t>
            </w:r>
          </w:p>
        </w:tc>
      </w:tr>
      <w:tr>
        <w:trPr>
          <w:trHeight w:val="228"/>
        </w:trPr>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78"/>
        </w:trPr>
        <w:tc>
          <w:tcPr>
            <w:tcW w:w="3380" w:type="dxa"/>
            <w:vAlign w:val="bottom"/>
          </w:tcPr>
          <w:p>
            <w:pPr>
              <w:spacing w:after="0"/>
              <w:rPr>
                <w:sz w:val="24"/>
                <w:szCs w:val="24"/>
                <w:color w:val="auto"/>
              </w:rPr>
            </w:pPr>
          </w:p>
        </w:tc>
        <w:tc>
          <w:tcPr>
            <w:tcW w:w="29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--24--</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Active Power,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Clishem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Active Power, Inc.;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2007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 Penver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Active Power, Inc. (the “Company”) for the period ending September 30, 2007,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51"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Clishem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2007</w:t>
      </w:r>
    </w:p>
    <w:p>
      <w:pPr>
        <w:sectPr>
          <w:pgSz w:w="11900" w:h="16838" w:orient="portrait"/>
          <w:cols w:equalWidth="0" w:num="1">
            <w:col w:w="11420"/>
          </w:cols>
          <w:pgMar w:left="240" w:top="123"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9"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of Active Power, Inc. (the “Company”) for the period ending September 30, 2007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1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 Penver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2007</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2019-12-14T18:14:26Z</dcterms:created>
  <dcterms:modified xsi:type="dcterms:W3CDTF">2019-12-14T18:14:26Z</dcterms:modified>
</cp:coreProperties>
</file>