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Coussens Amanda 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76,972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76,972</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76,972</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the reporting person was granted a total of 20,000 stock options, which will vest ratably on the second, third, fourth and fifth anniversaries of the grant date, provided that the reporting person remains in continuous service with the Issuer through such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the reporting person was granted a total of 76,972 RSUs, all of which will vest on the first anniversary of the grant date, provided that the reporting person remains in continuous service with the Issuer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&amp; Chief Compliance Officer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Amanda Coussens</w:t>
            </w:r>
          </w:p>
        </w:tc>
        <w:tc>
          <w:tcPr>
            <w:tcW w:w="7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8856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2024-03-06T20:27:42Z</dcterms:created>
  <dcterms:modified xsi:type="dcterms:W3CDTF">2024-03-06T20:27:42Z</dcterms:modified>
</cp:coreProperties>
</file>