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4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2120"/>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ind w:left="3280"/>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P10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Courier New" w:cs="Courier New" w:eastAsia="Courier New" w:hAnsi="Courier New"/>
          <w:sz w:val="18"/>
          <w:szCs w:val="18"/>
          <w:color w:val="auto"/>
        </w:rPr>
        <w:t>Class A Common Stock, par value $0.001 per share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69376K106</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31, 2021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3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9" w:lineRule="exact"/>
        <w:rPr>
          <w:sz w:val="24"/>
          <w:szCs w:val="24"/>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jc w:val="both"/>
        <w:ind w:right="18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9</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tcPr>
          <w:p>
            <w:pPr>
              <w:spacing w:after="0"/>
              <w:rPr>
                <w:sz w:val="17"/>
                <w:szCs w:val="17"/>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69376K106</w:t>
            </w:r>
          </w:p>
        </w:tc>
        <w:tc>
          <w:tcPr>
            <w:tcW w:w="12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2"/>
              </w:rPr>
              <w:t>13G</w:t>
            </w:r>
          </w:p>
        </w:tc>
      </w:tr>
      <w:tr>
        <w:trPr>
          <w:trHeight w:val="203"/>
        </w:trPr>
        <w:tc>
          <w:tcPr>
            <w:tcW w:w="332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w:t>
            </w:r>
          </w:p>
        </w:tc>
        <w:tc>
          <w:tcPr>
            <w:tcW w:w="1220" w:type="dxa"/>
            <w:vAlign w:val="bottom"/>
          </w:tcPr>
          <w:p>
            <w:pPr>
              <w:spacing w:after="0"/>
              <w:rPr>
                <w:sz w:val="17"/>
                <w:szCs w:val="17"/>
                <w:color w:val="auto"/>
              </w:rPr>
            </w:pP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4"/>
          <w:szCs w:val="24"/>
          <w:color w:val="auto"/>
        </w:rPr>
      </w:pPr>
    </w:p>
    <w:p>
      <w:pPr>
        <w:ind w:left="1160"/>
        <w:spacing w:after="0"/>
        <w:tabs>
          <w:tab w:leader="none" w:pos="2100" w:val="left"/>
        </w:tabs>
        <w:rPr>
          <w:sz w:val="20"/>
          <w:szCs w:val="20"/>
          <w:color w:val="auto"/>
        </w:rPr>
      </w:pPr>
      <w:r>
        <w:rPr>
          <w:rFonts w:ascii="Courier New" w:cs="Courier New" w:eastAsia="Courier New" w:hAnsi="Courier New"/>
          <w:sz w:val="18"/>
          <w:szCs w:val="18"/>
          <w:color w:val="auto"/>
        </w:rPr>
        <w:t>Goldman</w:t>
        <w:tab/>
        <w:t>Sachs Asset Management</w:t>
      </w:r>
    </w:p>
    <w:p>
      <w:pPr>
        <w:spacing w:after="0" w:line="4" w:lineRule="exact"/>
        <w:rPr>
          <w:sz w:val="24"/>
          <w:szCs w:val="24"/>
          <w:color w:val="auto"/>
        </w:rPr>
      </w:pPr>
    </w:p>
    <w:p>
      <w:pPr>
        <w:ind w:left="1160" w:right="2559"/>
        <w:spacing w:after="0" w:line="268" w:lineRule="auto"/>
        <w:rPr>
          <w:sz w:val="20"/>
          <w:szCs w:val="20"/>
          <w:color w:val="auto"/>
        </w:rPr>
      </w:pPr>
      <w:r>
        <w:rPr>
          <w:rFonts w:ascii="Courier New" w:cs="Courier New" w:eastAsia="Courier New" w:hAnsi="Courier New"/>
          <w:sz w:val="16"/>
          <w:szCs w:val="16"/>
          <w:color w:val="auto"/>
        </w:rPr>
        <w:t>(Goldman Sachs Asset Management, L.P., together with GS Investment Strategies, LLC, "Goldman Sachs Asset Management")</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ind w:left="6740"/>
        <w:spacing w:after="0" w:line="238" w:lineRule="auto"/>
        <w:rPr>
          <w:sz w:val="20"/>
          <w:szCs w:val="20"/>
          <w:color w:val="auto"/>
        </w:rPr>
      </w:pPr>
      <w:r>
        <w:rPr>
          <w:rFonts w:ascii="Courier New" w:cs="Courier New" w:eastAsia="Courier New" w:hAnsi="Courier New"/>
          <w:sz w:val="18"/>
          <w:szCs w:val="18"/>
          <w:color w:val="auto"/>
        </w:rPr>
        <w:t>(b) [_]</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527"/>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139"/>
          </w:cols>
          <w:pgMar w:left="320" w:top="244" w:right="1440" w:bottom="0" w:gutter="0" w:footer="0" w:header="0"/>
        </w:sectPr>
      </w:pPr>
    </w:p>
    <w:bookmarkStart w:id="1" w:name="page2"/>
    <w:bookmarkEnd w:id="1"/>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8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1,246,369</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1,313,903</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hanging="1047"/>
        <w:spacing w:after="0" w:line="708" w:lineRule="auto"/>
        <w:tabs>
          <w:tab w:leader="none" w:pos="63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1,313,903</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160" w:right="2659" w:hanging="7152"/>
        <w:spacing w:after="0" w:line="399" w:lineRule="auto"/>
        <w:tabs>
          <w:tab w:leader="none" w:pos="63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4339" w:hanging="1152"/>
        <w:spacing w:after="0" w:line="708" w:lineRule="auto"/>
        <w:tabs>
          <w:tab w:leader="none" w:pos="63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5.7 %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9</w:t>
      </w:r>
    </w:p>
    <w:p>
      <w:pPr>
        <w:sectPr>
          <w:pgSz w:w="11900" w:h="16838" w:orient="portrait"/>
          <w:cols w:equalWidth="0" w:num="1">
            <w:col w:w="10139"/>
          </w:cols>
          <w:pgMar w:left="320" w:top="33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Name of Issuer:</w:t>
            </w:r>
          </w:p>
        </w:tc>
      </w:tr>
      <w:tr>
        <w:trPr>
          <w:trHeight w:val="203"/>
        </w:trPr>
        <w:tc>
          <w:tcPr>
            <w:tcW w:w="1900" w:type="dxa"/>
            <w:vAlign w:val="bottom"/>
          </w:tcPr>
          <w:p>
            <w:pPr>
              <w:spacing w:after="0"/>
              <w:rPr>
                <w:sz w:val="17"/>
                <w:szCs w:val="17"/>
                <w:color w:val="auto"/>
              </w:rPr>
            </w:pP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P10 INC</w:t>
            </w:r>
          </w:p>
        </w:tc>
        <w:tc>
          <w:tcPr>
            <w:tcW w:w="5040" w:type="dxa"/>
            <w:vAlign w:val="bottom"/>
          </w:tcPr>
          <w:p>
            <w:pPr>
              <w:spacing w:after="0"/>
              <w:rPr>
                <w:sz w:val="17"/>
                <w:szCs w:val="17"/>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4514 COLE AVENUE</w:t>
            </w:r>
          </w:p>
        </w:tc>
      </w:tr>
      <w:tr>
        <w:trPr>
          <w:trHeight w:val="203"/>
        </w:trPr>
        <w:tc>
          <w:tcPr>
            <w:tcW w:w="1900" w:type="dxa"/>
            <w:vAlign w:val="bottom"/>
          </w:tcPr>
          <w:p>
            <w:pPr>
              <w:spacing w:after="0"/>
              <w:rPr>
                <w:sz w:val="17"/>
                <w:szCs w:val="17"/>
                <w:color w:val="auto"/>
              </w:rPr>
            </w:pP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Suite 1600</w:t>
            </w:r>
          </w:p>
        </w:tc>
        <w:tc>
          <w:tcPr>
            <w:tcW w:w="50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DALLAS, TX</w:t>
            </w:r>
          </w:p>
        </w:tc>
        <w:tc>
          <w:tcPr>
            <w:tcW w:w="5040" w:type="dxa"/>
            <w:vAlign w:val="bottom"/>
          </w:tcPr>
          <w:p>
            <w:pPr>
              <w:jc w:val="right"/>
              <w:ind w:right="4432"/>
              <w:spacing w:after="0" w:line="203" w:lineRule="exact"/>
              <w:rPr>
                <w:sz w:val="20"/>
                <w:szCs w:val="20"/>
                <w:color w:val="auto"/>
              </w:rPr>
            </w:pPr>
            <w:r>
              <w:rPr>
                <w:rFonts w:ascii="Courier New" w:cs="Courier New" w:eastAsia="Courier New" w:hAnsi="Courier New"/>
                <w:sz w:val="18"/>
                <w:szCs w:val="18"/>
                <w:color w:val="auto"/>
                <w:w w:val="92"/>
              </w:rPr>
              <w:t>75205</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Name of Persons Filing:</w:t>
            </w:r>
          </w:p>
        </w:tc>
      </w:tr>
      <w:tr>
        <w:trPr>
          <w:trHeight w:val="405"/>
        </w:trPr>
        <w:tc>
          <w:tcPr>
            <w:tcW w:w="1900" w:type="dxa"/>
            <w:vAlign w:val="bottom"/>
          </w:tcPr>
          <w:p>
            <w:pPr>
              <w:spacing w:after="0"/>
              <w:rPr>
                <w:sz w:val="24"/>
                <w:szCs w:val="24"/>
                <w:color w:val="auto"/>
              </w:rPr>
            </w:pP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GOLDMAN SACHS ASSET MANAGEMENT</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405"/>
        </w:trPr>
        <w:tc>
          <w:tcPr>
            <w:tcW w:w="1900" w:type="dxa"/>
            <w:vAlign w:val="bottom"/>
          </w:tcPr>
          <w:p>
            <w:pPr>
              <w:spacing w:after="0"/>
              <w:rPr>
                <w:sz w:val="24"/>
                <w:szCs w:val="24"/>
                <w:color w:val="auto"/>
              </w:rPr>
            </w:pP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Goldman Sachs Asset Management</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200 West Street</w:t>
            </w:r>
          </w:p>
        </w:tc>
      </w:tr>
      <w:tr>
        <w:trPr>
          <w:trHeight w:val="203"/>
        </w:trPr>
        <w:tc>
          <w:tcPr>
            <w:tcW w:w="1900" w:type="dxa"/>
            <w:vAlign w:val="bottom"/>
          </w:tcPr>
          <w:p>
            <w:pPr>
              <w:spacing w:after="0"/>
              <w:rPr>
                <w:sz w:val="17"/>
                <w:szCs w:val="17"/>
                <w:color w:val="auto"/>
              </w:rPr>
            </w:pP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New York, NY</w:t>
            </w:r>
          </w:p>
        </w:tc>
        <w:tc>
          <w:tcPr>
            <w:tcW w:w="504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10282</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1380" w:type="dxa"/>
            <w:vAlign w:val="bottom"/>
          </w:tcPr>
          <w:p>
            <w:pPr>
              <w:ind w:left="100"/>
              <w:spacing w:after="0"/>
              <w:rPr>
                <w:sz w:val="20"/>
                <w:szCs w:val="20"/>
                <w:color w:val="auto"/>
              </w:rPr>
            </w:pPr>
            <w:r>
              <w:rPr>
                <w:rFonts w:ascii="Courier New" w:cs="Courier New" w:eastAsia="Courier New" w:hAnsi="Courier New"/>
                <w:sz w:val="18"/>
                <w:szCs w:val="18"/>
                <w:color w:val="auto"/>
                <w:w w:val="97"/>
              </w:rPr>
              <w:t>Citizenship:</w:t>
            </w:r>
          </w:p>
        </w:tc>
        <w:tc>
          <w:tcPr>
            <w:tcW w:w="5040" w:type="dxa"/>
            <w:vAlign w:val="bottom"/>
          </w:tcPr>
          <w:p>
            <w:pPr>
              <w:spacing w:after="0"/>
              <w:rPr>
                <w:sz w:val="24"/>
                <w:szCs w:val="24"/>
                <w:color w:val="auto"/>
              </w:rPr>
            </w:pP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GOLDMAN SACHS ASSET MANAGEMENT, L.P. - Delaware</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GS INVESTMENT STRATEGIES, LLC - Delaware</w:t>
            </w:r>
          </w:p>
        </w:tc>
      </w:tr>
      <w:tr>
        <w:trPr>
          <w:trHeight w:val="608"/>
        </w:trPr>
        <w:tc>
          <w:tcPr>
            <w:tcW w:w="190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Class A Common Stock, par value $0.001 per share</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CUSIP Number:</w:t>
            </w:r>
          </w:p>
        </w:tc>
      </w:tr>
      <w:tr>
        <w:trPr>
          <w:trHeight w:val="203"/>
        </w:trPr>
        <w:tc>
          <w:tcPr>
            <w:tcW w:w="1900" w:type="dxa"/>
            <w:vAlign w:val="bottom"/>
          </w:tcPr>
          <w:p>
            <w:pPr>
              <w:spacing w:after="0"/>
              <w:rPr>
                <w:sz w:val="17"/>
                <w:szCs w:val="17"/>
                <w:color w:val="auto"/>
              </w:rPr>
            </w:pP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69376K106</w:t>
            </w:r>
          </w:p>
        </w:tc>
        <w:tc>
          <w:tcPr>
            <w:tcW w:w="5040" w:type="dxa"/>
            <w:vAlign w:val="bottom"/>
          </w:tcPr>
          <w:p>
            <w:pPr>
              <w:spacing w:after="0"/>
              <w:rPr>
                <w:sz w:val="17"/>
                <w:szCs w:val="17"/>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If this statement is filed pursuant to Rules 13d-1(b) or</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13d-2(b) or (c), check whether the person filing is a:</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(a).[_]</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Broker or dealer registered under Section 15 of the Act</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 U.S.C. 78o).</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(b).[_]</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Bank as defined in Section 3(a)(6) of the Act</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 U.S.C. 78c).</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(c).[_]</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Insurance company as defined in Section 3(a)(19) of the Act</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 U.S.C. 78c).</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(d).[_]</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Investment company registered under Section 8 of the</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Investment Company Act of 1940 (15 U.S.C. 80a-8).</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(e).[X]</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An investment adviser in accordance with</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Rule 13d-1(b)(1)(ii)(E);</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Goldman Sachs Asset Management, L.P.</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GS Investment Strategies, LLC</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(f).[_]</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An employee benefit plan or endowment fund in accordance</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with Rule 13d-1(b)(1)(ii)(F);</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(g).[_]</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 parent holding company or control person in accordance</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with Rule 13d-1(b)(1)(ii)(G);</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(h).[_]</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 savings association as defined in Section 3(b) of the</w:t>
            </w:r>
          </w:p>
        </w:tc>
      </w:tr>
      <w:tr>
        <w:trPr>
          <w:trHeight w:val="202"/>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Federal Deposit Insurance Act (12 U.S.C. 1813);</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(i).[_]</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 church plan that is excluded from the definition of an</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Investment Company Act of 1940 (15 U.S.C. 80a-3);</w:t>
            </w:r>
          </w:p>
        </w:tc>
      </w:tr>
      <w:tr>
        <w:trPr>
          <w:trHeight w:val="608"/>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(j).[_]</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 non-U.S. institution in accordance with</w:t>
            </w:r>
          </w:p>
        </w:tc>
      </w:tr>
      <w:tr>
        <w:trPr>
          <w:trHeight w:val="203"/>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Rule 13d-1(b)(1)(ii)(J);</w:t>
            </w:r>
          </w:p>
        </w:tc>
      </w:tr>
      <w:tr>
        <w:trPr>
          <w:trHeight w:val="405"/>
        </w:trPr>
        <w:tc>
          <w:tcPr>
            <w:tcW w:w="1900" w:type="dxa"/>
            <w:vAlign w:val="bottom"/>
          </w:tcPr>
          <w:p>
            <w:pPr>
              <w:ind w:left="1060"/>
              <w:spacing w:after="0"/>
              <w:rPr>
                <w:sz w:val="20"/>
                <w:szCs w:val="20"/>
                <w:color w:val="auto"/>
              </w:rPr>
            </w:pPr>
            <w:r>
              <w:rPr>
                <w:rFonts w:ascii="Courier New" w:cs="Courier New" w:eastAsia="Courier New" w:hAnsi="Courier New"/>
                <w:sz w:val="18"/>
                <w:szCs w:val="18"/>
                <w:color w:val="auto"/>
              </w:rPr>
              <w:t>(k).[_]</w:t>
            </w:r>
          </w:p>
        </w:tc>
        <w:tc>
          <w:tcPr>
            <w:tcW w:w="6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 group, in accordance with Rule 13d-1(b)(1)(ii)</w:t>
            </w:r>
          </w:p>
        </w:tc>
      </w:tr>
      <w:tr>
        <w:trPr>
          <w:trHeight w:val="202"/>
        </w:trPr>
        <w:tc>
          <w:tcPr>
            <w:tcW w:w="1900" w:type="dxa"/>
            <w:vAlign w:val="bottom"/>
          </w:tcPr>
          <w:p>
            <w:pPr>
              <w:spacing w:after="0"/>
              <w:rPr>
                <w:sz w:val="17"/>
                <w:szCs w:val="17"/>
                <w:color w:val="auto"/>
              </w:rPr>
            </w:pPr>
          </w:p>
        </w:tc>
        <w:tc>
          <w:tcPr>
            <w:tcW w:w="6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 through (K).</w:t>
            </w:r>
          </w:p>
        </w:tc>
      </w:tr>
    </w:tbl>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If filing as a non-U.S. institution in accordance with Rule</w:t>
      </w:r>
    </w:p>
    <w:p>
      <w:pPr>
        <w:ind w:left="1160"/>
        <w:spacing w:after="0" w:line="238" w:lineRule="auto"/>
        <w:rPr>
          <w:sz w:val="20"/>
          <w:szCs w:val="20"/>
          <w:color w:val="auto"/>
        </w:rPr>
      </w:pPr>
      <w:r>
        <w:rPr>
          <w:rFonts w:ascii="Courier New" w:cs="Courier New" w:eastAsia="Courier New" w:hAnsi="Courier New"/>
          <w:sz w:val="18"/>
          <w:szCs w:val="18"/>
          <w:color w:val="auto"/>
        </w:rPr>
        <w:t>13d-1(b)(1)(ii)(J), please specify the type of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9</w:t>
      </w:r>
    </w:p>
    <w:p>
      <w:pPr>
        <w:sectPr>
          <w:pgSz w:w="11900" w:h="16838" w:orient="portrait"/>
          <w:cols w:equalWidth="0" w:num="1">
            <w:col w:w="10139"/>
          </w:cols>
          <w:pgMar w:left="320" w:top="717" w:right="1440" w:bottom="165" w:gutter="0" w:footer="0" w:header="0"/>
        </w:sectPr>
      </w:pPr>
    </w:p>
    <w:bookmarkStart w:id="3" w:name="page4"/>
    <w:bookmarkEnd w:id="3"/>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Ownership.*</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(a).</w:t>
            </w:r>
          </w:p>
        </w:tc>
        <w:tc>
          <w:tcPr>
            <w:tcW w:w="37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2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See the response(s) to</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 9 on</w:t>
            </w:r>
          </w:p>
        </w:tc>
        <w:tc>
          <w:tcPr>
            <w:tcW w:w="2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the attached cover page(s).</w:t>
            </w: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(b).</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37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8"/>
              </w:rPr>
              <w:t>See the response(s)to Item 11 on</w:t>
            </w:r>
          </w:p>
        </w:tc>
        <w:tc>
          <w:tcPr>
            <w:tcW w:w="2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the attached cover page(s).</w:t>
            </w: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(c).</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Number of shares as to</w:t>
            </w:r>
          </w:p>
        </w:tc>
        <w:tc>
          <w:tcPr>
            <w:tcW w:w="1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which such person</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has:</w:t>
            </w:r>
          </w:p>
        </w:tc>
      </w:tr>
      <w:tr>
        <w:trPr>
          <w:trHeight w:val="405"/>
        </w:trPr>
        <w:tc>
          <w:tcPr>
            <w:tcW w:w="174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2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Sole power to vote or to</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direct</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the vote:  See the</w:t>
            </w:r>
          </w:p>
        </w:tc>
      </w:tr>
      <w:tr>
        <w:trPr>
          <w:trHeight w:val="203"/>
        </w:trPr>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response(s) to</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 5 on</w:t>
            </w:r>
          </w:p>
        </w:tc>
        <w:tc>
          <w:tcPr>
            <w:tcW w:w="2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the attached cover page(s).</w:t>
            </w:r>
          </w:p>
        </w:tc>
      </w:tr>
    </w:tbl>
    <w:p>
      <w:pPr>
        <w:spacing w:after="0" w:line="207" w:lineRule="exact"/>
        <w:rPr>
          <w:sz w:val="20"/>
          <w:szCs w:val="20"/>
          <w:color w:val="auto"/>
        </w:rPr>
      </w:pPr>
    </w:p>
    <w:p>
      <w:pPr>
        <w:jc w:val="both"/>
        <w:ind w:left="2860" w:right="1819" w:hanging="841"/>
        <w:spacing w:after="0" w:line="290" w:lineRule="auto"/>
        <w:tabs>
          <w:tab w:leader="none" w:pos="28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See the response(s) to Item 6 on the attached cover page(s).</w:t>
      </w:r>
    </w:p>
    <w:p>
      <w:pPr>
        <w:spacing w:after="0" w:line="169" w:lineRule="exact"/>
        <w:rPr>
          <w:sz w:val="20"/>
          <w:szCs w:val="20"/>
          <w:color w:val="auto"/>
        </w:rPr>
      </w:pPr>
    </w:p>
    <w:p>
      <w:pPr>
        <w:jc w:val="both"/>
        <w:ind w:left="2860" w:right="1819" w:hanging="841"/>
        <w:spacing w:after="0" w:line="236" w:lineRule="auto"/>
        <w:tabs>
          <w:tab w:leader="none" w:pos="2840" w:val="left"/>
        </w:tabs>
        <w:rPr>
          <w:sz w:val="20"/>
          <w:szCs w:val="20"/>
          <w:color w:val="auto"/>
        </w:rPr>
      </w:pPr>
      <w:r>
        <w:rPr>
          <w:rFonts w:ascii="Courier New" w:cs="Courier New" w:eastAsia="Courier New" w:hAnsi="Courier New"/>
          <w:sz w:val="18"/>
          <w:szCs w:val="18"/>
          <w:color w:val="auto"/>
        </w:rPr>
        <w:t>(iii).</w:t>
        <w:tab/>
        <w:t>Sole power to dispose or to direct the disposition of: See the response(s) to Item 7 on the attached cover page(s).</w:t>
      </w:r>
    </w:p>
    <w:p>
      <w:pPr>
        <w:spacing w:after="0" w:line="208" w:lineRule="exact"/>
        <w:rPr>
          <w:sz w:val="20"/>
          <w:szCs w:val="20"/>
          <w:color w:val="auto"/>
        </w:rPr>
      </w:pPr>
    </w:p>
    <w:p>
      <w:pPr>
        <w:jc w:val="both"/>
        <w:ind w:left="2860" w:right="1819" w:hanging="841"/>
        <w:spacing w:after="0" w:line="236" w:lineRule="auto"/>
        <w:tabs>
          <w:tab w:leader="none" w:pos="28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See the response(s) to Item 8 on the attached cover page(s).</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3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000" w:right="2239" w:hanging="2000"/>
        <w:spacing w:after="0" w:line="235" w:lineRule="auto"/>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154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Clients</w:t>
            </w:r>
          </w:p>
        </w:tc>
        <w:tc>
          <w:tcPr>
            <w:tcW w:w="1900" w:type="dxa"/>
            <w:vAlign w:val="bottom"/>
            <w:gridSpan w:val="3"/>
          </w:tcPr>
          <w:p>
            <w:pPr>
              <w:spacing w:after="0"/>
              <w:rPr>
                <w:sz w:val="20"/>
                <w:szCs w:val="20"/>
                <w:color w:val="auto"/>
              </w:rPr>
            </w:pPr>
            <w:r>
              <w:rPr>
                <w:rFonts w:ascii="Courier New" w:cs="Courier New" w:eastAsia="Courier New" w:hAnsi="Courier New"/>
                <w:sz w:val="18"/>
                <w:szCs w:val="18"/>
                <w:color w:val="auto"/>
                <w:w w:val="96"/>
              </w:rPr>
              <w:t>of  the  Reporting</w:t>
            </w:r>
          </w:p>
        </w:tc>
        <w:tc>
          <w:tcPr>
            <w:tcW w:w="2000" w:type="dxa"/>
            <w:vAlign w:val="bottom"/>
            <w:gridSpan w:val="3"/>
          </w:tcPr>
          <w:p>
            <w:pPr>
              <w:ind w:left="200"/>
              <w:spacing w:after="0"/>
              <w:rPr>
                <w:sz w:val="20"/>
                <w:szCs w:val="20"/>
                <w:color w:val="auto"/>
              </w:rPr>
            </w:pPr>
            <w:r>
              <w:rPr>
                <w:rFonts w:ascii="Courier New" w:cs="Courier New" w:eastAsia="Courier New" w:hAnsi="Courier New"/>
                <w:sz w:val="18"/>
                <w:szCs w:val="18"/>
                <w:color w:val="auto"/>
                <w:w w:val="96"/>
              </w:rPr>
              <w:t>Person(s) have or</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may have the</w:t>
            </w:r>
          </w:p>
        </w:tc>
      </w:tr>
      <w:tr>
        <w:trPr>
          <w:trHeight w:val="203"/>
        </w:trPr>
        <w:tc>
          <w:tcPr>
            <w:tcW w:w="142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right</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to</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receive or</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power</w:t>
            </w:r>
          </w:p>
        </w:tc>
        <w:tc>
          <w:tcPr>
            <w:tcW w:w="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w:t>
            </w: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direct the  receipt of</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7"/>
              </w:rPr>
              <w:t>dividends from, or the proceeds from the sale of, securities</w:t>
            </w:r>
          </w:p>
        </w:tc>
      </w:tr>
      <w:tr>
        <w:trPr>
          <w:trHeight w:val="203"/>
        </w:trPr>
        <w:tc>
          <w:tcPr>
            <w:tcW w:w="142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held</w:t>
            </w:r>
          </w:p>
        </w:tc>
        <w:tc>
          <w:tcPr>
            <w:tcW w:w="28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in their accounts. Clients</w:t>
            </w:r>
          </w:p>
        </w:tc>
        <w:tc>
          <w:tcPr>
            <w:tcW w:w="2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known to have such right or</w:t>
            </w:r>
          </w:p>
        </w:tc>
      </w:tr>
      <w:tr>
        <w:trPr>
          <w:trHeight w:val="203"/>
        </w:trPr>
        <w:tc>
          <w:tcPr>
            <w:tcW w:w="142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power</w:t>
            </w: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respect</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more</w:t>
            </w:r>
          </w:p>
        </w:tc>
        <w:tc>
          <w:tcPr>
            <w:tcW w:w="2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than 5%  of  the  class  of</w:t>
            </w:r>
          </w:p>
        </w:tc>
      </w:tr>
      <w:tr>
        <w:trPr>
          <w:trHeight w:val="203"/>
        </w:trPr>
        <w:tc>
          <w:tcPr>
            <w:tcW w:w="1420" w:type="dxa"/>
            <w:vAlign w:val="bottom"/>
          </w:tcPr>
          <w:p>
            <w:pPr>
              <w:spacing w:after="0"/>
              <w:rPr>
                <w:sz w:val="17"/>
                <w:szCs w:val="17"/>
                <w:color w:val="auto"/>
              </w:rPr>
            </w:pPr>
          </w:p>
        </w:tc>
        <w:tc>
          <w:tcPr>
            <w:tcW w:w="544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rPr>
              <w:t>securities to which this report relates are:</w:t>
            </w:r>
          </w:p>
        </w:tc>
        <w:tc>
          <w:tcPr>
            <w:tcW w:w="14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NONE</w:t>
            </w: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06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6"/>
              </w:rPr>
              <w:t>Identification</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and</w:t>
            </w:r>
          </w:p>
        </w:tc>
        <w:tc>
          <w:tcPr>
            <w:tcW w:w="1640" w:type="dxa"/>
            <w:vAlign w:val="bottom"/>
            <w:gridSpan w:val="3"/>
          </w:tcPr>
          <w:p>
            <w:pPr>
              <w:spacing w:after="0"/>
              <w:rPr>
                <w:sz w:val="20"/>
                <w:szCs w:val="20"/>
                <w:color w:val="auto"/>
              </w:rPr>
            </w:pPr>
            <w:r>
              <w:rPr>
                <w:rFonts w:ascii="Courier New" w:cs="Courier New" w:eastAsia="Courier New" w:hAnsi="Courier New"/>
                <w:sz w:val="18"/>
                <w:szCs w:val="18"/>
                <w:color w:val="auto"/>
              </w:rPr>
              <w:t>Classification</w:t>
            </w:r>
          </w:p>
        </w:tc>
        <w:tc>
          <w:tcPr>
            <w:tcW w:w="24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of the Subsidiary Which</w:t>
            </w:r>
          </w:p>
        </w:tc>
      </w:tr>
      <w:tr>
        <w:trPr>
          <w:trHeight w:val="203"/>
        </w:trPr>
        <w:tc>
          <w:tcPr>
            <w:tcW w:w="1420" w:type="dxa"/>
            <w:vAlign w:val="bottom"/>
          </w:tcPr>
          <w:p>
            <w:pPr>
              <w:spacing w:after="0"/>
              <w:rPr>
                <w:sz w:val="17"/>
                <w:szCs w:val="17"/>
                <w:color w:val="auto"/>
              </w:rPr>
            </w:pPr>
          </w:p>
        </w:tc>
        <w:tc>
          <w:tcPr>
            <w:tcW w:w="15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Acquired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1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Security  Being</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Reported  on</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by the  Parent</w:t>
            </w:r>
          </w:p>
        </w:tc>
      </w:tr>
      <w:tr>
        <w:trPr>
          <w:trHeight w:val="203"/>
        </w:trPr>
        <w:tc>
          <w:tcPr>
            <w:tcW w:w="1420" w:type="dxa"/>
            <w:vAlign w:val="bottom"/>
          </w:tcPr>
          <w:p>
            <w:pPr>
              <w:spacing w:after="0"/>
              <w:rPr>
                <w:sz w:val="17"/>
                <w:szCs w:val="17"/>
                <w:color w:val="auto"/>
              </w:rPr>
            </w:pPr>
          </w:p>
        </w:tc>
        <w:tc>
          <w:tcPr>
            <w:tcW w:w="280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rPr>
              <w:t>Holding Company.</w:t>
            </w: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900" w:type="dxa"/>
            <w:vAlign w:val="bottom"/>
            <w:gridSpan w:val="9"/>
          </w:tcPr>
          <w:p>
            <w:pPr>
              <w:ind w:left="58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03"/>
        </w:trPr>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3960" w:type="dxa"/>
            <w:vAlign w:val="bottom"/>
            <w:gridSpan w:val="6"/>
          </w:tcPr>
          <w:p>
            <w:pPr>
              <w:ind w:left="580"/>
              <w:spacing w:after="0"/>
              <w:rPr>
                <w:sz w:val="20"/>
                <w:szCs w:val="20"/>
                <w:color w:val="auto"/>
              </w:rPr>
            </w:pPr>
            <w:r>
              <w:rPr>
                <w:rFonts w:ascii="Courier New" w:cs="Courier New" w:eastAsia="Courier New" w:hAnsi="Courier New"/>
                <w:sz w:val="18"/>
                <w:szCs w:val="18"/>
                <w:color w:val="auto"/>
              </w:rPr>
              <w:t>Notice of Dissolution of Group.</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06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6"/>
              </w:rPr>
              <w:t>Certification.</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7"/>
              </w:rPr>
              <w:t>By signing below I certify that, to the best of my knowledge</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rPr>
              <w:t>and belief, the securities referred to above were acquired</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7"/>
              </w:rPr>
              <w:t>and are held in the ordinary course of business and were not</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rPr>
              <w:t>acquired and are not held for the purpose of or with the</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8"/>
              </w:rPr>
              <w:t>effect of changing or influencing the control of the issuer</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8"/>
              </w:rPr>
              <w:t>of the securities and were not acquired and are not held in</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rPr>
              <w:t>connection with or as a participant in any transaction</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8"/>
              </w:rPr>
              <w:t>having that purpose or effect, other than activities solely</w:t>
            </w:r>
          </w:p>
        </w:tc>
      </w:tr>
      <w:tr>
        <w:trPr>
          <w:trHeight w:val="203"/>
        </w:trPr>
        <w:tc>
          <w:tcPr>
            <w:tcW w:w="1420" w:type="dxa"/>
            <w:vAlign w:val="bottom"/>
          </w:tcPr>
          <w:p>
            <w:pPr>
              <w:spacing w:after="0"/>
              <w:rPr>
                <w:sz w:val="17"/>
                <w:szCs w:val="17"/>
                <w:color w:val="auto"/>
              </w:rPr>
            </w:pPr>
          </w:p>
        </w:tc>
        <w:tc>
          <w:tcPr>
            <w:tcW w:w="3960" w:type="dxa"/>
            <w:vAlign w:val="bottom"/>
            <w:gridSpan w:val="6"/>
          </w:tcPr>
          <w:p>
            <w:pPr>
              <w:ind w:left="580"/>
              <w:spacing w:after="0" w:line="203" w:lineRule="exact"/>
              <w:rPr>
                <w:sz w:val="20"/>
                <w:szCs w:val="20"/>
                <w:color w:val="auto"/>
              </w:rPr>
            </w:pPr>
            <w:r>
              <w:rPr>
                <w:rFonts w:ascii="Courier New" w:cs="Courier New" w:eastAsia="Courier New" w:hAnsi="Courier New"/>
                <w:sz w:val="18"/>
                <w:szCs w:val="18"/>
                <w:color w:val="auto"/>
              </w:rPr>
              <w:t>in connection with a nomination</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440" w:type="dxa"/>
            <w:vAlign w:val="bottom"/>
            <w:gridSpan w:val="5"/>
          </w:tcPr>
          <w:p>
            <w:pPr>
              <w:ind w:left="700"/>
              <w:spacing w:after="0" w:line="203" w:lineRule="exact"/>
              <w:rPr>
                <w:sz w:val="20"/>
                <w:szCs w:val="20"/>
                <w:color w:val="auto"/>
              </w:rPr>
            </w:pPr>
            <w:r>
              <w:rPr>
                <w:rFonts w:ascii="Courier New" w:cs="Courier New" w:eastAsia="Courier New" w:hAnsi="Courier New"/>
                <w:sz w:val="18"/>
                <w:szCs w:val="18"/>
                <w:color w:val="auto"/>
              </w:rPr>
              <w:t>under Section 240.14a-11.</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699" w:firstLine="211"/>
        <w:spacing w:after="0" w:line="237" w:lineRule="auto"/>
        <w:rPr>
          <w:sz w:val="20"/>
          <w:szCs w:val="20"/>
          <w:color w:val="auto"/>
        </w:rPr>
      </w:pPr>
      <w:r>
        <w:rPr>
          <w:rFonts w:ascii="Courier New" w:cs="Courier New" w:eastAsia="Courier New" w:hAnsi="Courier New"/>
          <w:sz w:val="18"/>
          <w:szCs w:val="18"/>
          <w:color w:val="auto"/>
        </w:rPr>
        <w:t>*In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w:t>
      </w:r>
    </w:p>
    <w:p>
      <w:pPr>
        <w:sectPr>
          <w:pgSz w:w="11900" w:h="16905" w:orient="portrait"/>
          <w:cols w:equalWidth="0" w:num="1">
            <w:col w:w="10139"/>
          </w:cols>
          <w:pgMar w:left="320" w:top="514" w:right="1440" w:bottom="0" w:gutter="0" w:footer="0" w:header="0"/>
        </w:sectPr>
      </w:pPr>
    </w:p>
    <w:bookmarkStart w:id="4" w:name="page5"/>
    <w:bookmarkEnd w:id="4"/>
    <w:p>
      <w:pPr>
        <w:jc w:val="both"/>
        <w:ind w:right="2019"/>
        <w:spacing w:after="0" w:line="236" w:lineRule="auto"/>
        <w:rPr>
          <w:sz w:val="20"/>
          <w:szCs w:val="20"/>
          <w:color w:val="auto"/>
        </w:rPr>
      </w:pPr>
      <w:r>
        <w:rPr>
          <w:rFonts w:ascii="Courier New" w:cs="Courier New" w:eastAsia="Courier New" w:hAnsi="Courier New"/>
          <w:sz w:val="18"/>
          <w:szCs w:val="18"/>
          <w:color w:val="auto"/>
        </w:rPr>
        <w:t>act as the general partner, managing general partner or other manager, to the extent interests in such entities are held by persons other than the Goldman Sachs Reporting Units.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9</w:t>
      </w:r>
    </w:p>
    <w:p>
      <w:pPr>
        <w:sectPr>
          <w:pgSz w:w="11900" w:h="16838" w:orient="portrait"/>
          <w:cols w:equalWidth="0" w:num="1">
            <w:col w:w="10139"/>
          </w:cols>
          <w:pgMar w:left="320" w:top="142"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left="1280" w:right="297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01, 2022,</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Terry Mosher</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Terry Mosher</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GS INVESTMENT STRATEGIES, LLC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Terry Mosher</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Terry Mosher</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9</w:t>
      </w:r>
    </w:p>
    <w:p>
      <w:pPr>
        <w:sectPr>
          <w:pgSz w:w="11900" w:h="16838" w:orient="portrait"/>
          <w:cols w:equalWidth="0" w:num="1">
            <w:col w:w="10139"/>
          </w:cols>
          <w:pgMar w:left="320" w:top="7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4060" w:type="dxa"/>
            <w:vAlign w:val="bottom"/>
          </w:tcPr>
          <w:p>
            <w:pPr>
              <w:ind w:left="1960"/>
              <w:spacing w:after="0"/>
              <w:rPr>
                <w:sz w:val="20"/>
                <w:szCs w:val="20"/>
                <w:color w:val="auto"/>
              </w:rPr>
            </w:pPr>
            <w:r>
              <w:rPr>
                <w:rFonts w:ascii="Courier New" w:cs="Courier New" w:eastAsia="Courier New" w:hAnsi="Courier New"/>
                <w:sz w:val="18"/>
                <w:szCs w:val="18"/>
                <w:color w:val="auto"/>
              </w:rPr>
              <w:t>INDEX TO EXHIBITS</w:t>
            </w:r>
          </w:p>
        </w:tc>
      </w:tr>
      <w:tr>
        <w:trPr>
          <w:trHeight w:val="810"/>
        </w:trPr>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Exhibit No.</w:t>
            </w:r>
          </w:p>
        </w:tc>
        <w:tc>
          <w:tcPr>
            <w:tcW w:w="4060" w:type="dxa"/>
            <w:vAlign w:val="bottom"/>
          </w:tcPr>
          <w:p>
            <w:pPr>
              <w:ind w:left="1120"/>
              <w:spacing w:after="0"/>
              <w:rPr>
                <w:sz w:val="20"/>
                <w:szCs w:val="20"/>
                <w:color w:val="auto"/>
              </w:rPr>
            </w:pPr>
            <w:r>
              <w:rPr>
                <w:rFonts w:ascii="Courier New" w:cs="Courier New" w:eastAsia="Courier New" w:hAnsi="Courier New"/>
                <w:sz w:val="18"/>
                <w:szCs w:val="18"/>
                <w:color w:val="auto"/>
              </w:rPr>
              <w:t>Exhibit</w:t>
            </w: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406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99.1</w:t>
            </w:r>
          </w:p>
        </w:tc>
        <w:tc>
          <w:tcPr>
            <w:tcW w:w="4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Joint Filing Agreement</w:t>
            </w: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99.2</w:t>
            </w:r>
          </w:p>
        </w:tc>
        <w:tc>
          <w:tcPr>
            <w:tcW w:w="4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Power of Attorney, relating to</w:t>
            </w:r>
          </w:p>
        </w:tc>
      </w:tr>
      <w:tr>
        <w:trPr>
          <w:trHeight w:val="203"/>
        </w:trPr>
        <w:tc>
          <w:tcPr>
            <w:tcW w:w="1420" w:type="dxa"/>
            <w:vAlign w:val="bottom"/>
          </w:tcPr>
          <w:p>
            <w:pPr>
              <w:spacing w:after="0"/>
              <w:rPr>
                <w:sz w:val="17"/>
                <w:szCs w:val="17"/>
                <w:color w:val="auto"/>
              </w:rPr>
            </w:pPr>
          </w:p>
        </w:tc>
        <w:tc>
          <w:tcPr>
            <w:tcW w:w="4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6"/>
              </w:rPr>
              <w:t>GOLDMAN SACHS ASSET MANAGEMENT, L.P.</w:t>
            </w: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99.3</w:t>
            </w:r>
          </w:p>
        </w:tc>
        <w:tc>
          <w:tcPr>
            <w:tcW w:w="4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Power of Attorney, relating to</w:t>
            </w:r>
          </w:p>
        </w:tc>
      </w:tr>
      <w:tr>
        <w:trPr>
          <w:trHeight w:val="203"/>
        </w:trPr>
        <w:tc>
          <w:tcPr>
            <w:tcW w:w="1420" w:type="dxa"/>
            <w:vAlign w:val="bottom"/>
          </w:tcPr>
          <w:p>
            <w:pPr>
              <w:spacing w:after="0"/>
              <w:rPr>
                <w:sz w:val="17"/>
                <w:szCs w:val="17"/>
                <w:color w:val="auto"/>
              </w:rPr>
            </w:pPr>
          </w:p>
        </w:tc>
        <w:tc>
          <w:tcPr>
            <w:tcW w:w="4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GS INVESTMENT STRATEGIES, LLC</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9</w:t>
      </w:r>
    </w:p>
    <w:p>
      <w:pPr>
        <w:sectPr>
          <w:pgSz w:w="11900" w:h="16838" w:orient="portrait"/>
          <w:cols w:equalWidth="0" w:num="1">
            <w:col w:w="10139"/>
          </w:cols>
          <w:pgMar w:left="320" w:top="717" w:right="1440" w:bottom="1440" w:gutter="0" w:footer="0" w:header="0"/>
        </w:sectPr>
      </w:pPr>
    </w:p>
    <w:bookmarkStart w:id="7" w:name="page8"/>
    <w:bookmarkEnd w:id="7"/>
    <w:p>
      <w:pPr>
        <w:jc w:val="right"/>
        <w:ind w:right="169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jc w:val="both"/>
        <w:ind w:right="1819" w:firstLine="421"/>
        <w:spacing w:after="0" w:line="237" w:lineRule="auto"/>
        <w:rPr>
          <w:sz w:val="20"/>
          <w:szCs w:val="20"/>
          <w:color w:val="auto"/>
        </w:rPr>
      </w:pPr>
      <w:r>
        <w:rPr>
          <w:rFonts w:ascii="Courier New" w:cs="Courier New" w:eastAsia="Courier New" w:hAnsi="Courier New"/>
          <w:sz w:val="18"/>
          <w:szCs w:val="18"/>
          <w:color w:val="auto"/>
        </w:rPr>
        <w:t>In accordance with Rule 13d-1(k)(1) promulgated under the Securities Exchange Act of 1934, the undersigned agree to the joint filing of a Statement on Schedule 13G (including any and all amendments thereto) with respect to the Class A Common Stock, par value $0.001 per share, of P10 INC</w:t>
      </w:r>
    </w:p>
    <w:p>
      <w:pPr>
        <w:spacing w:after="0"/>
        <w:tabs>
          <w:tab w:leader="none" w:pos="5360" w:val="left"/>
        </w:tabs>
        <w:rPr>
          <w:sz w:val="20"/>
          <w:szCs w:val="20"/>
          <w:color w:val="auto"/>
        </w:rPr>
      </w:pPr>
      <w:r>
        <w:rPr>
          <w:rFonts w:ascii="Courier New" w:cs="Courier New" w:eastAsia="Courier New" w:hAnsi="Courier New"/>
          <w:sz w:val="18"/>
          <w:szCs w:val="18"/>
          <w:color w:val="auto"/>
        </w:rPr>
        <w:t>and further agree to the filing of this agreement</w:t>
      </w:r>
      <w:r>
        <w:rPr>
          <w:sz w:val="20"/>
          <w:szCs w:val="20"/>
          <w:color w:val="auto"/>
        </w:rPr>
        <w:tab/>
      </w:r>
      <w:r>
        <w:rPr>
          <w:rFonts w:ascii="Courier New" w:cs="Courier New" w:eastAsia="Courier New" w:hAnsi="Courier New"/>
          <w:sz w:val="16"/>
          <w:szCs w:val="16"/>
          <w:color w:val="auto"/>
        </w:rPr>
        <w:t>as an Exhibit thereto.</w:t>
      </w:r>
    </w:p>
    <w:p>
      <w:pPr>
        <w:spacing w:after="0" w:line="5" w:lineRule="exact"/>
        <w:rPr>
          <w:sz w:val="20"/>
          <w:szCs w:val="20"/>
          <w:color w:val="auto"/>
        </w:rPr>
      </w:pPr>
    </w:p>
    <w:p>
      <w:pPr>
        <w:ind w:right="1699"/>
        <w:spacing w:after="0" w:line="236" w:lineRule="auto"/>
        <w:rPr>
          <w:sz w:val="20"/>
          <w:szCs w:val="20"/>
          <w:color w:val="auto"/>
        </w:rPr>
      </w:pPr>
      <w:r>
        <w:rPr>
          <w:rFonts w:ascii="Courier New" w:cs="Courier New" w:eastAsia="Courier New" w:hAnsi="Courier New"/>
          <w:sz w:val="18"/>
          <w:szCs w:val="18"/>
          <w:color w:val="auto"/>
        </w:rPr>
        <w:t>In addition, each party to this Agreement expressly authorizes each other party to this Agreement to file on its behalf any and all amendments to such Statement on Schedule 13G.</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01, 2022,</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Terry Mosher</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Terry Mosher</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GS INVESTMENT STRATEGIES, LLC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Terry Mosher</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Terry Mosher</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9</w:t>
      </w:r>
    </w:p>
    <w:p>
      <w:pPr>
        <w:sectPr>
          <w:pgSz w:w="11900" w:h="16838" w:orient="portrait"/>
          <w:cols w:equalWidth="0" w:num="1">
            <w:col w:w="10139"/>
          </w:cols>
          <w:pgMar w:left="320" w:top="514" w:right="1440" w:bottom="1440" w:gutter="0" w:footer="0" w:header="0"/>
        </w:sectPr>
      </w:pPr>
    </w:p>
    <w:bookmarkStart w:id="8" w:name="page9"/>
    <w:bookmarkEnd w:id="8"/>
    <w:p>
      <w:pPr>
        <w:jc w:val="right"/>
        <w:ind w:right="169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19"/>
        <w:spacing w:after="0" w:line="238" w:lineRule="auto"/>
        <w:rPr>
          <w:sz w:val="20"/>
          <w:szCs w:val="20"/>
          <w:color w:val="auto"/>
        </w:rPr>
      </w:pPr>
      <w:r>
        <w:rPr>
          <w:rFonts w:ascii="Courier New" w:cs="Courier New" w:eastAsia="Courier New" w:hAnsi="Courier New"/>
          <w:sz w:val="18"/>
          <w:szCs w:val="18"/>
          <w:color w:val="auto"/>
        </w:rPr>
        <w:t>KNOW ALL PERSONS BY THESE PRESENTS that GOLDMAN SACHS ASSET MANAGEMENT, L.P. does hereby make, constitute and appoint each of Stephanie Snyder, Terry Mosher, Jamie Minieri, Rachel Fraizer, and Terrance Grey (and any other employee of The Goldman Sachs Group, Inc. or one of its affiliates designated in writing by one of the attorneys-in-fact),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07" w:lineRule="exact"/>
        <w:rPr>
          <w:sz w:val="20"/>
          <w:szCs w:val="20"/>
          <w:color w:val="auto"/>
        </w:rPr>
      </w:pPr>
    </w:p>
    <w:p>
      <w:pPr>
        <w:ind w:right="2339"/>
        <w:spacing w:after="0" w:line="275"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w:t>
      </w:r>
    </w:p>
    <w:p>
      <w:pPr>
        <w:spacing w:after="0" w:line="182" w:lineRule="exact"/>
        <w:rPr>
          <w:sz w:val="20"/>
          <w:szCs w:val="20"/>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December 6, 2021.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38" w:lineRule="auto"/>
        <w:rPr>
          <w:sz w:val="20"/>
          <w:szCs w:val="20"/>
          <w:color w:val="auto"/>
        </w:rPr>
      </w:pPr>
      <w:r>
        <w:rPr>
          <w:rFonts w:ascii="Courier New" w:cs="Courier New" w:eastAsia="Courier New" w:hAnsi="Courier New"/>
          <w:sz w:val="18"/>
          <w:szCs w:val="18"/>
          <w:color w:val="auto"/>
        </w:rPr>
        <w:t>By: GSAM HOLDINGS LLC., its General Partner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David Plutzer</w:t>
      </w:r>
    </w:p>
    <w:p>
      <w:pPr>
        <w:spacing w:after="0" w:line="238" w:lineRule="auto"/>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David Plutzer</w:t>
      </w:r>
    </w:p>
    <w:p>
      <w:pPr>
        <w:spacing w:after="0"/>
        <w:rPr>
          <w:sz w:val="20"/>
          <w:szCs w:val="20"/>
          <w:color w:val="auto"/>
        </w:rPr>
      </w:pPr>
      <w:r>
        <w:rPr>
          <w:rFonts w:ascii="Courier New" w:cs="Courier New" w:eastAsia="Courier New" w:hAnsi="Courier New"/>
          <w:sz w:val="18"/>
          <w:szCs w:val="18"/>
          <w:color w:val="auto"/>
        </w:rPr>
        <w:t>Title: Authorized Signatory, Managing Director</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9</w:t>
      </w:r>
    </w:p>
    <w:p>
      <w:pPr>
        <w:sectPr>
          <w:pgSz w:w="11900" w:h="16838" w:orient="portrait"/>
          <w:cols w:equalWidth="0" w:num="1">
            <w:col w:w="10139"/>
          </w:cols>
          <w:pgMar w:left="320" w:top="717" w:right="1440" w:bottom="1440" w:gutter="0" w:footer="0" w:header="0"/>
        </w:sectPr>
      </w:pPr>
    </w:p>
    <w:bookmarkStart w:id="9" w:name="page10"/>
    <w:bookmarkEnd w:id="9"/>
    <w:p>
      <w:pPr>
        <w:jc w:val="right"/>
        <w:ind w:right="1699"/>
        <w:spacing w:after="0"/>
        <w:rPr>
          <w:sz w:val="20"/>
          <w:szCs w:val="20"/>
          <w:color w:val="auto"/>
        </w:rPr>
      </w:pPr>
      <w:r>
        <w:rPr>
          <w:rFonts w:ascii="Courier New" w:cs="Courier New" w:eastAsia="Courier New" w:hAnsi="Courier New"/>
          <w:sz w:val="18"/>
          <w:szCs w:val="18"/>
          <w:color w:val="auto"/>
        </w:rPr>
        <w:t>EXHIBIT (99.3)</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PERSONS BY THESE PRESENTS GS INVESTMENT STRATEGIES, LLC</w:t>
      </w:r>
    </w:p>
    <w:p>
      <w:pPr>
        <w:spacing w:after="0" w:line="4"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(the "Company") does hereby make, constitute and appoint each of Stephanie Snyder, Jerry Li, Jamie Minieri, Nicole Clark, Terry Mosher,</w:t>
      </w:r>
    </w:p>
    <w:p>
      <w:pPr>
        <w:spacing w:after="0" w:line="6" w:lineRule="exact"/>
        <w:rPr>
          <w:sz w:val="20"/>
          <w:szCs w:val="20"/>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Rachel Fraizer, and Terrance Grey (and any other employee of The Goldman Sachs Group, Inc. or one of its affiliates</w:t>
      </w:r>
    </w:p>
    <w:p>
      <w:pPr>
        <w:ind w:right="1699"/>
        <w:spacing w:after="0" w:line="237" w:lineRule="auto"/>
        <w:rPr>
          <w:sz w:val="20"/>
          <w:szCs w:val="20"/>
          <w:color w:val="auto"/>
        </w:rPr>
      </w:pPr>
      <w:r>
        <w:rPr>
          <w:rFonts w:ascii="Courier New" w:cs="Courier New" w:eastAsia="Courier New" w:hAnsi="Courier New"/>
          <w:sz w:val="18"/>
          <w:szCs w:val="18"/>
          <w:color w:val="auto"/>
        </w:rPr>
        <w:t>designated in writing by one of the attorneys-in-fact),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15"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w:t>
      </w:r>
    </w:p>
    <w:p>
      <w:pPr>
        <w:spacing w:after="0" w:line="200" w:lineRule="exact"/>
        <w:rPr>
          <w:sz w:val="20"/>
          <w:szCs w:val="20"/>
          <w:color w:val="auto"/>
        </w:rPr>
      </w:pPr>
    </w:p>
    <w:p>
      <w:pPr>
        <w:spacing w:after="0" w:line="210" w:lineRule="exact"/>
        <w:rPr>
          <w:sz w:val="20"/>
          <w:szCs w:val="20"/>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December 16, 2020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GS INVESTMENT STRATEGIES, LLC</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David W. Lang</w:t>
      </w:r>
    </w:p>
    <w:p>
      <w:pPr>
        <w:spacing w:after="0" w:line="238" w:lineRule="auto"/>
        <w:rPr>
          <w:sz w:val="20"/>
          <w:szCs w:val="20"/>
          <w:color w:val="auto"/>
        </w:rPr>
      </w:pPr>
      <w:r>
        <w:rPr>
          <w:rFonts w:ascii="Courier New" w:cs="Courier New" w:eastAsia="Courier New" w:hAnsi="Courier New"/>
          <w:sz w:val="18"/>
          <w:szCs w:val="18"/>
          <w:color w:val="auto"/>
        </w:rPr>
        <w:t>____________________________</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Name:</w:t>
        <w:tab/>
        <w:t>David W. Lang</w:t>
      </w:r>
    </w:p>
    <w:p>
      <w:pPr>
        <w:spacing w:after="0"/>
        <w:rPr>
          <w:sz w:val="20"/>
          <w:szCs w:val="20"/>
          <w:color w:val="auto"/>
        </w:rPr>
      </w:pPr>
      <w:r>
        <w:rPr>
          <w:rFonts w:ascii="Courier New" w:cs="Courier New" w:eastAsia="Courier New" w:hAnsi="Courier New"/>
          <w:sz w:val="18"/>
          <w:szCs w:val="18"/>
          <w:color w:val="auto"/>
        </w:rPr>
        <w:t>Title: Authorized Signatory and Managing Director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9 of 9</w:t>
      </w:r>
    </w:p>
    <w:sectPr>
      <w:pgSz w:w="11900" w:h="16838" w:orient="portrait"/>
      <w:cols w:equalWidth="0" w:num="1">
        <w:col w:w="10139"/>
      </w:cols>
      <w:pgMar w:left="32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9"/>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1."/>
      <w:numFmt w:val="decimal"/>
      <w:start w:val="11"/>
    </w:lvl>
  </w:abstractNum>
  <w:abstractNum w:abstractNumId="6">
    <w:nsid w:val="41B71EFB"/>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2022-02-04T13:39:24Z</dcterms:created>
  <dcterms:modified xsi:type="dcterms:W3CDTF">2022-02-04T13:39:24Z</dcterms:modified>
</cp:coreProperties>
</file>