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65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513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Papenfort Dietmar</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920"/>
        <w:spacing w:after="0" w:line="329"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04"/>
        <w:spacing w:after="0"/>
        <w:rPr>
          <w:sz w:val="20"/>
          <w:szCs w:val="20"/>
          <w:color w:val="auto"/>
        </w:rPr>
      </w:pPr>
      <w:r>
        <w:rPr>
          <w:rFonts w:ascii="Arial" w:cs="Arial" w:eastAsia="Arial" w:hAnsi="Arial"/>
          <w:sz w:val="17"/>
          <w:szCs w:val="17"/>
          <w:color w:val="0000FF"/>
        </w:rPr>
        <w:t>Vice President of Sales-EMEA</w:t>
      </w:r>
    </w:p>
    <w:p>
      <w:pPr>
        <w:spacing w:after="0" w:line="440"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40" w:type="dxa"/>
            <w:vAlign w:val="bottom"/>
            <w:gridSpan w:val="7"/>
          </w:tcPr>
          <w:p>
            <w:pPr>
              <w:jc w:val="center"/>
              <w:ind w:righ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w w:val="99"/>
              </w:rPr>
              <w:t>AUSTIN</w:t>
            </w:r>
          </w:p>
        </w:tc>
        <w:tc>
          <w:tcPr>
            <w:tcW w:w="18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84"/>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135,000</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135,000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0.79</w:t>
            </w:r>
          </w:p>
        </w:tc>
        <w:tc>
          <w:tcPr>
            <w:tcW w:w="1100" w:type="dxa"/>
            <w:vAlign w:val="bottom"/>
          </w:tcPr>
          <w:p>
            <w:pPr>
              <w:jc w:val="right"/>
              <w:ind w:right="175"/>
              <w:spacing w:after="0" w:line="140" w:lineRule="exact"/>
              <w:rPr>
                <w:sz w:val="20"/>
                <w:szCs w:val="20"/>
                <w:color w:val="auto"/>
              </w:rPr>
            </w:pPr>
            <w:r>
              <w:rPr>
                <w:rFonts w:ascii="Arial" w:cs="Arial" w:eastAsia="Arial" w:hAnsi="Arial"/>
                <w:sz w:val="13"/>
                <w:szCs w:val="13"/>
                <w:color w:val="0000FF"/>
              </w:rPr>
              <w:t>02/24/2011</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0" w:lineRule="exact"/>
              <w:rPr>
                <w:sz w:val="20"/>
                <w:szCs w:val="20"/>
                <w:color w:val="auto"/>
              </w:rPr>
            </w:pPr>
            <w:r>
              <w:rPr>
                <w:rFonts w:ascii="Arial" w:cs="Arial" w:eastAsia="Arial" w:hAnsi="Arial"/>
                <w:sz w:val="13"/>
                <w:szCs w:val="13"/>
                <w:color w:val="0000FF"/>
                <w:w w:val="98"/>
              </w:rPr>
              <w:t>02/25/2020</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135,000</w:t>
            </w:r>
          </w:p>
        </w:tc>
        <w:tc>
          <w:tcPr>
            <w:tcW w:w="66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2010, the reporting person was granted an option to purchase shares of common stock, 135,000 of which option shares became eligible for vesting on February 24, 2011 upon active Power's satisfaction of certain performance criteria for the fiscal year ending December 31, 2010</w:t>
      </w:r>
    </w:p>
    <w:p>
      <w:pPr>
        <w:spacing w:after="0" w:line="22" w:lineRule="exact"/>
        <w:rPr>
          <w:rFonts w:ascii="Arial" w:cs="Arial" w:eastAsia="Arial" w:hAnsi="Arial"/>
          <w:sz w:val="13"/>
          <w:szCs w:val="13"/>
          <w:color w:val="008000"/>
        </w:rPr>
      </w:pPr>
    </w:p>
    <w:p>
      <w:pPr>
        <w:ind w:left="40" w:right="18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number of option shares eligible for vesting shall vest as follows: (i)50% on the first anniversary of the date of grant, (ii)25% on the second anniversary of the date of grant, and (iii)25% on the third anniversary of the date of grant.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John K. Penver</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02/24/2011</w:t>
            </w: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579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2019-12-17T04:39:51Z</dcterms:created>
  <dcterms:modified xsi:type="dcterms:W3CDTF">2019-12-17T04:39:51Z</dcterms:modified>
</cp:coreProperties>
</file>