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09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HOOD MARK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7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47,582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47,582</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47,582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9,120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47,582 RSUs, all of which will vest on the first anniversary of the grant date, provided that the reporting person remains in continuous service with the Issuer through such date.</w:t>
      </w:r>
    </w:p>
    <w:p>
      <w:pPr>
        <w:spacing w:after="0" w:line="16"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9,120 RSUs, all of which will vest on the first anniversary of the grant date, provided that the reporting person remains in continuous service with the Issuer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&amp; Chief Administration Officer</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Mark C.</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36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699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2025-02-19T17:41:28Z</dcterms:created>
  <dcterms:modified xsi:type="dcterms:W3CDTF">2025-02-19T17:41:28Z</dcterms:modified>
</cp:coreProperties>
</file>