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210 Capital,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P10,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4514 COLE AVENUE, SUITE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P10,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09/13/2024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72"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p>
      <w:pPr>
        <w:spacing w:after="0" w:line="17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75205</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3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80" w:type="dxa"/>
            <w:vAlign w:val="bottom"/>
          </w:tcPr>
          <w:p>
            <w:pPr>
              <w:ind w:left="1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4"/>
          </w:tcPr>
          <w:p>
            <w:pPr>
              <w:ind w:left="220"/>
              <w:spacing w:after="0"/>
              <w:rPr>
                <w:sz w:val="20"/>
                <w:szCs w:val="20"/>
                <w:color w:val="auto"/>
              </w:rPr>
            </w:pPr>
            <w:r>
              <w:rPr>
                <w:rFonts w:ascii="Arial" w:cs="Arial" w:eastAsia="Arial" w:hAnsi="Arial"/>
                <w:sz w:val="12"/>
                <w:szCs w:val="12"/>
                <w:b w:val="1"/>
                <w:bCs w:val="1"/>
                <w:color w:val="auto"/>
                <w:w w:val="96"/>
              </w:rPr>
              <w:t>2A. Deemed</w:t>
            </w:r>
          </w:p>
        </w:tc>
        <w:tc>
          <w:tcPr>
            <w:tcW w:w="360" w:type="dxa"/>
            <w:vAlign w:val="bottom"/>
          </w:tcPr>
          <w:p>
            <w:pPr>
              <w:spacing w:after="0"/>
              <w:rPr>
                <w:sz w:val="13"/>
                <w:szCs w:val="13"/>
                <w:color w:val="auto"/>
              </w:rPr>
            </w:pP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460" w:type="dxa"/>
            <w:vAlign w:val="bottom"/>
          </w:tcPr>
          <w:p>
            <w:pPr>
              <w:spacing w:after="0"/>
              <w:rPr>
                <w:sz w:val="13"/>
                <w:szCs w:val="13"/>
                <w:color w:val="auto"/>
              </w:rPr>
            </w:pPr>
          </w:p>
        </w:tc>
        <w:tc>
          <w:tcPr>
            <w:tcW w:w="21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5"/>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80" w:type="dxa"/>
            <w:vAlign w:val="bottom"/>
            <w:gridSpan w:val="5"/>
          </w:tcPr>
          <w:p>
            <w:pPr>
              <w:ind w:left="180"/>
              <w:spacing w:after="0" w:line="133" w:lineRule="exact"/>
              <w:rPr>
                <w:sz w:val="20"/>
                <w:szCs w:val="20"/>
                <w:color w:val="auto"/>
              </w:rPr>
            </w:pPr>
            <w:r>
              <w:rPr>
                <w:rFonts w:ascii="Arial" w:cs="Arial" w:eastAsia="Arial" w:hAnsi="Arial"/>
                <w:sz w:val="12"/>
                <w:szCs w:val="12"/>
                <w:b w:val="1"/>
                <w:bCs w:val="1"/>
                <w:color w:val="auto"/>
              </w:rPr>
              <w:t>(Month/Day/Year)  if any</w:t>
            </w:r>
          </w:p>
        </w:tc>
        <w:tc>
          <w:tcPr>
            <w:tcW w:w="3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gridSpan w:val="5"/>
          </w:tcPr>
          <w:p>
            <w:pPr>
              <w:ind w:left="22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8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gridSpan w:val="2"/>
            <w:vMerge w:val="restart"/>
          </w:tcPr>
          <w:p>
            <w:pPr>
              <w:ind w:left="100"/>
              <w:spacing w:after="0"/>
              <w:rPr>
                <w:sz w:val="20"/>
                <w:szCs w:val="20"/>
                <w:color w:val="auto"/>
              </w:rPr>
            </w:pPr>
            <w:r>
              <w:rPr>
                <w:rFonts w:ascii="Arial" w:cs="Arial" w:eastAsia="Arial" w:hAnsi="Arial"/>
                <w:sz w:val="12"/>
                <w:szCs w:val="12"/>
                <w:b w:val="1"/>
                <w:bCs w:val="1"/>
                <w:color w:val="auto"/>
              </w:rPr>
              <w:t>(A) or</w:t>
            </w:r>
          </w:p>
        </w:tc>
        <w:tc>
          <w:tcPr>
            <w:tcW w:w="74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60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gridSpan w:val="2"/>
            <w:vMerge w:val="continue"/>
          </w:tcPr>
          <w:p>
            <w:pPr>
              <w:spacing w:after="0"/>
              <w:rPr>
                <w:sz w:val="13"/>
                <w:szCs w:val="13"/>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080" w:type="dxa"/>
            <w:vAlign w:val="bottom"/>
            <w:tcBorders>
              <w:bottom w:val="single" w:sz="8" w:color="2C2C2C"/>
            </w:tcBorders>
          </w:tcPr>
          <w:p>
            <w:pPr>
              <w:spacing w:after="0"/>
              <w:rPr>
                <w:sz w:val="15"/>
                <w:szCs w:val="15"/>
                <w:color w:val="auto"/>
              </w:rPr>
            </w:pPr>
          </w:p>
        </w:tc>
        <w:tc>
          <w:tcPr>
            <w:tcW w:w="108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gridSpan w:val="2"/>
          </w:tcPr>
          <w:p>
            <w:pPr>
              <w:ind w:left="100"/>
              <w:spacing w:after="0"/>
              <w:rPr>
                <w:sz w:val="20"/>
                <w:szCs w:val="20"/>
                <w:color w:val="auto"/>
              </w:rPr>
            </w:pPr>
            <w:r>
              <w:rPr>
                <w:rFonts w:ascii="Arial" w:cs="Arial" w:eastAsia="Arial" w:hAnsi="Arial"/>
                <w:sz w:val="12"/>
                <w:szCs w:val="12"/>
                <w:b w:val="1"/>
                <w:bCs w:val="1"/>
                <w:color w:val="auto"/>
              </w:rPr>
              <w:t>(D)</w:t>
            </w:r>
          </w:p>
        </w:tc>
        <w:tc>
          <w:tcPr>
            <w:tcW w:w="7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2"/>
                <w:szCs w:val="22"/>
                <w:color w:val="008000"/>
                <w:vertAlign w:val="superscript"/>
              </w:rPr>
              <w:t>(1)(2)</w:t>
            </w:r>
          </w:p>
        </w:tc>
        <w:tc>
          <w:tcPr>
            <w:tcW w:w="108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09/13/2024</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(3)</w:t>
            </w:r>
          </w:p>
        </w:tc>
        <w:tc>
          <w:tcPr>
            <w:tcW w:w="460" w:type="dxa"/>
            <w:vAlign w:val="bottom"/>
          </w:tcPr>
          <w:p>
            <w:pPr>
              <w:spacing w:after="0"/>
              <w:rPr>
                <w:sz w:val="21"/>
                <w:szCs w:val="21"/>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33,110</w:t>
            </w:r>
          </w:p>
        </w:tc>
        <w:tc>
          <w:tcPr>
            <w:tcW w:w="200" w:type="dxa"/>
            <w:vAlign w:val="bottom"/>
          </w:tcPr>
          <w:p>
            <w:pPr>
              <w:spacing w:after="0"/>
              <w:rPr>
                <w:sz w:val="21"/>
                <w:szCs w:val="21"/>
                <w:color w:val="auto"/>
              </w:rPr>
            </w:pPr>
          </w:p>
        </w:tc>
        <w:tc>
          <w:tcPr>
            <w:tcW w:w="3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10.538</w:t>
            </w:r>
            <w:r>
              <w:rPr>
                <w:rFonts w:ascii="Times New Roman" w:cs="Times New Roman" w:eastAsia="Times New Roman" w:hAnsi="Times New Roman"/>
                <w:sz w:val="22"/>
                <w:szCs w:val="22"/>
                <w:color w:val="008000"/>
                <w:w w:val="95"/>
                <w:vertAlign w:val="superscript"/>
              </w:rPr>
              <w:t>(4)</w:t>
            </w:r>
          </w:p>
        </w:tc>
        <w:tc>
          <w:tcPr>
            <w:tcW w:w="11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3,466,890</w:t>
            </w:r>
          </w:p>
        </w:tc>
        <w:tc>
          <w:tcPr>
            <w:tcW w:w="240" w:type="dxa"/>
            <w:vAlign w:val="bottom"/>
          </w:tcPr>
          <w:p>
            <w:pPr>
              <w:spacing w:after="0"/>
              <w:rPr>
                <w:sz w:val="21"/>
                <w:szCs w:val="21"/>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80" w:type="dxa"/>
            <w:vAlign w:val="bottom"/>
            <w:gridSpan w:val="5"/>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2"/>
                <w:szCs w:val="22"/>
                <w:color w:val="008000"/>
                <w:vertAlign w:val="superscript"/>
              </w:rPr>
              <w:t>(1)(2)</w:t>
            </w:r>
          </w:p>
        </w:tc>
        <w:tc>
          <w:tcPr>
            <w:tcW w:w="108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09/16/2024</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(3)</w:t>
            </w:r>
          </w:p>
        </w:tc>
        <w:tc>
          <w:tcPr>
            <w:tcW w:w="460" w:type="dxa"/>
            <w:vAlign w:val="bottom"/>
          </w:tcPr>
          <w:p>
            <w:pPr>
              <w:spacing w:after="0"/>
              <w:rPr>
                <w:sz w:val="21"/>
                <w:szCs w:val="21"/>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129,462</w:t>
            </w:r>
          </w:p>
        </w:tc>
        <w:tc>
          <w:tcPr>
            <w:tcW w:w="200" w:type="dxa"/>
            <w:vAlign w:val="bottom"/>
          </w:tcPr>
          <w:p>
            <w:pPr>
              <w:spacing w:after="0"/>
              <w:rPr>
                <w:sz w:val="21"/>
                <w:szCs w:val="21"/>
                <w:color w:val="auto"/>
              </w:rPr>
            </w:pPr>
          </w:p>
        </w:tc>
        <w:tc>
          <w:tcPr>
            <w:tcW w:w="3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10.5281</w:t>
            </w:r>
            <w:r>
              <w:rPr>
                <w:rFonts w:ascii="Times New Roman" w:cs="Times New Roman" w:eastAsia="Times New Roman" w:hAnsi="Times New Roman"/>
                <w:sz w:val="22"/>
                <w:szCs w:val="22"/>
                <w:color w:val="008000"/>
                <w:w w:val="95"/>
                <w:vertAlign w:val="superscript"/>
              </w:rPr>
              <w:t>(6)</w:t>
            </w:r>
          </w:p>
        </w:tc>
        <w:tc>
          <w:tcPr>
            <w:tcW w:w="11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3,337,428</w:t>
            </w:r>
          </w:p>
        </w:tc>
        <w:tc>
          <w:tcPr>
            <w:tcW w:w="240" w:type="dxa"/>
            <w:vAlign w:val="bottom"/>
          </w:tcPr>
          <w:p>
            <w:pPr>
              <w:spacing w:after="0"/>
              <w:rPr>
                <w:sz w:val="21"/>
                <w:szCs w:val="21"/>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80" w:type="dxa"/>
            <w:vAlign w:val="bottom"/>
            <w:gridSpan w:val="5"/>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2"/>
                <w:szCs w:val="22"/>
                <w:color w:val="008000"/>
                <w:vertAlign w:val="superscript"/>
              </w:rPr>
              <w:t>(1)(2)</w:t>
            </w:r>
          </w:p>
        </w:tc>
        <w:tc>
          <w:tcPr>
            <w:tcW w:w="108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09/17/2024</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(3)</w:t>
            </w:r>
          </w:p>
        </w:tc>
        <w:tc>
          <w:tcPr>
            <w:tcW w:w="460" w:type="dxa"/>
            <w:vAlign w:val="bottom"/>
          </w:tcPr>
          <w:p>
            <w:pPr>
              <w:spacing w:after="0"/>
              <w:rPr>
                <w:sz w:val="21"/>
                <w:szCs w:val="21"/>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106,623</w:t>
            </w:r>
          </w:p>
        </w:tc>
        <w:tc>
          <w:tcPr>
            <w:tcW w:w="200" w:type="dxa"/>
            <w:vAlign w:val="bottom"/>
          </w:tcPr>
          <w:p>
            <w:pPr>
              <w:spacing w:after="0"/>
              <w:rPr>
                <w:sz w:val="21"/>
                <w:szCs w:val="21"/>
                <w:color w:val="auto"/>
              </w:rPr>
            </w:pPr>
          </w:p>
        </w:tc>
        <w:tc>
          <w:tcPr>
            <w:tcW w:w="3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10.6627</w:t>
            </w:r>
            <w:r>
              <w:rPr>
                <w:rFonts w:ascii="Times New Roman" w:cs="Times New Roman" w:eastAsia="Times New Roman" w:hAnsi="Times New Roman"/>
                <w:sz w:val="22"/>
                <w:szCs w:val="22"/>
                <w:color w:val="008000"/>
                <w:w w:val="95"/>
                <w:vertAlign w:val="superscript"/>
              </w:rPr>
              <w:t>(7)</w:t>
            </w:r>
          </w:p>
        </w:tc>
        <w:tc>
          <w:tcPr>
            <w:tcW w:w="11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3,230,805</w:t>
            </w:r>
          </w:p>
        </w:tc>
        <w:tc>
          <w:tcPr>
            <w:tcW w:w="240" w:type="dxa"/>
            <w:vAlign w:val="bottom"/>
          </w:tcPr>
          <w:p>
            <w:pPr>
              <w:spacing w:after="0"/>
              <w:rPr>
                <w:sz w:val="21"/>
                <w:szCs w:val="21"/>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80" w:type="dxa"/>
            <w:vAlign w:val="bottom"/>
            <w:gridSpan w:val="5"/>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80" w:type="dxa"/>
            <w:vAlign w:val="bottom"/>
            <w:tcBorders>
              <w:top w:val="single" w:sz="8" w:color="2C2C2C"/>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2"/>
                <w:szCs w:val="22"/>
                <w:color w:val="008000"/>
                <w:vertAlign w:val="superscript"/>
              </w:rPr>
              <w:t>(1)(2)</w:t>
            </w:r>
          </w:p>
        </w:tc>
        <w:tc>
          <w:tcPr>
            <w:tcW w:w="1080" w:type="dxa"/>
            <w:vAlign w:val="bottom"/>
            <w:tcBorders>
              <w:top w:val="single" w:sz="8" w:color="2C2C2C"/>
              <w:bottom w:val="single" w:sz="8" w:color="2C2C2C"/>
            </w:tcBorders>
          </w:tcPr>
          <w:p>
            <w:pPr>
              <w:spacing w:after="0"/>
              <w:rPr>
                <w:sz w:val="24"/>
                <w:szCs w:val="24"/>
                <w:color w:val="auto"/>
              </w:rPr>
            </w:pPr>
          </w:p>
        </w:tc>
        <w:tc>
          <w:tcPr>
            <w:tcW w:w="50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28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spacing w:after="0"/>
              <w:rPr>
                <w:sz w:val="24"/>
                <w:szCs w:val="24"/>
                <w:color w:val="auto"/>
              </w:rPr>
            </w:pPr>
          </w:p>
        </w:tc>
        <w:tc>
          <w:tcPr>
            <w:tcW w:w="46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30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1180" w:type="dxa"/>
            <w:vAlign w:val="bottom"/>
            <w:tcBorders>
              <w:top w:val="single" w:sz="8" w:color="2C2C2C"/>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339,028</w:t>
            </w:r>
          </w:p>
        </w:tc>
        <w:tc>
          <w:tcPr>
            <w:tcW w:w="24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ind w:left="2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(8)</w:t>
            </w:r>
          </w:p>
        </w:tc>
        <w:tc>
          <w:tcPr>
            <w:tcW w:w="22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2"/>
                <w:szCs w:val="22"/>
                <w:color w:val="008000"/>
                <w:vertAlign w:val="superscript"/>
              </w:rPr>
              <w:t>(1)(2)</w:t>
            </w:r>
          </w:p>
        </w:tc>
        <w:tc>
          <w:tcPr>
            <w:tcW w:w="10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334,150</w:t>
            </w:r>
          </w:p>
        </w:tc>
        <w:tc>
          <w:tcPr>
            <w:tcW w:w="2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2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(9)</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7620" w:type="dxa"/>
            <w:vAlign w:val="bottom"/>
            <w:tcBorders>
              <w:top w:val="single" w:sz="8" w:color="2C2C2C"/>
            </w:tcBorders>
            <w:gridSpan w:val="17"/>
          </w:tcPr>
          <w:p>
            <w:pPr>
              <w:ind w:left="8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240" w:type="dxa"/>
            <w:vAlign w:val="bottom"/>
            <w:gridSpan w:val="13"/>
          </w:tcPr>
          <w:p>
            <w:pPr>
              <w:ind w:lef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2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2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2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2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240" w:type="dxa"/>
            <w:vAlign w:val="bottom"/>
          </w:tcPr>
          <w:p>
            <w:pPr>
              <w:spacing w:after="0"/>
              <w:rPr>
                <w:sz w:val="11"/>
                <w:szCs w:val="11"/>
                <w:color w:val="auto"/>
              </w:rPr>
            </w:pPr>
          </w:p>
        </w:tc>
        <w:tc>
          <w:tcPr>
            <w:tcW w:w="6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gridSpan w:val="2"/>
          </w:tcPr>
          <w:p>
            <w:pPr>
              <w:ind w:left="2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9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w w:val="98"/>
              </w:rPr>
              <w:t>Expiration</w:t>
            </w:r>
          </w:p>
        </w:tc>
        <w:tc>
          <w:tcPr>
            <w:tcW w:w="300" w:type="dxa"/>
            <w:vAlign w:val="bottom"/>
          </w:tcPr>
          <w:p>
            <w:pPr>
              <w:spacing w:after="0"/>
              <w:rPr>
                <w:sz w:val="11"/>
                <w:szCs w:val="11"/>
                <w:color w:val="auto"/>
              </w:rPr>
            </w:pPr>
          </w:p>
        </w:tc>
        <w:tc>
          <w:tcPr>
            <w:tcW w:w="8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12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200" w:type="dxa"/>
            <w:vAlign w:val="bottom"/>
          </w:tcPr>
          <w:p>
            <w:pPr>
              <w:spacing w:after="0"/>
              <w:rPr>
                <w:sz w:val="14"/>
                <w:szCs w:val="14"/>
                <w:color w:val="auto"/>
              </w:rPr>
            </w:pP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gridSpan w:val="3"/>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8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8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gridSpan w:val="4"/>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210 Capital, LLC</w:t>
              </w:r>
            </w:hyperlink>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080" w:type="dxa"/>
            <w:vAlign w:val="bottom"/>
          </w:tcPr>
          <w:p>
            <w:pPr>
              <w:ind w:left="22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 P10, INC.</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10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DALLAS</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TX</w:t>
            </w:r>
          </w:p>
        </w:tc>
        <w:tc>
          <w:tcPr>
            <w:tcW w:w="108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75205</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tcPr>
          <w:p>
            <w:pPr>
              <w:ind w:left="22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-3533140</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7">
        <w:r>
          <w:rPr>
            <w:rFonts w:ascii="Times New Roman" w:cs="Times New Roman" w:eastAsia="Times New Roman" w:hAnsi="Times New Roman"/>
            <w:sz w:val="21"/>
            <w:szCs w:val="21"/>
            <w:u w:val="single" w:color="auto"/>
            <w:color w:val="0000EE"/>
          </w:rPr>
          <w:t>Alpert Robert H</w:t>
        </w:r>
      </w:hyperlink>
    </w:p>
    <w:p>
      <w:pPr>
        <w:sectPr>
          <w:pgSz w:w="11900" w:h="16838" w:orient="portrait"/>
          <w:cols w:equalWidth="0" w:num="1">
            <w:col w:w="11080"/>
          </w:cols>
          <w:pgMar w:left="460" w:top="219" w:right="359" w:bottom="0" w:gutter="0" w:footer="0" w:header="0"/>
          <w:type w:val="continuous"/>
        </w:sectPr>
      </w:pPr>
    </w:p>
    <w:p>
      <w:pPr>
        <w:spacing w:after="0" w:line="309" w:lineRule="exact"/>
        <w:rPr>
          <w:sz w:val="24"/>
          <w:szCs w:val="24"/>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line="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4514 COLE AVENUE, SUITE 1600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-114300</wp:posOffset>
            </wp:positionV>
            <wp:extent cx="2809240" cy="75857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809240" cy="7585710"/>
                    </a:xfrm>
                    <a:prstGeom prst="rect">
                      <a:avLst/>
                    </a:prstGeom>
                    <a:noFill/>
                  </pic:spPr>
                </pic:pic>
              </a:graphicData>
            </a:graphic>
          </wp:anchor>
        </w:drawing>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4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DALLAS</w:t>
            </w:r>
          </w:p>
        </w:tc>
        <w:tc>
          <w:tcPr>
            <w:tcW w:w="13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75205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Arial" w:cs="Arial" w:eastAsia="Arial" w:hAnsi="Arial"/>
                <w:sz w:val="13"/>
                <w:szCs w:val="13"/>
                <w:color w:val="auto"/>
              </w:rPr>
              <w:t>(City)</w:t>
            </w:r>
          </w:p>
        </w:tc>
        <w:tc>
          <w:tcPr>
            <w:tcW w:w="1360" w:type="dxa"/>
            <w:vAlign w:val="bottom"/>
          </w:tcPr>
          <w:p>
            <w:pPr>
              <w:ind w:left="8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gridSpan w:val="2"/>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8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1320" w:type="dxa"/>
            <w:vAlign w:val="bottom"/>
            <w:gridSpan w:val="2"/>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Webb C Clark</w:t>
              </w:r>
            </w:hyperlink>
          </w:p>
        </w:tc>
        <w:tc>
          <w:tcPr>
            <w:tcW w:w="1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Arial" w:cs="Arial" w:eastAsia="Arial" w:hAnsi="Arial"/>
                <w:sz w:val="13"/>
                <w:szCs w:val="13"/>
                <w:color w:val="auto"/>
              </w:rPr>
              <w:t>(Last)</w:t>
            </w:r>
          </w:p>
        </w:tc>
        <w:tc>
          <w:tcPr>
            <w:tcW w:w="1360" w:type="dxa"/>
            <w:vAlign w:val="bottom"/>
          </w:tcPr>
          <w:p>
            <w:pPr>
              <w:ind w:left="8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4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DALLAS</w:t>
            </w:r>
          </w:p>
        </w:tc>
        <w:tc>
          <w:tcPr>
            <w:tcW w:w="13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75205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Arial" w:cs="Arial" w:eastAsia="Arial" w:hAnsi="Arial"/>
                <w:sz w:val="13"/>
                <w:szCs w:val="13"/>
                <w:color w:val="auto"/>
              </w:rPr>
              <w:t>(City)</w:t>
            </w:r>
          </w:p>
        </w:tc>
        <w:tc>
          <w:tcPr>
            <w:tcW w:w="1360" w:type="dxa"/>
            <w:vAlign w:val="bottom"/>
          </w:tcPr>
          <w:p>
            <w:pPr>
              <w:ind w:left="8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COVENANT RHA PARTNERS,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(Last)</w:t>
            </w:r>
          </w:p>
        </w:tc>
        <w:tc>
          <w:tcPr>
            <w:tcW w:w="1640" w:type="dxa"/>
            <w:vAlign w:val="bottom"/>
            <w:gridSpan w:val="3"/>
          </w:tcPr>
          <w:p>
            <w:pPr>
              <w:ind w:left="36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1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64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75205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640" w:type="dxa"/>
            <w:vAlign w:val="bottom"/>
            <w:gridSpan w:val="3"/>
          </w:tcPr>
          <w:p>
            <w:pPr>
              <w:ind w:left="36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98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80" w:type="dxa"/>
            <w:vAlign w:val="bottom"/>
            <w:gridSpan w:val="4"/>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CCW/LAW Holdings, LLC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(Last)</w:t>
            </w:r>
          </w:p>
        </w:tc>
        <w:tc>
          <w:tcPr>
            <w:tcW w:w="1640" w:type="dxa"/>
            <w:vAlign w:val="bottom"/>
            <w:gridSpan w:val="3"/>
          </w:tcPr>
          <w:p>
            <w:pPr>
              <w:ind w:left="36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1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64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75205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640" w:type="dxa"/>
            <w:vAlign w:val="bottom"/>
            <w:gridSpan w:val="3"/>
          </w:tcPr>
          <w:p>
            <w:pPr>
              <w:ind w:left="36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98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80" w:type="dxa"/>
            <w:vAlign w:val="bottom"/>
            <w:gridSpan w:val="4"/>
          </w:tcPr>
          <w:p>
            <w:pPr>
              <w:spacing w:after="0" w:line="227" w:lineRule="exact"/>
              <w:rPr>
                <w:rFonts w:ascii="Times New Roman" w:cs="Times New Roman" w:eastAsia="Times New Roman" w:hAnsi="Times New Roman"/>
                <w:sz w:val="21"/>
                <w:szCs w:val="21"/>
                <w:color w:val="0000EE"/>
              </w:rPr>
            </w:pPr>
            <w:hyperlink r:id="rId22">
              <w:r>
                <w:rPr>
                  <w:rFonts w:ascii="Times New Roman" w:cs="Times New Roman" w:eastAsia="Times New Roman" w:hAnsi="Times New Roman"/>
                  <w:sz w:val="21"/>
                  <w:szCs w:val="21"/>
                  <w:color w:val="0000EE"/>
                </w:rPr>
                <w:t>RHA Investments, Inc.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(Last)</w:t>
            </w:r>
          </w:p>
        </w:tc>
        <w:tc>
          <w:tcPr>
            <w:tcW w:w="1640" w:type="dxa"/>
            <w:vAlign w:val="bottom"/>
            <w:gridSpan w:val="3"/>
          </w:tcPr>
          <w:p>
            <w:pPr>
              <w:ind w:left="36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1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64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75205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640" w:type="dxa"/>
            <w:vAlign w:val="bottom"/>
            <w:gridSpan w:val="3"/>
          </w:tcPr>
          <w:p>
            <w:pPr>
              <w:ind w:left="36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44"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is being filed by: (i) 210 Capital, LLC ("210 Capital"), in its capacity as the sole member of 210/P10 Acquisition Partners, LLC, the direct holder of shares of Class B Common Stock ("210/P10"); (ii) Covenant RHA Partners, L.P. ("RHA Partners"), in its capacity as member of 210 Capital; (iii) CCW/LAW Holdings, LLC ("CCW Holdings"), in its capacity as member of 210 Capital; (iv) Mr. Webb, individually and in his capacity as sole member of CCW Holdings, and in his capacity as Executive Vice Chairman and a director of the Issuer; (v) RHA Investments, Inc. ("RHA Investments"), in its capacity as general partner of RHA Partners; and (vi) Mr. Alpert, individually and in his capacity as President and sole shareholder of RHA Investments, and in his capacity as a director of the Issuer (collectively, the "Reporting Persons").</w:t>
      </w:r>
    </w:p>
    <w:p>
      <w:pPr>
        <w:spacing w:after="0" w:line="26" w:lineRule="exact"/>
        <w:rPr>
          <w:rFonts w:ascii="Times New Roman" w:cs="Times New Roman" w:eastAsia="Times New Roman" w:hAnsi="Times New Roman"/>
          <w:sz w:val="13"/>
          <w:szCs w:val="13"/>
          <w:color w:val="008000"/>
        </w:rPr>
      </w:pPr>
    </w:p>
    <w:p>
      <w:pPr>
        <w:ind w:left="20" w:right="18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Each Reporting Person disclaims beneficial ownership of the securities of the Issuer reported herein, except to the extent of his or its pecuniary interest therein, and the filing of this Form 4 shall not be construed as an admission that such persons are beneficial owners of the securities of the Issuer reported herein.</w:t>
      </w:r>
    </w:p>
    <w:p>
      <w:pPr>
        <w:spacing w:after="0" w:line="7"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210/P10 on December 10, 2023.</w:t>
      </w:r>
    </w:p>
    <w:p>
      <w:pPr>
        <w:spacing w:after="0" w:line="50" w:lineRule="exact"/>
        <w:rPr>
          <w:rFonts w:ascii="Times New Roman" w:cs="Times New Roman" w:eastAsia="Times New Roman" w:hAnsi="Times New Roman"/>
          <w:sz w:val="13"/>
          <w:szCs w:val="13"/>
          <w:color w:val="008000"/>
        </w:rPr>
      </w:pPr>
    </w:p>
    <w:p>
      <w:pPr>
        <w:ind w:left="20" w:right="8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$10.50 to $10.63, inclusive. The reporting person undertakes to provide to the Issuer, any security holder of the Issuer or the staff of the Securities and Exchange Commission, upon request,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20" w:right="16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owned directly by 210/P10. By virtue of their relationship with 210/P10 described in Footnote 1, each Reporting Person may be deemed to beneficially own the securities of the Issuer owned directly by 210/P10.</w:t>
      </w:r>
    </w:p>
    <w:p>
      <w:pPr>
        <w:spacing w:after="0" w:line="7" w:lineRule="exact"/>
        <w:rPr>
          <w:rFonts w:ascii="Times New Roman" w:cs="Times New Roman" w:eastAsia="Times New Roman" w:hAnsi="Times New Roman"/>
          <w:sz w:val="13"/>
          <w:szCs w:val="13"/>
          <w:color w:val="008000"/>
        </w:rPr>
      </w:pPr>
    </w:p>
    <w:p>
      <w:pPr>
        <w:ind w:left="20" w:right="8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$10.50 to $10.565, inclusive. The reporting person undertakes to provide to the Issuer, any security holder of the Issuer or the staff of the Securities and Exchange Commission, upon request,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20" w:right="8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$10.60 to $10.755, inclusive. The reporting person undertakes to provide to the Issuer, any security holder of the Issuer or the staff of the Securities and Exchange Commission, upon request,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owned directly by Mr. Alpert.</w:t>
      </w:r>
    </w:p>
    <w:p>
      <w:pPr>
        <w:spacing w:after="0" w:line="5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owned directly by Mr. Webb.</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20" w:right="340"/>
        <w:spacing w:after="0" w:line="272" w:lineRule="auto"/>
        <w:rPr>
          <w:sz w:val="20"/>
          <w:szCs w:val="20"/>
          <w:color w:val="auto"/>
        </w:rPr>
      </w:pPr>
      <w:r>
        <w:rPr>
          <w:rFonts w:ascii="Times New Roman" w:cs="Times New Roman" w:eastAsia="Times New Roman" w:hAnsi="Times New Roman"/>
          <w:sz w:val="13"/>
          <w:szCs w:val="13"/>
          <w:color w:val="008000"/>
        </w:rPr>
        <w:t>The Reporting Persons may be deemed to be members of group under Section 13 that collectively beneficially owns more than 10% of the Issuer's Common Stock. In addition, Mr. Webb serves as Executive Vice Chairman of the Issuer, and Mr. Alpert and Mr. Webb each serve as a director on the Board of Directors of the Issuer.</w:t>
      </w:r>
    </w:p>
    <w:p>
      <w:pPr>
        <w:sectPr>
          <w:pgSz w:w="11900" w:h="16871" w:orient="portrait"/>
          <w:cols w:equalWidth="0" w:num="1">
            <w:col w:w="10800"/>
          </w:cols>
          <w:pgMar w:left="480" w:top="125" w:right="619" w:bottom="0" w:gutter="0" w:footer="0" w:header="0"/>
        </w:sectPr>
      </w:pPr>
    </w:p>
    <w:p>
      <w:pPr>
        <w:spacing w:after="0" w:line="3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/s/Robert Alpert,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138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11" w:lineRule="exact"/>
        <w:rPr>
          <w:sz w:val="20"/>
          <w:szCs w:val="20"/>
          <w:color w:val="auto"/>
        </w:rPr>
      </w:pPr>
    </w:p>
    <w:p>
      <w:pPr>
        <w:ind w:left="6560"/>
        <w:spacing w:after="0"/>
        <w:tabs>
          <w:tab w:leader="none" w:pos="8740" w:val="left"/>
        </w:tabs>
        <w:rPr>
          <w:sz w:val="20"/>
          <w:szCs w:val="20"/>
          <w:color w:val="auto"/>
        </w:rPr>
      </w:pPr>
      <w:r>
        <w:rPr>
          <w:rFonts w:ascii="Times New Roman" w:cs="Times New Roman" w:eastAsia="Times New Roman" w:hAnsi="Times New Roman"/>
          <w:sz w:val="17"/>
          <w:szCs w:val="17"/>
          <w:color w:val="0000FF"/>
        </w:rPr>
        <w:t>in-Fact for the Reporting</w:t>
      </w:r>
      <w:r>
        <w:rPr>
          <w:sz w:val="20"/>
          <w:szCs w:val="20"/>
          <w:color w:val="auto"/>
        </w:rPr>
        <w:tab/>
      </w:r>
      <w:r>
        <w:rPr>
          <w:rFonts w:ascii="Times New Roman" w:cs="Times New Roman" w:eastAsia="Times New Roman" w:hAnsi="Times New Roman"/>
          <w:sz w:val="17"/>
          <w:szCs w:val="17"/>
          <w:color w:val="0000FF"/>
        </w:rPr>
        <w:t>09/17/2024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8973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422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342265" cy="8255"/>
                    </a:xfrm>
                    <a:prstGeom prst="rect">
                      <a:avLst/>
                    </a:prstGeom>
                    <a:noFill/>
                  </pic:spPr>
                </pic:pic>
              </a:graphicData>
            </a:graphic>
          </wp:anchor>
        </w:drawing>
      </w:r>
    </w:p>
    <w:p>
      <w:pPr>
        <w:sectPr>
          <w:pgSz w:w="11900" w:h="16871" w:orient="portrait"/>
          <w:cols w:equalWidth="0" w:num="1">
            <w:col w:w="10800"/>
          </w:cols>
          <w:pgMar w:left="480" w:top="125" w:right="619" w:bottom="0" w:gutter="0" w:footer="0" w:header="0"/>
          <w:type w:val="continuous"/>
        </w:sectPr>
      </w:pPr>
    </w:p>
    <w:bookmarkStart w:id="2" w:name="page3"/>
    <w:bookmarkEnd w:id="2"/>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53"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8"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13" Type="http://schemas.openxmlformats.org/officeDocument/2006/relationships/hyperlink" Target="http://www.sec.gov/cgi-bin/browse-edgar?action=getcompany&amp;CIK=0001694780" TargetMode="External"/><Relationship Id="rId14" Type="http://schemas.openxmlformats.org/officeDocument/2006/relationships/hyperlink" Target="http://www.sec.gov/cgi-bin/browse-edgar?action=getcompany&amp;CIK=0001841968" TargetMode="External"/><Relationship Id="rId17" Type="http://schemas.openxmlformats.org/officeDocument/2006/relationships/hyperlink" Target="http://www.sec.gov/cgi-bin/browse-edgar?action=getcompany&amp;CIK=0001694574" TargetMode="External"/><Relationship Id="rId19" Type="http://schemas.openxmlformats.org/officeDocument/2006/relationships/hyperlink" Target="http://www.sec.gov/cgi-bin/browse-edgar?action=getcompany&amp;CIK=0001694507" TargetMode="External"/><Relationship Id="rId20" Type="http://schemas.openxmlformats.org/officeDocument/2006/relationships/hyperlink" Target="http://www.sec.gov/cgi-bin/browse-edgar?action=getcompany&amp;CIK=0001274195" TargetMode="External"/><Relationship Id="rId21" Type="http://schemas.openxmlformats.org/officeDocument/2006/relationships/hyperlink" Target="http://www.sec.gov/cgi-bin/browse-edgar?action=getcompany&amp;CIK=0001694778" TargetMode="External"/><Relationship Id="rId22" Type="http://schemas.openxmlformats.org/officeDocument/2006/relationships/hyperlink" Target="http://www.sec.gov/cgi-bin/browse-edgar?action=getcompany&amp;CIK=00016947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2024-09-17T18:55:26Z</dcterms:created>
  <dcterms:modified xsi:type="dcterms:W3CDTF">2024-09-17T18:55:26Z</dcterms:modified>
</cp:coreProperties>
</file>