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9, 2005</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333-123586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AMENDMENT NO. 1</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TO</w:t>
      </w:r>
    </w:p>
    <w:p>
      <w:pPr>
        <w:jc w:val="center"/>
        <w:spacing w:after="0" w:line="237" w:lineRule="auto"/>
        <w:rPr>
          <w:sz w:val="20"/>
          <w:szCs w:val="20"/>
          <w:color w:val="auto"/>
        </w:rPr>
      </w:pPr>
      <w:r>
        <w:rPr>
          <w:rFonts w:ascii="Arial" w:cs="Arial" w:eastAsia="Arial" w:hAnsi="Arial"/>
          <w:sz w:val="32"/>
          <w:szCs w:val="32"/>
          <w:b w:val="1"/>
          <w:bCs w:val="1"/>
          <w:color w:val="auto"/>
        </w:rPr>
        <w:t>FORM S-3</w:t>
      </w: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103505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7"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80" w:type="dxa"/>
            <w:vAlign w:val="bottom"/>
          </w:tcPr>
          <w:p>
            <w:pPr>
              <w:jc w:val="center"/>
              <w:ind w:right="2126"/>
              <w:spacing w:after="0"/>
              <w:rPr>
                <w:sz w:val="20"/>
                <w:szCs w:val="20"/>
                <w:color w:val="auto"/>
              </w:rPr>
            </w:pPr>
            <w:r>
              <w:rPr>
                <w:rFonts w:ascii="Arial" w:cs="Arial" w:eastAsia="Arial" w:hAnsi="Arial"/>
                <w:sz w:val="18"/>
                <w:szCs w:val="18"/>
                <w:b w:val="1"/>
                <w:bCs w:val="1"/>
                <w:color w:val="auto"/>
                <w:w w:val="88"/>
              </w:rPr>
              <w:t>Delaware</w:t>
            </w:r>
          </w:p>
        </w:tc>
        <w:tc>
          <w:tcPr>
            <w:tcW w:w="3260" w:type="dxa"/>
            <w:vAlign w:val="bottom"/>
          </w:tcPr>
          <w:p>
            <w:pPr>
              <w:jc w:val="center"/>
              <w:ind w:left="2106"/>
              <w:spacing w:after="0"/>
              <w:rPr>
                <w:sz w:val="20"/>
                <w:szCs w:val="20"/>
                <w:color w:val="auto"/>
              </w:rPr>
            </w:pPr>
            <w:r>
              <w:rPr>
                <w:rFonts w:ascii="Arial" w:cs="Arial" w:eastAsia="Arial" w:hAnsi="Arial"/>
                <w:sz w:val="18"/>
                <w:szCs w:val="18"/>
                <w:b w:val="1"/>
                <w:bCs w:val="1"/>
                <w:color w:val="auto"/>
                <w:w w:val="87"/>
              </w:rPr>
              <w:t>74-2961657</w:t>
            </w:r>
          </w:p>
        </w:tc>
      </w:tr>
      <w:tr>
        <w:trPr>
          <w:trHeight w:val="149"/>
        </w:trPr>
        <w:tc>
          <w:tcPr>
            <w:tcW w:w="3980" w:type="dxa"/>
            <w:vAlign w:val="bottom"/>
          </w:tcPr>
          <w:p>
            <w:pPr>
              <w:jc w:val="center"/>
              <w:ind w:right="21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260" w:type="dxa"/>
            <w:vAlign w:val="bottom"/>
          </w:tcPr>
          <w:p>
            <w:pPr>
              <w:jc w:val="center"/>
              <w:ind w:left="212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80" w:type="dxa"/>
            <w:vAlign w:val="bottom"/>
          </w:tcPr>
          <w:p>
            <w:pPr>
              <w:jc w:val="center"/>
              <w:ind w:right="2146"/>
              <w:spacing w:after="0"/>
              <w:rPr>
                <w:sz w:val="20"/>
                <w:szCs w:val="20"/>
                <w:color w:val="auto"/>
              </w:rPr>
            </w:pPr>
            <w:r>
              <w:rPr>
                <w:rFonts w:ascii="Arial" w:cs="Arial" w:eastAsia="Arial" w:hAnsi="Arial"/>
                <w:sz w:val="14"/>
                <w:szCs w:val="14"/>
                <w:b w:val="1"/>
                <w:bCs w:val="1"/>
                <w:color w:val="auto"/>
                <w:w w:val="88"/>
              </w:rPr>
              <w:t>incorporation or organization)</w:t>
            </w:r>
          </w:p>
        </w:tc>
        <w:tc>
          <w:tcPr>
            <w:tcW w:w="3260" w:type="dxa"/>
            <w:vAlign w:val="bottom"/>
          </w:tcPr>
          <w:p>
            <w:pPr>
              <w:jc w:val="center"/>
              <w:ind w:left="2126"/>
              <w:spacing w:after="0"/>
              <w:rPr>
                <w:sz w:val="20"/>
                <w:szCs w:val="20"/>
                <w:color w:val="auto"/>
              </w:rPr>
            </w:pPr>
            <w:r>
              <w:rPr>
                <w:rFonts w:ascii="Arial" w:cs="Arial" w:eastAsia="Arial" w:hAnsi="Arial"/>
                <w:sz w:val="14"/>
                <w:szCs w:val="14"/>
                <w:b w:val="1"/>
                <w:bCs w:val="1"/>
                <w:color w:val="auto"/>
                <w:w w:val="89"/>
              </w:rPr>
              <w:t>Identification No.)</w:t>
            </w: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Pinkerton, III</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2128 W. Braker Lane, BK12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78758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(512) 836-6464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 Matthew Lyons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Andrews Kurth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 Congress Avenue, Suite 1700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Austin, Texas 78701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(512) 320-9200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(512) 320-9292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ind w:right="480" w:firstLine="456"/>
        <w:spacing w:after="0" w:line="274"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in light of market conditions and other factors.</w:t>
      </w:r>
    </w:p>
    <w:p>
      <w:pPr>
        <w:spacing w:after="0" w:line="1"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132" w:lineRule="exact"/>
        <w:rPr>
          <w:sz w:val="24"/>
          <w:szCs w:val="24"/>
          <w:color w:val="auto"/>
        </w:rPr>
      </w:pPr>
    </w:p>
    <w:p>
      <w:pPr>
        <w:ind w:right="340"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41" w:lineRule="exact"/>
        <w:rPr>
          <w:sz w:val="24"/>
          <w:szCs w:val="24"/>
          <w:color w:val="auto"/>
        </w:rPr>
      </w:pPr>
    </w:p>
    <w:p>
      <w:pPr>
        <w:ind w:right="4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43" w:lineRule="exact"/>
        <w:rPr>
          <w:sz w:val="24"/>
          <w:szCs w:val="24"/>
          <w:color w:val="auto"/>
        </w:rPr>
      </w:pPr>
    </w:p>
    <w:p>
      <w:pPr>
        <w:ind w:right="52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143510</wp:posOffset>
            </wp:positionV>
            <wp:extent cx="1243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0" w:lineRule="exact"/>
        <w:rPr>
          <w:sz w:val="24"/>
          <w:szCs w:val="24"/>
          <w:color w:val="auto"/>
        </w:rPr>
      </w:pPr>
    </w:p>
    <w:p>
      <w:pPr>
        <w:jc w:val="both"/>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We may not sell these securities until the registration statement filed with the Securities and Exchange Commission is effective. This prospectus is not an offer to sell these securities and it is not a solicitation of an offer to buy these securities in any state where the offer or sale is not permitted.</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Subject to completion, dated May 9,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7,090,863 Shares</w:t>
      </w:r>
    </w:p>
    <w:p>
      <w:pPr>
        <w:spacing w:after="0" w:line="29"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Common Stock</w:t>
      </w:r>
    </w:p>
    <w:p>
      <w:pPr>
        <w:jc w:val="center"/>
        <w:ind w:right="-59"/>
        <w:spacing w:after="0"/>
        <w:rPr>
          <w:sz w:val="20"/>
          <w:szCs w:val="20"/>
          <w:color w:val="auto"/>
        </w:rPr>
      </w:pPr>
      <w:r>
        <w:rPr>
          <w:rFonts w:ascii="Arial" w:cs="Arial" w:eastAsia="Arial" w:hAnsi="Arial"/>
          <w:sz w:val="32"/>
          <w:szCs w:val="32"/>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163830</wp:posOffset>
            </wp:positionV>
            <wp:extent cx="15347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prospectus relates solely to the resale of up to an aggregate of 7,090,863 shares of Active Power, Inc. common stock, comprised of 5,454,510 shares that we sold to certain of the selling stockholders listed on page 13 of this prospectus in a private placement that closed on February 4, 2005 and 1,636,353 shares that may be issued to the selling stockholders only if and when they exercise their additional investment rights to acquire these shares within 180 days following the effective date of the registration statement of which this prospectus is a part.</w:t>
      </w:r>
    </w:p>
    <w:p>
      <w:pPr>
        <w:spacing w:after="0" w:line="9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selling stockholders may sell the shares of common stock at various times and in various types of transactions, including sales in the open market, sales in negotiated transactions and sales by a combination of these methods. Shares may be sold at the market price of the common stock at the time of a sale, at prices relating to the market price over a period of time, or at prices negotiated with the buyers of shares. The selling stockholders will pay all brokerage fees and commissions and similar sale-related expenses. We are paying expenses relating to the registration of the shares with the Securities and Exchange Commission.</w:t>
      </w:r>
    </w:p>
    <w:p>
      <w:pPr>
        <w:spacing w:after="0" w:line="8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common stock is quoted on the Nasdaq National Market under the symbol “ACPW.” On May 5, 2005, the closing price of our common stock as reported by Nasdaq was $2.96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149225</wp:posOffset>
            </wp:positionV>
            <wp:extent cx="15347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You should carefully review and consider the information under the headings “Special Note Regarding Forward-Looking Statements” on page 1 and “Risk Factors” beginning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145415</wp:posOffset>
            </wp:positionV>
            <wp:extent cx="15347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whether this prospectus is truthful or complete. Any representation to the contrary is a criminal offense.</w:t>
      </w:r>
    </w:p>
    <w:p>
      <w:pPr>
        <w:spacing w:after="0" w:line="67" w:lineRule="exact"/>
        <w:rPr>
          <w:sz w:val="20"/>
          <w:szCs w:val="20"/>
          <w:color w:val="auto"/>
        </w:rPr>
      </w:pPr>
    </w:p>
    <w:p>
      <w:pPr>
        <w:jc w:val="center"/>
        <w:ind w:right="-79"/>
        <w:spacing w:after="0"/>
        <w:tabs>
          <w:tab w:leader="none" w:pos="200" w:val="left"/>
        </w:tabs>
        <w:rPr>
          <w:sz w:val="20"/>
          <w:szCs w:val="20"/>
          <w:color w:val="auto"/>
        </w:rPr>
      </w:pPr>
      <w:r>
        <w:rPr>
          <w:rFonts w:ascii="Arial" w:cs="Arial" w:eastAsia="Arial" w:hAnsi="Arial"/>
          <w:sz w:val="18"/>
          <w:szCs w:val="18"/>
          <w:color w:val="auto"/>
        </w:rPr>
        <w:t>The date of this prospectus is</w:t>
      </w:r>
      <w:r>
        <w:rPr>
          <w:sz w:val="20"/>
          <w:szCs w:val="20"/>
          <w:color w:val="auto"/>
        </w:rPr>
        <w:tab/>
      </w:r>
      <w:r>
        <w:rPr>
          <w:rFonts w:ascii="Arial" w:cs="Arial" w:eastAsia="Arial" w:hAnsi="Arial"/>
          <w:sz w:val="16"/>
          <w:szCs w:val="16"/>
          <w:color w:val="auto"/>
        </w:rPr>
        <w:t>, 2005.</w:t>
      </w:r>
    </w:p>
    <w:p>
      <w:pPr>
        <w:sectPr>
          <w:pgSz w:w="11900" w:h="16838" w:orient="portrait"/>
          <w:cols w:equalWidth="0" w:num="1">
            <w:col w:w="11360"/>
          </w:cols>
          <w:pgMar w:left="240" w:top="459"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680" w:type="dxa"/>
            <w:vAlign w:val="bottom"/>
            <w:gridSpan w:val="2"/>
          </w:tcPr>
          <w:p>
            <w:pPr>
              <w:jc w:val="right"/>
              <w:ind w:right="4760"/>
              <w:spacing w:after="0"/>
              <w:rPr>
                <w:sz w:val="20"/>
                <w:szCs w:val="20"/>
                <w:color w:val="auto"/>
              </w:rPr>
            </w:pPr>
            <w:r>
              <w:rPr>
                <w:rFonts w:ascii="Arial" w:cs="Arial" w:eastAsia="Arial" w:hAnsi="Arial"/>
                <w:sz w:val="18"/>
                <w:szCs w:val="18"/>
                <w:b w:val="1"/>
                <w:bCs w:val="1"/>
                <w:color w:val="auto"/>
                <w:w w:val="97"/>
              </w:rPr>
              <w:t>TABLE OF CONTENTS</w:t>
            </w:r>
          </w:p>
        </w:tc>
      </w:tr>
      <w:tr>
        <w:trPr>
          <w:trHeight w:val="326"/>
        </w:trPr>
        <w:tc>
          <w:tcPr>
            <w:tcW w:w="380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Special Note Regarding Forward-Looking Statements</w:t>
              </w:r>
            </w:hyperlink>
          </w:p>
        </w:tc>
        <w:tc>
          <w:tcPr>
            <w:tcW w:w="940" w:type="dxa"/>
            <w:vAlign w:val="bottom"/>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500" w:type="dxa"/>
            <w:vAlign w:val="bottom"/>
            <w:tcBorders>
              <w:bottom w:val="single" w:sz="8" w:color="0000EE"/>
            </w:tcBorders>
            <w:gridSpan w:val="8"/>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Prospectus Summary</w:t>
              </w:r>
            </w:hyperlink>
          </w:p>
        </w:tc>
        <w:tc>
          <w:tcPr>
            <w:tcW w:w="3240" w:type="dxa"/>
            <w:vAlign w:val="bottom"/>
            <w:gridSpan w:val="3"/>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9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Risk Factors</w:t>
              </w:r>
            </w:hyperlink>
          </w:p>
        </w:tc>
        <w:tc>
          <w:tcPr>
            <w:tcW w:w="3840" w:type="dxa"/>
            <w:vAlign w:val="bottom"/>
            <w:gridSpan w:val="9"/>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Use of Proceeds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Registration Rights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Selling Stockholders</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1460" w:type="dxa"/>
            <w:vAlign w:val="bottom"/>
            <w:tcBorders>
              <w:top w:val="single" w:sz="8" w:color="0000EE"/>
            </w:tcBorders>
            <w:gridSpan w:val="7"/>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Plan of Distribution</w:t>
              </w:r>
            </w:hyperlink>
          </w:p>
        </w:tc>
        <w:tc>
          <w:tcPr>
            <w:tcW w:w="3280" w:type="dxa"/>
            <w:vAlign w:val="bottom"/>
            <w:gridSpan w:val="4"/>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304"/>
        </w:trPr>
        <w:tc>
          <w:tcPr>
            <w:tcW w:w="1400" w:type="dxa"/>
            <w:vAlign w:val="bottom"/>
            <w:tcBorders>
              <w:top w:val="single" w:sz="8" w:color="0000EE"/>
            </w:tcBorders>
            <w:gridSpan w:val="6"/>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Matters</w:t>
              </w:r>
            </w:hyperlink>
          </w:p>
        </w:tc>
        <w:tc>
          <w:tcPr>
            <w:tcW w:w="3340" w:type="dxa"/>
            <w:vAlign w:val="bottom"/>
            <w:gridSpan w:val="5"/>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980" w:type="dxa"/>
            <w:vAlign w:val="bottom"/>
            <w:tcBorders>
              <w:top w:val="single" w:sz="8" w:color="0000EE"/>
            </w:tcBorders>
            <w:gridSpan w:val="3"/>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Experts</w:t>
              </w:r>
            </w:hyperlink>
          </w:p>
        </w:tc>
        <w:tc>
          <w:tcPr>
            <w:tcW w:w="3760" w:type="dxa"/>
            <w:vAlign w:val="bottom"/>
            <w:gridSpan w:val="8"/>
          </w:tcPr>
          <w:p>
            <w:pPr>
              <w:spacing w:after="0"/>
              <w:rPr>
                <w:sz w:val="24"/>
                <w:szCs w:val="24"/>
                <w:color w:val="auto"/>
              </w:rPr>
            </w:pPr>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304"/>
        </w:trPr>
        <w:tc>
          <w:tcPr>
            <w:tcW w:w="4740" w:type="dxa"/>
            <w:vAlign w:val="bottom"/>
            <w:gridSpan w:val="11"/>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Where You Can Find More Information</w:t>
              </w:r>
            </w:hyperlink>
          </w:p>
        </w:tc>
        <w:tc>
          <w:tcPr>
            <w:tcW w:w="668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300" w:type="dxa"/>
            <w:vAlign w:val="bottom"/>
            <w:tcBorders>
              <w:top w:val="single" w:sz="8" w:color="0000EE"/>
            </w:tcBorders>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720" w:type="dxa"/>
            <w:vAlign w:val="bottom"/>
          </w:tcPr>
          <w:p>
            <w:pPr>
              <w:spacing w:after="0"/>
              <w:rPr>
                <w:sz w:val="24"/>
                <w:szCs w:val="24"/>
                <w:color w:val="auto"/>
              </w:rPr>
            </w:pPr>
          </w:p>
        </w:tc>
      </w:tr>
    </w:tbl>
    <w:p>
      <w:pPr>
        <w:spacing w:after="0" w:line="248"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color w:val="auto"/>
        </w:rPr>
        <w:t>You should rely only on the information contained in this prospectus, any prospectus supplement and the documents we have incorporated by reference. We have not authorized anyone else to give you different information. These securities are not being offered in any state or other jurisdiction that does not permit the offer. We will disclose any material changes in our affairs in an amendment to this prospectus, a prospectus supplement or a future filing with the SEC incorporated by reference in this prospectus.</w:t>
      </w:r>
    </w:p>
    <w:p>
      <w:pPr>
        <w:spacing w:after="0" w:line="13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 this prospectus, “Active Power,” “we,” “us” and “our” refer to Active Power, Inc.</w:t>
      </w:r>
    </w:p>
    <w:p>
      <w:pPr>
        <w:spacing w:after="0" w:line="15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This prospectus, any accompanying prospectus supplement and the documents we have incorporated by reference contain forward-looking statements as defined in the Private Securities Litigation Reform Act of 1995. We rely on the safe harbor of the act in making such disclosures. All statements other than historical or current facts, including, without limitation, statements about our business strategy, plans and objectives of management and our future prospects, are forward-looking statements. Although we believe that the expectations reflected in such forward-looking statements are reasonable, such forward-looking statements are subject to risks and uncertainties that could cause actual results to differ materially from these expectations. Such risks and uncertainties include, without limitation, the following:</w:t>
      </w:r>
    </w:p>
    <w:p>
      <w:pPr>
        <w:spacing w:after="0" w:line="50"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strategic relationships with third parties;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demand for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growth and future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in our markets;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expansion of our product offerings and sales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customer benefits attributable to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technologies and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industry trends;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future economic, business and regulatory conditions.</w:t>
      </w:r>
    </w:p>
    <w:p>
      <w:pPr>
        <w:spacing w:after="0" w:line="18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You can identify these statements by forward-looking words such as “may,” “will,” “expect,” “intend,” “anticipate,” “believe,” “estimate,” “continue” and other similar words. You should read statements that contain these words carefully because they discuss our future expectations, make projections of our future results of operations or financial condition, or state other “forward-looking” information. We believe that it is important to communicate our future expectations to our investors. However, there may be events in the future that we are not able to accurately predict or control. The factors listed in the section captioned “Risk Factors” in this prospectus as well as any cautionary language in this prospectus, provide examples of risks, uncertainties and events that may cause our actual results to differ materially from the expectations we described in our forward-looking statements.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6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or incorporated by reference in this prospectus. It may not contain all of the information that is important to you. You should carefully read the entire prospectus and the documents incorporated by reference in this prospectus before deciding whether to invest in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Active Power, Inc.</w:t>
      </w:r>
    </w:p>
    <w:p>
      <w:pPr>
        <w:spacing w:after="0" w:line="8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Our first commercial product was a battery-free DC system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DC) that is used as a bridging energy source in typical power quality installations and is compatible with all major uninterruptible power supply (UPS) brands. Leveraging our expertise in this technology, we have also developed a battery-free UPS system that incorporates our flywheel technology. This system is marketed by Caterpillar Inc., the leading maker of engine generators for the power reliability market, under the Caterpillar brand name “Cat</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and by Active Power as the CleanSource</w:t>
      </w:r>
      <w:r>
        <w:rPr>
          <w:rFonts w:ascii="Arial" w:cs="Arial" w:eastAsia="Arial" w:hAnsi="Arial"/>
          <w:sz w:val="16"/>
          <w:szCs w:val="16"/>
          <w:color w:val="auto"/>
          <w:vertAlign w:val="superscript"/>
        </w:rPr>
        <w:t>®</w:t>
      </w:r>
      <w:r>
        <w:rPr>
          <w:rFonts w:ascii="Arial" w:cs="Arial" w:eastAsia="Arial" w:hAnsi="Arial"/>
          <w:sz w:val="16"/>
          <w:szCs w:val="16"/>
          <w:color w:val="auto"/>
        </w:rPr>
        <w:t xml:space="preserve"> UPS. In 2003 and 2004, we broadened our product offerings and expanded our available market by developing additional power quality systems to address customer needs at both higher and lower power levels. Our family of battery-free UPS products currently ranges from 65 kVA – 1200 kVA. By paralleling our 1200 kVA UPS systems together, we can provide up to a 3600 kVA battery-free UPS system to customers.</w:t>
      </w:r>
    </w:p>
    <w:p>
      <w:pPr>
        <w:spacing w:after="0" w:line="105"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were founded as a Texas corporation in 1992. We began our efforts to develop a flywheel energy storage product for the power quality market in 1996 and subsequently changed our name from Magnetic Bearing Technologies, Inc. to Active Power, Inc. We re-incorporated in Delaware in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Offering</w:t>
      </w:r>
    </w:p>
    <w:p>
      <w:pPr>
        <w:spacing w:after="0" w:line="83" w:lineRule="exact"/>
        <w:rPr>
          <w:sz w:val="20"/>
          <w:szCs w:val="20"/>
          <w:color w:val="auto"/>
        </w:rPr>
      </w:pPr>
    </w:p>
    <w:p>
      <w:pPr>
        <w:ind w:right="100" w:firstLine="456"/>
        <w:spacing w:after="0" w:line="307" w:lineRule="auto"/>
        <w:rPr>
          <w:sz w:val="20"/>
          <w:szCs w:val="20"/>
          <w:color w:val="auto"/>
        </w:rPr>
      </w:pPr>
      <w:r>
        <w:rPr>
          <w:rFonts w:ascii="Arial" w:cs="Arial" w:eastAsia="Arial" w:hAnsi="Arial"/>
          <w:sz w:val="15"/>
          <w:szCs w:val="15"/>
          <w:color w:val="auto"/>
        </w:rPr>
        <w:t>We have filed with the SEC a registration statement on Form S-3 under the Securities Act of 1933, as amended (the “Securities Act”), with respect to the securities offered under this prospectus. This prospectus relates to an aggregate amount of up to 7,090,863 shares of our common stock that may be offered for sale by the selling stockholders which includes 1,636,353 shares that may be issued to the selling stockholders upon the exercise of their additional investment rights within 180 days after the effective date of the registration statement of which this prospectus is a part. We are registering the shares of common stock covered by this prospectus to fulfill our contractual obligations under a registration rights agreement with the selling stockholders. We have agreed to bear the expenses of the registration of the shares of common stock under federal and state securities laws, but we will not receive any proceeds from the sale of any shares of common stock offered under this prospectus. The selling stockholders may sell these shares of common stock directly to purchasers or they may sell these shares of common stock to purchasers through agents or dealers pursuant to this prospectus. The selling stockholders will receive all of the proceeds from the sale of their common stock and will pay all selling commissions and transfer taxes applicable to any sale. Registration of these shares of common stock does not necessarily mean that the selling stockholders will actually sell these shares of common stock. You should read both this prospectus and any prospectus supplement together with additional information described under the heading “Where You Can Find More Information” beginning on page 18 of this prospectus.</w:t>
      </w:r>
    </w:p>
    <w:p>
      <w:pPr>
        <w:spacing w:after="0" w:line="98"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principal executive offices are located at 2128 W. Braker Lane, BK12, Austin, Texas 78758. Our telephone number is (512) 836-6464. Our website is www.activepower.com. The information found on our website and on websites linked to it are not incorporated into or a part of this prospectus.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In addition to the other information in this prospectus and the information incorporated by reference herein, you should carefully consider the risks described below before purchasing our common stock. If any of the following risks occur, our business could be materially harmed, and our financial condition and results of operations could be materially and adversely affected. As a result, the price of our common stock could decline, and you could lose all or part of your investment. These risk factors are dated as of the date of this prospectus. You should also read the risk factors we include in our reports we file with the Securities and Exchange Commission after the date hereof that are incorporated by reference in this prospectus from the date of filing of the reports. Please see “Where You Can Find More Information” beginning on page 18 of this prospectus for more information on these reports.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8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operating results have varied significantly from quarter to quarter at times in the past and may continue to vary significantly from quarter to quarter due to a variety of factors. Many of these factors are outside of our control. These factors include:</w:t>
      </w:r>
    </w:p>
    <w:p>
      <w:pPr>
        <w:spacing w:after="0" w:line="37"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of adoption of our flywheel-based energy storage system as an alternative to lead-acid batteries;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103"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uncertainty regarding the adoption of our current and future products, including the CleanSource UPS and CleanSource DC products, as well as our other products that are currently under development, including the CleanSource XR;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103" w:lineRule="exact"/>
        <w:rPr>
          <w:rFonts w:ascii="Arial" w:cs="Arial" w:eastAsia="Arial" w:hAnsi="Arial"/>
          <w:sz w:val="18"/>
          <w:szCs w:val="18"/>
          <w:color w:val="auto"/>
        </w:rPr>
      </w:pPr>
    </w:p>
    <w:p>
      <w:pPr>
        <w:ind w:left="900" w:right="520" w:hanging="446"/>
        <w:spacing w:after="0" w:line="325"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changes in the cost of routine business activities, e.g. the increasing cost of director and officer liability insurance premiums, increasing health insurance premiums, or costs associated with compliance of the requirements of Section 404 of the Sarbanes-Oxley Act of 2002;</w:t>
      </w:r>
    </w:p>
    <w:p>
      <w:pPr>
        <w:spacing w:after="0" w:line="1" w:lineRule="exact"/>
        <w:rPr>
          <w:rFonts w:ascii="Arial" w:cs="Arial" w:eastAsia="Arial" w:hAnsi="Arial"/>
          <w:sz w:val="16"/>
          <w:szCs w:val="16"/>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generally accepted accounting principles in the United States;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0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derive a significant portion of our revenues from relatively large transactions. The sales cycle for these large transactions tend to be longer than the sales cycle on smaller orders. The longer sales cycle for large transactions makes it difficult to predict the quarter in which these sales will occur. Accordingly, our operating results may fluctuate from quarter to quarter based on the existence and timing of larger transactions. A reduction in large transactions, or a delay in closing of such a sales transaction could materially impact our revenue in a particular quarter.</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revenue growth and profitability depend on the overall demand for our products and services, which in turn depends on general business and economic conditions as well as acceptance of our products. A softening of demand for our products and services caused by a weakening of the economy may result in decreased revenues or lower growth rates. There can be no assurance that we will able to effectively promote growth rates in all economic conditions. The market for power quality products is evolving and difficult to predict its potential size or future growth rate. Most of the organizations that may purchase our products have invested substantial resources in their existing power systems and, as a result, have been reluctant or slow to adopt a new approach, particularly during a period of reduced capital expenditures. Moreover, our current products are alternatives to existing UPS and battery-based systems and may never be accepted by our customers or may be made obsolete by other advances in power quality technologies.</w:t>
      </w:r>
    </w:p>
    <w:p>
      <w:pPr>
        <w:spacing w:after="0" w:line="10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revenues. Therefore, if our revenues are below our expectations, our operating results are likely to be adversely and disproportionately affected. In addition, we may change our prices, modify our distribution strategy and policies, accelerate our investment in research and development, sales or marketing efforts in response to competitive pressures or to pursue new market opportunities. Any one of these activities may further limit our ability to adjust spending in response to revenue fluctuations. We use forecasted revenues to establish our expense budget. Because most of our expenses are fixed in the short term or incurred in advance of anticipated revenue, any shortfall in revenues may result in significant losses.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operate without a significant backlog.</w:t>
      </w:r>
    </w:p>
    <w:p>
      <w:pPr>
        <w:spacing w:after="0" w:line="8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We generally operate our business without any significant backlog of orders from customers. Normally our products are shipped and revenue is recognized shortly after the order is received. This lack of backlog makes revenue in any quarter substantially dependent on orders booked and shipped throughout that quarter.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8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business has, on occasion, experienced seasonal customer buying patterns. In recent years, we have generally experienced relatively weaker demand in the first calendar quarter of the year. We believe that this pattern will continue. In addition, we anticipate that demand for our products in Europe and Africa may decline in the summer months, as compared to other regions, because of reduced corporate buying patterns during the vacation season.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losses and anticipate losses for at least the next several quarters.</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incurred operating losses since our inception and expect to continue to incur losses for at least the next several quarters. As of March 31, 2005, we had an accumulated deficit of $163.1 million. To date, we have funded our operations principally through the sale of our stock, product revenue and $10.0 million in development funding payments from Caterpillar. We have generated a total of $66.0 million in revenues from inception through March 31, 2005. We are uncertain whether our products will achieve market acceptance such that our revenue will increase or whether we will be able to achieve significant revenue. We will need to generate significant additional revenue to achieve profitability, and we cannot assure you that we will ever realize sufficient additional revenue to achieve profitability. We also expect to incur product development, sales and marketing and administrative expenses significantly in excess of our revenue after costs, and, as a result, we expect to continue to incur losses for the next several quarters.</w:t>
      </w:r>
    </w:p>
    <w:p>
      <w:pPr>
        <w:spacing w:after="0" w:line="99"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We are heavily dependent on our relationship with Caterpillar, our primary OEM customer. If this relationship is unsuccessful, for whatever reason, our business and financial prospects would likely suffer.</w:t>
      </w:r>
    </w:p>
    <w:p>
      <w:pPr>
        <w:spacing w:after="0" w:line="31"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Caterpillar and its dealer network are the primary OEM customer for our flywheel based products. During 2004, 2003 and 2002, Caterpillar and its dealer network accounted for 54%, 60% and 81% of our revenue, respectively. In the first quarter of 2005 Caterpillar and its dealer network accounted for 51% of our revenue. If our relationship with Caterpillar is not successful, or if Caterpillar’s distribution of the Cat UPS product is not successful, our business and financial prospects would likely suffer. Pursuant to our distribution agreement with Caterpillar, they are the exclusive OEM distributor, subject to limited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exceptions, of our CleanSource UPS product. Caterpillar is not obligated to purchase any CleanSource UPS units. Pursuant to our development agreements Caterpillar has provided us with $10.0 million in funding to support the development of the Cat UPS product line and other development efforts. In exchange for these payments, Caterpillar received co-ownership of the proprietary rights in this product. Either Caterpillar or Active Power may license to others the intellectual property that we jointly own without seeking the consent of the other, and the licensing party will solely retain all licensing revenue generated by licensing this intellectual property. However, we may not license the joint intellectual property to specifically identified competitors of Caterpillar until January 1, 2007. Caterpillar may terminate this agreement at any time by giving us 90 days advance written notice</w:t>
      </w:r>
    </w:p>
    <w:p>
      <w:pPr>
        <w:spacing w:after="0" w:line="101"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There is a substantial amount of product held as inventory by several of our OEM customers. If these OEMs fill their orders from existing stock instead of our factory, our revenue will suffer.</w:t>
      </w:r>
    </w:p>
    <w:p>
      <w:pPr>
        <w:spacing w:after="0" w:line="3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Several OEMs purchased a substantial number of our CleanSource DC and UPS systems during 2001, many of which have remained in those OEMs’ inventories rather than being sold to end-user customers. During 2004, OEM stocking levels declined by approximately $4.2 million, or 48%. They declined by a further $840,000, or 21%, during the three months ended March 31, 2005. As our OEMs fill some of their orders with their existing inventory stock, as opposed to placing orders with Active Power, our revenue may suffer for the next few fiscal quarters.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international sales and operations.</w:t>
      </w:r>
    </w:p>
    <w:p>
      <w:pPr>
        <w:spacing w:after="0" w:line="8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anticipate that for the foreseeable future, we will derive a significant portion of our revenues from outside North America. In the three months ended March 31, 2005, we derived 38% of our total revenues from sales to international customers. Revenue from international sales were 50%, 48% and 37% of revenue for the years ended December 31, 2004, 2003, and 2002, respectively. Our international operations are generally subject to a number of risks. These include:</w:t>
      </w:r>
    </w:p>
    <w:p>
      <w:pPr>
        <w:spacing w:after="0" w:line="4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Northern Africa;</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and in accounts receivable collection and longer collection periods;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increases sales in foreign markets, we are making more sales that are denominated in other currencies, primarily euros. Those sales in currencies other than U.S. dollars can result in translation gains and losses. Currently we de not engage in hedging activities for our international operations. However, we may engage in hedging activities in the future.</w:t>
      </w:r>
    </w:p>
    <w:p>
      <w:pPr>
        <w:spacing w:after="0" w:line="102"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may expand or modify our operations internationally. Despite our efforts, we may not be able to expand or modify our operations internationally in a timely or cost-effective manner. Such an outcome may limit or eliminate any sales growth internationally, which in turn, could materially adversely affect our business, operating results and financial condition. Even if we successfully expand or modify our international operations, we may be unable to maintain or increase international market demand for our products.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relating to product concentration and lack of revenue diversification.</w:t>
      </w:r>
    </w:p>
    <w:p>
      <w:pPr>
        <w:spacing w:after="0" w:line="8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derive a substantial portion of our revenues from a limited number of products, and we expect these products to continue to account for a large percentage of our revenues in the near term. Continued market acceptance of these products, is therefore, critical to our future success. Our future success will also depend on our ability to reduce our dependence on these few products by developing and introducing to the market new products and product enhancements in a timely manner. Specifically, our ability to capture significant market share depends on our ability to develop and market extensions to our existing UPS product line at higher and lower power range offerings, and on our ability to develop and market our extended runtime products, such as the CleanSource XR. Even if we are able to develop and commercially introduce new products and enhancements, they may not achieve market acceptance, which would substantially impair our revenue, profitability and overall financial prospects. Successful product development and market acceptance of our existing and future products depend on a number of factors including:</w:t>
      </w:r>
    </w:p>
    <w:p>
      <w:pPr>
        <w:spacing w:after="0" w:line="24"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changing requirements of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accurate prediction of market and technical requirements;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completion and introduction of new designs;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quality, price and performance of our products;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quality, price and performance of competing products and technologies;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customer service and support capabilities and responsiveness;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successful development of our relationships with existing and potential customers;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technology, industry standards or end-user preferences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underutilized manufacturing capacity and have no experience manufacturing our products in large quantities.</w:t>
      </w:r>
    </w:p>
    <w:p>
      <w:pPr>
        <w:spacing w:after="0" w:line="83"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In 2001, we completed a 127,000 square foot facility used for manufacturing and testing of our three-phase product line, including our DC and UPS products. To be financially successful, and to fully utilize the capacity of this facility and allocate its associated overhead, we must achieve significantly higher sales volumes. We must accomplish this while also preserving the quality levels we achieved when manufacturing these products in more limited quantities. To date, we have not been successful at increasing our sales volume to a level that fully utilizes the capacity of the facility and we may never increase our sales volume to necessary levels. We do intend to manufacture and test our CleanSource XR product in this facility, which will help increase the utilization of our facility. If we do not reach these necessary sales volume levels, or if we cannot sell our products at our suggested prices, our ability to reach profitability will be materially limited.</w:t>
      </w:r>
    </w:p>
    <w:p>
      <w:pPr>
        <w:spacing w:after="0" w:line="13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Achieving the necessary production levels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component manufacturing.</w:t>
      </w:r>
    </w:p>
    <w:p>
      <w:pPr>
        <w:spacing w:after="0" w:line="83"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 volume customers will</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receive priority that may result in delays in our acquiring components. If we are delayed in acquiring components for our products, the manufacture and shipment of our products also will be delayed. We are, however, continuing to enter into long-term agreements with our sole suppliers and other key suppliers, when available, using a rolling sales volume forecast to stabilize component availability.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also result in delays or be required to absorb price increases. Manufacturing delays could negatively impact our ability to sell our products and could damage our customer relationships.</w:t>
      </w:r>
    </w:p>
    <w:p>
      <w:pPr>
        <w:spacing w:after="0" w:line="109"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 assure the availability of our products to our customers, we outsource the manufacturing of selected components prior to the receipt of purchase orders from customers based on their forecasts of their product needs and internal product sales revenue forecasts. However, these forecasts do not represent binding purchase commitments and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from time to time make design changes to our products, which could lead to obsolescence of inventory.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build quality products to ensure acceptance of our products.</w:t>
      </w:r>
    </w:p>
    <w:p>
      <w:pPr>
        <w:spacing w:after="0" w:line="83"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markets’ perception of our products and related acceptance of the products is highly dependent upon the quality and reliability of the products that we build. Any quality problems attributable to the CleanSource DC, CleanSource UPS or CleanSource XR product lines may substantially impair our revenue prospects. Moreover, quality problems for our product lines could cause us to delay or cease shipments of products or have to recall products, this adversely affecting our ability to meet revenue or cost targets. In addition, while we seek to limit our liability as a result of product failure or defects through warranty and other limitations, if one of our products fails, a customer could suffer a significant loss and seek to hold us responsible for that loss.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Failure to expand our distribution channels and manage our existing and new product distribution relationships could impede our future growth.</w:t>
      </w:r>
    </w:p>
    <w:p>
      <w:pPr>
        <w:spacing w:after="0" w:line="10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future growth of our business will depend in part on our ability to expand our existing relationships with distributors, to identify and develop additional channels for the distribution and sale of our products and to manage these relationships. As part of our growth strategy, we may expand our relationships with distributors and develop relationships with new distributors. We will also look to identify and develop new relationships with additional parties that could serve as an outlet for our products, including CleanSource XR. For example, we recently broadened our sales and distribution channel by offering our products through manufacturer’s representatives throughout North America and internationally. We also recently entered into a long term supply agreement with GE Zenith Controls to source UPS systems from them that we intend to sell along side our CleanSource XR product. Our inability to successfully execute this strategy, and to integrate and manage our existing OEM channel partners, Caterpillar and Eaton Power Quality, and our new manufacturer’s representatives could impede our future growth.</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continue to hire and retain skilled personnel.</w:t>
      </w:r>
    </w:p>
    <w:p>
      <w:pPr>
        <w:spacing w:after="0" w:line="83"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in the power quality marketplace. A decline in our stock price has resulted in a</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substantial number of “underwater” stock options, whereby the exercise price of the option is greater than the current market value of our common stock. As a result, the financial attractiveness of the stock options is substantially diminished, which may cause certain of our employees to seek employment elsewhere as a result of this decreased financial incentive, or impair our ability to recruit new employees. Our efforts to attract and retain highly skilled employees could be harmed by our past or any future workforce reductions. Our failure to attract and retain the highly trained technical personnel who are essential to our product development, marketing, sales, service and support teams may limit the rate at which we can develop new products or generate revenues. If we are unable to retain the personnel we currently employ, or if we are unable to quickly replace departing employees, our operations and new product development may suffer.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high-speed composite flywheels, ultra capacitors and superconducting magnetic energy storage.</w:t>
      </w:r>
    </w:p>
    <w:p>
      <w:pPr>
        <w:spacing w:after="0" w:line="10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significantly greater financial, technical, marketing and other resources, broader name recognition and a larger installed base of customers.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unable to protect our intellectual property and proprietary rights.</w:t>
      </w:r>
    </w:p>
    <w:p>
      <w:pPr>
        <w:spacing w:after="0" w:line="83" w:lineRule="exact"/>
        <w:rPr>
          <w:sz w:val="20"/>
          <w:szCs w:val="20"/>
          <w:color w:val="auto"/>
        </w:rPr>
      </w:pPr>
    </w:p>
    <w:p>
      <w:pPr>
        <w:ind w:right="140" w:firstLine="456"/>
        <w:spacing w:after="0" w:line="310" w:lineRule="auto"/>
        <w:rPr>
          <w:sz w:val="20"/>
          <w:szCs w:val="20"/>
          <w:color w:val="auto"/>
        </w:rPr>
      </w:pPr>
      <w:r>
        <w:rPr>
          <w:rFonts w:ascii="Arial" w:cs="Arial" w:eastAsia="Arial" w:hAnsi="Arial"/>
          <w:sz w:val="15"/>
          <w:szCs w:val="15"/>
          <w:color w:val="auto"/>
        </w:rPr>
        <w:t>Our success depends to a significant degree upon our ability to protect our proprietary technology, and we expect that future technological advancements made by us will be critical to sustain market acceptance of our products.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 preclude competitors from independently developing products with functionality or features similar to those of our products.</w:t>
      </w:r>
    </w:p>
    <w:p>
      <w:pPr>
        <w:spacing w:after="0" w:line="9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In recent years, there has been significant litigation in the United States involving patents, trademarks and other intellectual property rights.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merits or its outcome, would likely be time consuming and expensive to resolve and would divert management’s time and attention. Any potential intellectual property litigation also could force us to take specific actions, including: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cease selling our products that use the challenged intellectual property;</w:t>
      </w:r>
    </w:p>
    <w:p>
      <w:pPr>
        <w:spacing w:after="0" w:line="103"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obtain from the owner of the infringed intellectual property right a license to sell or use the relevant technology or trademark, which license may not be available on reasonable terms, or at all; or</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redesign those products that use infringing intellectual property or cease to use an infringing trademark.</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require substantial additional funds in the future to finance our product development and commercialization plans.</w:t>
      </w:r>
    </w:p>
    <w:p>
      <w:pPr>
        <w:spacing w:after="0" w:line="8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Our product development and commercialization schedule could be delayed if we are unable to fund our research and development activities or the development of our manufacturing capabilities with our revenue and our cash on hand. We expect that our current cash, including the proceeds of our February 2005 private placement of shares of our common stock,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that could discourage, delay or prevent our acquisition.</w:t>
      </w:r>
    </w:p>
    <w:p>
      <w:pPr>
        <w:spacing w:after="0" w:line="8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Provisions of our certificate of incorporation and bylaws could have the effect of discouraging, delaying or preventing a merger or acquisition that a stockholder may consider favorable. Additionally, in December of 2001 our board of directors approved a stockholder rights plan, which would require a potential acquiror to negotiate directly with our board of directors regarding any planned acquisition. We also are subject to the anti-takeover laws of the State of Delaware, which may further discourage, delay or prevent someone from acquiring or merging with us. In addition, our agreement with Caterpillar for the distribution of CleanSource UPS provides that Caterpillar may terminate the agreement in the event we are acquired or undergo a change in control. The possible loss of our most significant customer could be a significant deterrent to possible acquirers and may substantially limit the number of possible acquirers. All of these factors may decrease the likelihood that we would be acquired, which may depress the market price of our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do not timely register shares of common stock we sold in February 2005 we may incur significant financial penalties.</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February 2005 we sold unregistered shares of our common stock to several private investors. As a condition to that sale, we agreed to register for resale under the Securities Act of 1933 all of the shares issued in this offering. We filed a registration statement on Form S-3 with the Securities and Exchange Commission on March 24, 2005. If this registration statement is not declared effective before June 3, 2005, we may be obligated to pay each investor an amount in cash equal to one percent of the aggregate purchase price paid by each investor as partial liquidated damages. This obligation recurs on each of the next two monthly anniversaries if the registration statement is still not effective, and thereafter shall increase to two percent of the aggregate purchase price per month. In the event that we are unable to have the registration statement declared effective in a timely manner, or fail to act as required in the Registration Rights Agreement, we would incur significant financial penalties.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326" w:lineRule="auto"/>
        <w:rPr>
          <w:sz w:val="20"/>
          <w:szCs w:val="20"/>
          <w:color w:val="auto"/>
        </w:rPr>
      </w:pPr>
      <w:r>
        <w:rPr>
          <w:rFonts w:ascii="Arial" w:cs="Arial" w:eastAsia="Arial" w:hAnsi="Arial"/>
          <w:sz w:val="15"/>
          <w:szCs w:val="15"/>
          <w:b w:val="1"/>
          <w:bCs w:val="1"/>
          <w:color w:val="auto"/>
        </w:rPr>
        <w:t>Failure to achieve and maintain effective internal control over financial reporting in accordance with rules of the Securities and Exchange Commission promulgated under Section 404 of the Failure to achieve and maintain effective internal control over financial reporting in accordance with rules of the Securities and Exchange Commission promulgated under Section 404 of the Sarbanes-Oxley Act could harm our business and operating results and/or result in a loss of investor confidence in our financial reports, which could in turn have a material adverse effect on our business and stock price.</w:t>
      </w:r>
    </w:p>
    <w:p>
      <w:pPr>
        <w:spacing w:after="0" w:line="8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rules of the Securities and Exchange Commission promulgated under Section 404 of the Sarbanes-Oxley Act of 2002, beginning with our Annual Report on Form 10-K for the fiscal year ended December 31, 2004, we were required to furnish a report by our management on our internal control over financial reporting. In the course of our assessment of the effectiveness of our internal control over financial reporting as of December 31, 2004, which assessment was conducted during the fourth quarter of 2004 and the first quarter of 2005 in connection with the preparation of 2004 audited financial statements and our annual report on Form 10-K for 2004, we identified a material weakness in our internal control over financial reporting resulting from the combination of a limited accounting staff and the transitional status of our chief financial officer. This material weakness in our internal control over financial reporting, as described in Item 9A, Controls and Procedures, of our Annual Report on Form 10-K for the year ended December 31, 2004, as well as any other weaknesses or deficiencies that may exist or hereafter arise or be identified, could harm our business and operating results, and could result in adverse publicity and a loss in investor confidence in the accuracy and completeness of our financial reports, which in turn could have a material adverse effect on our stock price, and, if such weaknesses are not properly remediated, could adversely affect our ability to report our financial results on a timely and accurate basis.</w:t>
      </w:r>
    </w:p>
    <w:p>
      <w:pPr>
        <w:spacing w:after="0" w:line="109" w:lineRule="exact"/>
        <w:rPr>
          <w:sz w:val="20"/>
          <w:szCs w:val="20"/>
          <w:color w:val="auto"/>
        </w:rPr>
      </w:pPr>
    </w:p>
    <w:p>
      <w:pPr>
        <w:ind w:right="100" w:firstLine="456"/>
        <w:spacing w:after="0" w:line="306" w:lineRule="auto"/>
        <w:rPr>
          <w:sz w:val="20"/>
          <w:szCs w:val="20"/>
          <w:color w:val="auto"/>
        </w:rPr>
      </w:pPr>
      <w:r>
        <w:rPr>
          <w:rFonts w:ascii="Arial" w:cs="Arial" w:eastAsia="Arial" w:hAnsi="Arial"/>
          <w:sz w:val="15"/>
          <w:szCs w:val="15"/>
          <w:color w:val="auto"/>
        </w:rPr>
        <w:t>We determined in the first quarter of 2005 that a material weakness in our internal control over financial reporting as of December 31, 2004 existed. As a part of our assessment of the effectiveness of our internal control over financial reporting as of December 31, 2004, we had considered both the composition and the limited size of our accounting department and their effect on the design of the controls established over our financial reporting process. Also, in December 2004 our chief financial officer announced his resignation to pursue another opportunity, but continued to serve as our chief financial officer on a transitional basis through the completion of certain financial reporting events, including the filing of our Annual Report on Form 10-K. We determined that the combination of a limited staff and the transitional status of our chief financial officer resulted in ineffective oversight and monitoring controls over our year-end financial reporting process. This material weakness was identified primarily because a number of deficiencies in controls and errors were detected by both an external accounting firm we had engaged to assist in assessing and testing our internal controls, and by our independent registered public accounting firm. These errors were detected during the performance and completion of the Section 404 testing during the fourth quarter 2004 and during the course of the annual audit (from January 2005 through early March 2005). While it was determined that, individually and collectively, these errors were not material, and in all cases the Company’s financial statements were corrected during the completion of our 2004 audit in February and early March 2005, such that our independent registered public accounting firm expressed an unqualified opinion on our December 31, 2004 financial statements, we concluded that in light of these ineffective controls as of December 31, 2004, there was more than a remote likelihood that a material misstatement of our annual or interim financial statements would not be prevented or detected, and that, therefore, there was a “material weakness” in our internal control over financial reporting as of December 31, 2004.</w:t>
      </w:r>
    </w:p>
    <w:p>
      <w:pPr>
        <w:spacing w:after="0" w:line="9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Since December 31, 2004, we have hired a new chief financial officer, who assumed his office the first quarter of 2005, following the filing of our Annual Report on Form 10-K. During the first quarter of 2005, we also have hired additional accounting personnel. We believe that these steps, when taken together, will provide additional supervision, approval and review of accounting transactions and also provide our chief financial officer with the necessary time to perform oversight and supervisory functions.</w:t>
      </w:r>
    </w:p>
    <w:p>
      <w:pPr>
        <w:spacing w:after="0" w:line="13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Although we believe that we have remediated this material weakness, as described in Item 4, Controls and Procedures, of this report, we cannot assure you that this remediation has been successful or that additional deficiencies or weaknesses in our controls and procedures will not be identified. In addition, we cannot assure you that our independent registered public accounting firm will agree with our assessment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that our material weakness has been remediated. Moreover, while we have added accounting personnel, we continue to operate at a relatively small staffing level. Our control procedures have been designed with this staffing level in mind; however, they are highly dependent on each individual’s performance of controls in the required manner. The loss of accounting personnel, particularly our chief financial officer, would adversely impact the effectiveness of our control environment and our internal controls, including our internal controls over financial reporting.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stock has been volatile and could result in claims against us.</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common stock is traded in the NASDAQ National Market. Historically the market price of our common stock has fluctuated significantly. In 2004 the sales price of our common stock ranged from $2.53 to $4.95 and in the first quarter of 2005 the sales price ranged from $2.39 to $4.61. The market price of our common stock can be expected to fluctuate significantly in response to numerous factors, some of which are beyond our control, in addition to our financial performance. Furthermore, stock prices for many companies, including our own, fluctuate widely for reasons that may be unrelated to operating results. Some of the factors that may cause the market price of our stock to fluctuate including the following:</w:t>
      </w:r>
    </w:p>
    <w:p>
      <w:pPr>
        <w:spacing w:after="0" w:line="21"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or our failure to perform in line with such estimates;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market valuations of other technology companies, particularly those that sell products used in power quality systems;</w:t>
      </w:r>
    </w:p>
    <w:p>
      <w:pPr>
        <w:spacing w:after="0" w:line="103"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or capital commitments;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introduction of technologies or product enhancements that reduce the need for flywheel energy storage systems;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loss of one or more key OEM customers;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inability to expand our distribution channels;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departures of key personnel;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changing external capital market conditions.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selling stockholders will receive all of the net proceeds from sales of shares of our common stock offered by this prospectus. We will not receive any of the proceeds upon the resale of the common stock by the selling stockholders.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following is a summary of material terms and provisions of the registration rights agreement that we entered into with the selling stockholders. It may not contain all the information that is important to you. You can access complete information by referring to the registration rights agreement.</w:t>
      </w:r>
    </w:p>
    <w:p>
      <w:pPr>
        <w:spacing w:after="0" w:line="7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Under a registration rights agreement dated as of February 3, 2005 by and between us and the selling stockholders, we are obligated to file a registration statement covering the sale by the selling stockholders of the common stock that they purchased from us and the shares of common stock that may be issued upon the exercise of the selling stockholders’ additional investment rights. Under the registration rights agreement, we must use our best efforts to cause the registration statement to be declared effective by the Securities and Exchange Commission and, subject to certain contingencies, to keep the registration statement continuously effective until the earlier of:</w:t>
      </w:r>
    </w:p>
    <w:p>
      <w:pPr>
        <w:spacing w:after="0" w:line="4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that is three years following the date this registration statement first becomes effective;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of the selling stockholders’ shares common stock covered under this prospectus have been sold; or</w:t>
      </w:r>
    </w:p>
    <w:p>
      <w:pPr>
        <w:spacing w:after="0" w:line="103"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selling stockholders may sell the shares of common stock covered by this prospectus without restriction pursuant to Rule 144(k) of the Securities Act, or any successor rule.</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registration rights agreement requires that we bear all expenses of registering the common stock with the exception of the fees and expenses of any legal counsel the selling stockholders may engage and any broker or similar commissions.</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event (i) we fail to file with the Securities and Exchange Commission, or SEC, a request for acceleration of effectiveness within five trading days of the date that we are notified that this registration statement will not be “reviewed,” or is not subject to further review, (ii) prior to the date when this registration statement is first declared effective by the SEC, we fail to file a pre-effective amendment and otherwise respond in writing to comments made by the SEC in respect to this registration statement within 10 trading days after the receipt of comments from the SEC, (iii) this registration statement is not declared effective by the SEC on or before June 3, 2005, or (iv) after this registration statement is first declared effective by the SEC, it ceases for any reason to remain continuously effective as to all shares registered for resale hereunder, or the selling stockholders are not permitted to utilize this prospectus to resell the shares, for in any such case 10 consecutive trading days but no more than an aggregate of 20 trading days during any 12 month period (which need not be consecutive trading days), we will be required to pay on the date of such event and to the extent such event continues, on the first and second month anniversaries of the occurrence of the event to each selling stockholder an amount in cash equal to 1% of the aggregate purchase price paid by such selling stockholder for the purchase of the shares of our common stock registered for resale hereby (but not including any shares issuable upon the exercise of the Additional Investment Rights). If such event continues after the second monthly anniversary, we will be required to pay on each successive monthly anniversary thereafter an amount in cash equal to 2% of the aggregate purchase price paid by such selling stockholder for the purchase of the shares of our common stock registered for resale hereby.</w:t>
      </w:r>
    </w:p>
    <w:p>
      <w:pPr>
        <w:spacing w:after="0" w:line="111"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addition, subject to the limitations contained in the registration rights agreement, we also agreed to indemnify each selling stockholder against all losses, claims, damages or liabilities arising under the securities laws in connection with the registration statement or this prospectus or that arise out of or are based upon a violation by the Company of the securities purchase agreement. In addition, subject to the limitations contained in the registration rights agreement, each of the selling stockholders agreed, severally and not jointly, to indemnify us and our directors, officers and any person who controls our company, or any of such other selling stockholders and certain related persons against all losses, claims, damages or liabilities arising under the securities laws that arise out of or are based upon any violation by such selling stockholder of the registration rights agreement, to the extent that such violation occurs in reliance upon and in conformity with written information furnished to us by the selling stockholders for use in the registration statement or this prospectus or any amendment to the registration statement or any prospectus supplements.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following table sets forth the number of shares of common stock beneficially owned by each of the selling stockholders as of April 30, 2005, the number of shares of common stock covered by this prospectus and the percentage of total shares of common stock that each of the selling stockholders will beneficially own upon completion of this offering if such percentage exceeds one percent. This table assumes that the selling stockholders will fully exercise their additional investment rights and will offer for sale all of the shares of common stock covered by this prospectus.</w:t>
      </w:r>
    </w:p>
    <w:p>
      <w:pPr>
        <w:spacing w:after="0" w:line="99"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On February 4, 2005, we issued to the selling stockholders an aggregate of 5,454,510 shares of our common stock at a price of $3.64 per share for aggregate initial gross proceeds of $19.8 million. We also granted to the selling stockholders additional investment rights to purchase an aggregate of 1,636,353 additional common shares at $3.64 per share during the 180 day period following the effective date of this prospectus.</w:t>
      </w:r>
    </w:p>
    <w:p>
      <w:pPr>
        <w:spacing w:after="0" w:line="9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common stock offered by this prospectus may be offered from time to time by the selling stockholders named below, or by any of their pledges, donees, transferees or other successors in interest. The amounts and information set forth below are based upon information provided to us by representatives of the selling stockholders, or on our records, as of April 30, 2005 and are accurate to the best of our knowledge. It is possible, however, that the selling stockholders may acquire or dispose of additional shares of common stock from time to time after the date of this prospectus. To our knowledge, none of the selling stockholders has had within the past three years any material relationship with us.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Shares of Common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6"/>
              </w:rPr>
              <w:t>Name of Beneficial</w:t>
            </w:r>
          </w:p>
        </w:tc>
        <w:tc>
          <w:tcPr>
            <w:tcW w:w="1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Stock Beneficially</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of</w:t>
            </w:r>
          </w:p>
        </w:tc>
        <w:tc>
          <w:tcPr>
            <w:tcW w:w="5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 of Common</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72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5"/>
              </w:rPr>
              <w:t>Owners of Shares of</w:t>
            </w:r>
          </w:p>
        </w:tc>
        <w:tc>
          <w:tcPr>
            <w:tcW w:w="112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 Prior to</w:t>
            </w:r>
          </w:p>
        </w:tc>
        <w:tc>
          <w:tcPr>
            <w:tcW w:w="4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5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Stock Owned</w:t>
            </w:r>
          </w:p>
        </w:tc>
        <w:tc>
          <w:tcPr>
            <w:tcW w:w="4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720" w:type="dxa"/>
            <w:vAlign w:val="bottom"/>
            <w:gridSpan w:val="2"/>
          </w:tcPr>
          <w:p>
            <w:pPr>
              <w:jc w:val="center"/>
              <w:ind w:right="1160"/>
              <w:spacing w:after="0"/>
              <w:rPr>
                <w:sz w:val="20"/>
                <w:szCs w:val="20"/>
                <w:color w:val="auto"/>
              </w:rPr>
            </w:pPr>
            <w:r>
              <w:rPr>
                <w:rFonts w:ascii="Arial" w:cs="Arial" w:eastAsia="Arial" w:hAnsi="Arial"/>
                <w:sz w:val="14"/>
                <w:szCs w:val="14"/>
                <w:b w:val="1"/>
                <w:bCs w:val="1"/>
                <w:color w:val="auto"/>
                <w:w w:val="85"/>
              </w:rPr>
              <w:t>Common Stock</w:t>
            </w:r>
          </w:p>
        </w:tc>
        <w:tc>
          <w:tcPr>
            <w:tcW w:w="112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(1)</w:t>
            </w:r>
          </w:p>
        </w:tc>
        <w:tc>
          <w:tcPr>
            <w:tcW w:w="4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Offered Hereby</w:t>
            </w:r>
          </w:p>
        </w:tc>
        <w:tc>
          <w:tcPr>
            <w:tcW w:w="500" w:type="dxa"/>
            <w:vAlign w:val="bottom"/>
          </w:tcPr>
          <w:p>
            <w:pPr>
              <w:spacing w:after="0"/>
              <w:rPr>
                <w:sz w:val="15"/>
                <w:szCs w:val="15"/>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0"/>
              </w:rPr>
              <w:t>After the Offering (2)</w:t>
            </w:r>
          </w:p>
        </w:tc>
        <w:tc>
          <w:tcPr>
            <w:tcW w:w="4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Offering (3)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Ventures International (4)</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9"/>
              </w:rPr>
              <w:t>892,866(5)</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892,866(5)</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Smithfield Fiduciary LLC (6)</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1,300,000(7)</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1,300,000(7)</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D.B. Zwirn Special Opportunities Fund, L.P. (8)</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9"/>
              </w:rPr>
              <w:t>642,860(9)</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642,860(9)</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D.B. Zwirn Special Opportunities Fund, Ltd. (10)</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964,291(11)</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964,291(11)</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Millennium Fund, L.P.</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233,260(12)</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41,860(12)</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191,400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Millennium Fund II, L.P.</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531,810(13)</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69,810(13)</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462,000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Millennium Micro Cap Fund, L.P.</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140,030(14)</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17,030(14)</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123,000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Millennium Offshore Fund, Inc.</w:t>
            </w:r>
          </w:p>
        </w:tc>
        <w:tc>
          <w:tcPr>
            <w:tcW w:w="2420" w:type="dxa"/>
            <w:vAlign w:val="bottom"/>
            <w:gridSpan w:val="2"/>
          </w:tcPr>
          <w:p>
            <w:pPr>
              <w:jc w:val="center"/>
              <w:ind w:left="1052"/>
              <w:spacing w:after="0"/>
              <w:rPr>
                <w:sz w:val="20"/>
                <w:szCs w:val="20"/>
                <w:color w:val="auto"/>
              </w:rPr>
            </w:pPr>
            <w:r>
              <w:rPr>
                <w:rFonts w:ascii="Arial" w:cs="Arial" w:eastAsia="Arial" w:hAnsi="Arial"/>
                <w:sz w:val="18"/>
                <w:szCs w:val="18"/>
                <w:color w:val="auto"/>
                <w:w w:val="89"/>
              </w:rPr>
              <w:t>1,431,830(15)</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196,300(15)</w:t>
            </w:r>
          </w:p>
        </w:tc>
        <w:tc>
          <w:tcPr>
            <w:tcW w:w="17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1,235,530</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2.5%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Southport Energy Plus Partners, L.P. (16)</w:t>
            </w:r>
          </w:p>
        </w:tc>
        <w:tc>
          <w:tcPr>
            <w:tcW w:w="242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9"/>
              </w:rPr>
              <w:t>1,508,330(17)</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482,430(17)</w:t>
            </w:r>
          </w:p>
        </w:tc>
        <w:tc>
          <w:tcPr>
            <w:tcW w:w="17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1,025,900</w:t>
            </w:r>
          </w:p>
        </w:tc>
        <w:tc>
          <w:tcPr>
            <w:tcW w:w="1240" w:type="dxa"/>
            <w:vAlign w:val="bottom"/>
            <w:gridSpan w:val="2"/>
            <w:shd w:val="clear" w:color="auto" w:fill="CCEEFF"/>
          </w:tcPr>
          <w:p>
            <w:pPr>
              <w:jc w:val="center"/>
              <w:ind w:left="392"/>
              <w:spacing w:after="0"/>
              <w:rPr>
                <w:sz w:val="20"/>
                <w:szCs w:val="20"/>
                <w:color w:val="auto"/>
              </w:rPr>
            </w:pPr>
            <w:r>
              <w:rPr>
                <w:rFonts w:ascii="Arial" w:cs="Arial" w:eastAsia="Arial" w:hAnsi="Arial"/>
                <w:sz w:val="18"/>
                <w:szCs w:val="18"/>
                <w:color w:val="auto"/>
                <w:w w:val="87"/>
              </w:rPr>
              <w:t>2.1%</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Southport Energy Plus Offshore Fund, Inc. (18)</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752,910(19)</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121,810(19)</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631,100</w:t>
            </w:r>
          </w:p>
        </w:tc>
        <w:tc>
          <w:tcPr>
            <w:tcW w:w="1240" w:type="dxa"/>
            <w:vAlign w:val="bottom"/>
            <w:gridSpan w:val="2"/>
          </w:tcPr>
          <w:p>
            <w:pPr>
              <w:jc w:val="center"/>
              <w:ind w:left="392"/>
              <w:spacing w:after="0"/>
              <w:rPr>
                <w:sz w:val="20"/>
                <w:szCs w:val="20"/>
                <w:color w:val="auto"/>
              </w:rPr>
            </w:pPr>
            <w:r>
              <w:rPr>
                <w:rFonts w:ascii="Arial" w:cs="Arial" w:eastAsia="Arial" w:hAnsi="Arial"/>
                <w:sz w:val="18"/>
                <w:szCs w:val="18"/>
                <w:color w:val="auto"/>
                <w:w w:val="87"/>
              </w:rPr>
              <w:t>1.3%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Sound Energy Capital Offshore Fund, Ltd. (20)</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193,428(21)</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45,760(21)</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147,668</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SF Capital Partners Ltd.</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650,000(22)</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650,000(22)</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79"/>
              </w:rPr>
              <w:t>0</w:t>
            </w:r>
          </w:p>
        </w:tc>
        <w:tc>
          <w:tcPr>
            <w:tcW w:w="480" w:type="dxa"/>
            <w:vAlign w:val="bottom"/>
          </w:tcPr>
          <w:p>
            <w:pPr>
              <w:spacing w:after="0"/>
              <w:rPr>
                <w:sz w:val="24"/>
                <w:szCs w:val="24"/>
                <w:color w:val="auto"/>
              </w:rPr>
            </w:pPr>
          </w:p>
        </w:tc>
        <w:tc>
          <w:tcPr>
            <w:tcW w:w="760" w:type="dxa"/>
            <w:vAlign w:val="bottom"/>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Portside Growth and Opportunity Fund (23)</w:t>
            </w:r>
          </w:p>
        </w:tc>
        <w:tc>
          <w:tcPr>
            <w:tcW w:w="2420" w:type="dxa"/>
            <w:vAlign w:val="bottom"/>
            <w:gridSpan w:val="2"/>
            <w:shd w:val="clear" w:color="auto" w:fill="CCEEFF"/>
          </w:tcPr>
          <w:p>
            <w:pPr>
              <w:jc w:val="center"/>
              <w:ind w:left="1052"/>
              <w:spacing w:after="0"/>
              <w:rPr>
                <w:sz w:val="20"/>
                <w:szCs w:val="20"/>
                <w:color w:val="auto"/>
              </w:rPr>
            </w:pPr>
            <w:r>
              <w:rPr>
                <w:rFonts w:ascii="Arial" w:cs="Arial" w:eastAsia="Arial" w:hAnsi="Arial"/>
                <w:sz w:val="18"/>
                <w:szCs w:val="18"/>
                <w:color w:val="auto"/>
                <w:w w:val="88"/>
              </w:rPr>
              <w:t>1,159,454(24)(25)</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7"/>
              </w:rPr>
              <w:t>1,159,054(24)</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90"/>
              </w:rPr>
              <w:t>400(25)</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ALM Brand Bank</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215,000(26)</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8"/>
              </w:rPr>
              <w:t>195,000(26)</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7"/>
              </w:rPr>
              <w:t>20,000</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Impax Environmental Markets (Ireland) Fund</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158,500(27)</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9"/>
              </w:rPr>
              <w:t>19,500(27)</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139,000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540" w:type="dxa"/>
            <w:vAlign w:val="bottom"/>
            <w:gridSpan w:val="5"/>
          </w:tcPr>
          <w:p>
            <w:pPr>
              <w:spacing w:after="0"/>
              <w:rPr>
                <w:sz w:val="20"/>
                <w:szCs w:val="20"/>
                <w:color w:val="auto"/>
              </w:rPr>
            </w:pPr>
            <w:r>
              <w:rPr>
                <w:rFonts w:ascii="Arial" w:cs="Arial" w:eastAsia="Arial" w:hAnsi="Arial"/>
                <w:sz w:val="18"/>
                <w:szCs w:val="18"/>
                <w:color w:val="auto"/>
              </w:rPr>
              <w:t>Impax Environmental Markets PLC</w:t>
            </w:r>
          </w:p>
        </w:tc>
        <w:tc>
          <w:tcPr>
            <w:tcW w:w="2420" w:type="dxa"/>
            <w:vAlign w:val="bottom"/>
            <w:gridSpan w:val="2"/>
          </w:tcPr>
          <w:p>
            <w:pPr>
              <w:jc w:val="center"/>
              <w:ind w:left="1032"/>
              <w:spacing w:after="0"/>
              <w:rPr>
                <w:sz w:val="20"/>
                <w:szCs w:val="20"/>
                <w:color w:val="auto"/>
              </w:rPr>
            </w:pPr>
            <w:r>
              <w:rPr>
                <w:rFonts w:ascii="Arial" w:cs="Arial" w:eastAsia="Arial" w:hAnsi="Arial"/>
                <w:sz w:val="18"/>
                <w:szCs w:val="18"/>
                <w:color w:val="auto"/>
                <w:w w:val="88"/>
              </w:rPr>
              <w:t>392,345(28)</w:t>
            </w:r>
          </w:p>
        </w:tc>
        <w:tc>
          <w:tcPr>
            <w:tcW w:w="1480" w:type="dxa"/>
            <w:vAlign w:val="bottom"/>
            <w:gridSpan w:val="2"/>
          </w:tcPr>
          <w:p>
            <w:pPr>
              <w:jc w:val="center"/>
              <w:ind w:left="412"/>
              <w:spacing w:after="0"/>
              <w:rPr>
                <w:sz w:val="20"/>
                <w:szCs w:val="20"/>
                <w:color w:val="auto"/>
              </w:rPr>
            </w:pPr>
            <w:r>
              <w:rPr>
                <w:rFonts w:ascii="Arial" w:cs="Arial" w:eastAsia="Arial" w:hAnsi="Arial"/>
                <w:sz w:val="18"/>
                <w:szCs w:val="18"/>
                <w:color w:val="auto"/>
                <w:w w:val="89"/>
              </w:rPr>
              <w:t>78,000(28)</w:t>
            </w:r>
          </w:p>
        </w:tc>
        <w:tc>
          <w:tcPr>
            <w:tcW w:w="1740" w:type="dxa"/>
            <w:vAlign w:val="bottom"/>
            <w:gridSpan w:val="2"/>
          </w:tcPr>
          <w:p>
            <w:pPr>
              <w:jc w:val="center"/>
              <w:ind w:left="412"/>
              <w:spacing w:after="0"/>
              <w:rPr>
                <w:sz w:val="20"/>
                <w:szCs w:val="20"/>
                <w:color w:val="auto"/>
              </w:rPr>
            </w:pPr>
            <w:r>
              <w:rPr>
                <w:rFonts w:ascii="Arial" w:cs="Arial" w:eastAsia="Arial" w:hAnsi="Arial"/>
                <w:sz w:val="18"/>
                <w:szCs w:val="18"/>
                <w:color w:val="auto"/>
                <w:w w:val="86"/>
              </w:rPr>
              <w:t>314,345</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PNE Invest Ltd.</w:t>
            </w:r>
          </w:p>
        </w:tc>
        <w:tc>
          <w:tcPr>
            <w:tcW w:w="2420" w:type="dxa"/>
            <w:vAlign w:val="bottom"/>
            <w:gridSpan w:val="2"/>
            <w:shd w:val="clear" w:color="auto" w:fill="CCEEFF"/>
          </w:tcPr>
          <w:p>
            <w:pPr>
              <w:jc w:val="center"/>
              <w:ind w:left="1032"/>
              <w:spacing w:after="0"/>
              <w:rPr>
                <w:sz w:val="20"/>
                <w:szCs w:val="20"/>
                <w:color w:val="auto"/>
              </w:rPr>
            </w:pPr>
            <w:r>
              <w:rPr>
                <w:rFonts w:ascii="Arial" w:cs="Arial" w:eastAsia="Arial" w:hAnsi="Arial"/>
                <w:sz w:val="18"/>
                <w:szCs w:val="18"/>
                <w:color w:val="auto"/>
                <w:w w:val="88"/>
              </w:rPr>
              <w:t>464,492(29)</w:t>
            </w:r>
          </w:p>
        </w:tc>
        <w:tc>
          <w:tcPr>
            <w:tcW w:w="148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8"/>
              </w:rPr>
              <w:t>214,292(29)</w:t>
            </w:r>
          </w:p>
        </w:tc>
        <w:tc>
          <w:tcPr>
            <w:tcW w:w="1740" w:type="dxa"/>
            <w:vAlign w:val="bottom"/>
            <w:gridSpan w:val="2"/>
            <w:shd w:val="clear" w:color="auto" w:fill="CCEEFF"/>
          </w:tcPr>
          <w:p>
            <w:pPr>
              <w:jc w:val="center"/>
              <w:ind w:left="412"/>
              <w:spacing w:after="0"/>
              <w:rPr>
                <w:sz w:val="20"/>
                <w:szCs w:val="20"/>
                <w:color w:val="auto"/>
              </w:rPr>
            </w:pPr>
            <w:r>
              <w:rPr>
                <w:rFonts w:ascii="Arial" w:cs="Arial" w:eastAsia="Arial" w:hAnsi="Arial"/>
                <w:sz w:val="18"/>
                <w:szCs w:val="18"/>
                <w:color w:val="auto"/>
                <w:w w:val="86"/>
              </w:rPr>
              <w:t>250,000</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580" w:type="dxa"/>
            <w:vAlign w:val="bottom"/>
            <w:gridSpan w:val="3"/>
          </w:tcPr>
          <w:p>
            <w:pPr>
              <w:spacing w:after="0"/>
              <w:rPr>
                <w:sz w:val="9"/>
                <w:szCs w:val="9"/>
                <w:color w:val="auto"/>
              </w:rPr>
            </w:pPr>
          </w:p>
        </w:tc>
        <w:tc>
          <w:tcPr>
            <w:tcW w:w="11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5"/>
          </w:tcPr>
          <w:p>
            <w:pPr>
              <w:spacing w:after="0"/>
              <w:rPr>
                <w:sz w:val="20"/>
                <w:szCs w:val="20"/>
                <w:color w:val="auto"/>
              </w:rPr>
            </w:pPr>
            <w:r>
              <w:rPr>
                <w:rFonts w:ascii="Arial" w:cs="Arial" w:eastAsia="Arial" w:hAnsi="Arial"/>
                <w:sz w:val="18"/>
                <w:szCs w:val="18"/>
                <w:color w:val="auto"/>
              </w:rPr>
              <w:t>Footnotes to Selling Stockholders table:</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20" w:type="dxa"/>
            <w:vAlign w:val="bottom"/>
            <w:gridSpan w:val="2"/>
          </w:tcPr>
          <w:p>
            <w:pPr>
              <w:jc w:val="right"/>
              <w:ind w:right="1032"/>
              <w:spacing w:after="0"/>
              <w:rPr>
                <w:sz w:val="20"/>
                <w:szCs w:val="20"/>
                <w:color w:val="auto"/>
              </w:rPr>
            </w:pPr>
            <w:r>
              <w:rPr>
                <w:rFonts w:ascii="Arial" w:cs="Arial" w:eastAsia="Arial" w:hAnsi="Arial"/>
                <w:sz w:val="18"/>
                <w:szCs w:val="18"/>
                <w:color w:val="auto"/>
              </w:rPr>
              <w:t>-13-</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1.0%</w:t>
      </w:r>
    </w:p>
    <w:p>
      <w:pPr>
        <w:spacing w:after="0" w:line="77" w:lineRule="exact"/>
        <w:rPr>
          <w:sz w:val="20"/>
          <w:szCs w:val="20"/>
          <w:color w:val="auto"/>
        </w:rPr>
      </w:pPr>
    </w:p>
    <w:p>
      <w:pPr>
        <w:ind w:left="460" w:right="280" w:hanging="452"/>
        <w:spacing w:after="0" w:line="259"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Pursuant to Rule 13d-3 of the Exchange Act, a person is deemed to be the beneficial owner of a security if that person has the right to acquire beneficial ownership of such security within 60 days, including the right to acquire through the exercise of an option or warrant or through the conversion of a security.</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share amount listed in this column assumes that the selling stockholder will exercise all of their additional investment rights and sell all of the shares of our common stock covered by this prospectus, and that they will not sell any shares other than those covered by this prospectus.</w:t>
      </w:r>
    </w:p>
    <w:p>
      <w:pPr>
        <w:spacing w:after="0" w:line="1" w:lineRule="exact"/>
        <w:rPr>
          <w:rFonts w:ascii="Arial" w:cs="Arial" w:eastAsia="Arial" w:hAnsi="Arial"/>
          <w:sz w:val="16"/>
          <w:szCs w:val="16"/>
          <w:color w:val="auto"/>
        </w:rPr>
      </w:pPr>
    </w:p>
    <w:p>
      <w:pPr>
        <w:ind w:left="460" w:right="140" w:hanging="452"/>
        <w:spacing w:after="0" w:line="268"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48,579,595 outstanding shares of our common stock as of April 30, 2005 and assumes that the 1,636,353 shares of common stock issuable upon the exercise of the Additional Investment Rights are not outstanding.</w:t>
      </w:r>
    </w:p>
    <w:p>
      <w:pPr>
        <w:spacing w:after="0" w:line="37" w:lineRule="exact"/>
        <w:rPr>
          <w:rFonts w:ascii="Arial" w:cs="Arial" w:eastAsia="Arial" w:hAnsi="Arial"/>
          <w:sz w:val="18"/>
          <w:szCs w:val="18"/>
          <w:color w:val="auto"/>
        </w:rPr>
      </w:pPr>
    </w:p>
    <w:p>
      <w:pPr>
        <w:ind w:left="460" w:right="18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Heights Capital Management, Inc., the authorized agent of Capital Ventures International (“CVI”), has discretionary authority to vote and dispose of the shares held by CVI and may be deemed to be the beneficial owner of these shares. Martin Kobinger, in his capacity as Investment Manager of Heights Capital Management, Inc., may also be deemed to have investment discretion and voting power over the shares held by CVI. Mr. Kobinger disclaims any such beneficial ownership of these shares.</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206,046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0" w:hanging="452"/>
        <w:spacing w:after="0" w:line="306"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Highbridge Capital Management, LLC is the trading manager of Smithfield Fiduciary LLC and has voting control and investment discretion over securities held by Smithfield Fiduciary LLC. Glen Dubin and Henry Swieca control Highbridge Capital Management, LLC. Each of Highbridge Capital Management, LLC, Glen Dubin and Henry Swieca disclaims beneficial ownership of the securities held by Smithfield Fiduciary LLC.</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300,000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jc w:val="both"/>
        <w:ind w:left="460" w:right="22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L.P. Daniel B. Zwirn controls Zwirn Holdings, LLC, which in turn is the managing member of and thereby controls DBZ GP, LLC, which in turn is the general partner of and thereby controls D.B. Zwirn &amp; Co., L.P. The foregoing should not be constructed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148,352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40" w:hanging="452"/>
        <w:spacing w:after="0" w:line="256"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D.B. Zwirn &amp; Co., L.P. is the trading manager of D.B. Zwirn Special Opportunities Fund, Ltd. Daniel B. Zwirn controls Zwirn Holdings, LLC, which in turn is the managing member of and thereby controls DBZ GP, LLC, which in turn is the general partner of and thereby controls D.B. Zwirn &amp; Co., L.P. The foregoing should not be construed in and of itself as an admission by any Reporting Person as to beneficial ownership of shares of Common Stock owned by another Reporting Person.</w:t>
      </w:r>
    </w:p>
    <w:p>
      <w:pPr>
        <w:spacing w:after="0" w:line="48"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222,529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9,660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16,110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3,930 shares of common stock that may be issued upon the exercise of the additional investment rights.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45,300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111,330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Partners, Inc. is the investment Manager/Advisor for Southport Energy Plus Partners, L.P. and Southport Energy Plus Offshore Fund, Inc. holding the voting and dispositive powers for the funds.</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28,110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2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Sound Energy Capital Management, L.P. is the Investment Advisor for Sound Energy Capital Offshore Fund, Ltd. holding the voting and dispositive powers for the fund.</w:t>
      </w:r>
    </w:p>
    <w:p>
      <w:pPr>
        <w:spacing w:after="0" w:line="37"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10,560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150,000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right="60" w:hanging="452"/>
        <w:spacing w:after="0" w:line="294"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Ramius Capital Group, LLC (“Ramius Capital”) is the investment adviser of Portside Growth and Opportunity Fund (“Portside”) and consequently has voting control and investment discretion over securities held by Portside. Ramius Capital disclaims beneficial ownership of the shares held by Portside. Peter A. Cohen, Morgan B. Stark, Thomas W. Strauss and Jeffrey M. Solomon are the sole managing members of C4S &amp; Co., LLC, the sole managing member of Ramius Capital. As a result, Messrs. Cohen, Stark, Strauss and Solomon may be considered beneficial owners of any shares deemed to be beneficially owned by Ramius Capital. Messrs. Cohen, Stark, Strauss and Solomon disclaim beneficial ownership of these shares.</w:t>
      </w:r>
    </w:p>
    <w:p>
      <w:pPr>
        <w:spacing w:after="0" w:line="21" w:lineRule="exact"/>
        <w:rPr>
          <w:rFonts w:ascii="Arial" w:cs="Arial" w:eastAsia="Arial" w:hAnsi="Arial"/>
          <w:sz w:val="16"/>
          <w:szCs w:val="16"/>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267,474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400 shares of common stock held by Ramius Securities, LLC of which Ramius Capital is the sole member.</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4,500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18,000 shares of common stock that may be issued upon the exercise of the additional investment rights.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49,452 shares of common stock that may be issued upon the exercise of the additional investment rights.</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60"/>
          </w:cols>
          <w:pgMar w:left="240" w:top="459"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We are registering the shares to be sold under this prospectus on behalf of the selling stockholders. We will receive no proceeds from this offering. When used below, the term “selling stockholders” includes the selling stockholders and their pledgees, donees, transferees or other successors-in-interest selling shares received from the selling stockholder as a gift, distribution or other non-sale-related transfer after the date of this prospectus, if any.</w:t>
      </w:r>
    </w:p>
    <w:p>
      <w:pPr>
        <w:spacing w:after="0" w:line="9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selling stockholders and any of their pledgees, assignees and successors-in-interest may, from time to time, sell any or all of their shares of common stock on any stock exchange, market or trading facility on which the shares are traded or in private transactions. These sales may be at fixed or negotiated prices. The selling stockholders may use any one or more of the following methods when selling shares:</w:t>
      </w:r>
    </w:p>
    <w:p>
      <w:pPr>
        <w:spacing w:after="0" w:line="46"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103"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combination of any such methods of sale;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selling stockholders may also sell shares under Rule 144 under the Securities Act of 1933, as amended, if available, rather than under this prospectus.</w:t>
      </w:r>
    </w:p>
    <w:p>
      <w:pPr>
        <w:spacing w:after="0" w:line="19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Broker-dealers may receive commissions or discounts from the selling stockholders (or, if any broker-dealer acts as agent for the purchaser of shares, from the purchaser) in amounts to be negotiated, but, except as set forth in a supplement to this prospectus, in the case of an agency transaction not in excess of a customary brokerage commission in compliance with NASD Rule 2440; and in the case of a principal transaction a markup or markdown in compliance with NASD IM-2440.</w:t>
      </w:r>
    </w:p>
    <w:p>
      <w:pPr>
        <w:spacing w:after="0" w:line="9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connection with the sale of the common stock or interests therein, the selling stockholders may enter into hedging transactions with broker-dealers or other financial institutions, which may in turn engage in short sales of the common stock in the course of hedging the positions they assume. The selling stockholders may also sell shares of the common stock short and deliver these securities to close out their short positions, or loan or pledge the common stock to broker-dealers that in turn may sell these securities.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spacing w:after="0" w:line="13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selling stockholders and any broker-dealers or agents that are involved in selling the shares may be deemed to be “underwriters” within the meaning of the Securities Act in connection with such sales. In such event, any commissions received by such broker-dealers or agents and any profit on the resale of the shares purchased by them may be deemed to be underwriting commissions or discounts under the Securities Act. Each selling stockholder has informed us that it does not have any written or oral agreement or understanding, directly or indirectly, with any person to distribute the common stock. In no event shall any broker-dealer receive fees, commissions and markups which, in the aggregate, would exceed eight percent (8%).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We are required to pay certain fees and expenses incurred by us incident to the registration of the shares. We have agreed to indemnify the selling stockholders against certain losses, claims, damages and liabilities, including liabilities under the Securities Act.</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Because selling stockholders may be deemed to be “underwriters” within the meaning of the Securities Act, they will be subject to the prospectus delivery requirements of the Securities Act. In addition, any securities covered by this prospectus which qualify for sale pursuant to Rule 144 under the Securities Act may be sold under Rule 144 rather than under this prospectus. Each selling stockholder has advised us that they have not entered into any written or oral agreements, understandings or arrangements with any underwriter or broker-dealer regarding the sale of the resale shares. There is no underwriter or coordinating broker acting in connection with the proposed sale of the resale shares by the selling stockholders.</w:t>
      </w:r>
    </w:p>
    <w:p>
      <w:pPr>
        <w:spacing w:after="0" w:line="10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agreed to keep this prospectus effective until the earliest of (i) the date that is three years following the date this registration statement first becomes effective; (ii) the date on which the shares may be resold by the Selling Stockholders without registration and without regard to any volume limitations by reason of Rule 144(e) under the Securities Act or any other rule of similar effect or (iii) all of the shares have been sold pursuant to the prospectus or Rule 144 under the Securities Act or any other rule of similar effect. The resale shares will be sold only through registered or licensed brokers or dealers if required under applicable state securities laws. In addition, in certain states, the resale shares may not be sold unless they have been registered or qualified for sale in the applicable state or an exemption from the registration or qualification requirement is available and is complied with.</w:t>
      </w:r>
    </w:p>
    <w:p>
      <w:pPr>
        <w:spacing w:after="0" w:line="107"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Under applicable rules and regulations under the Exchange Act, any person engaged in the distribution of the resale shares may not simultaneously engage in market making activities with respect to the common stock for a period of two business days prior to the commencement of the distribution. In addition, the selling stockholders will be subject to applicable provisions of the Exchange Act and the rules and regulations thereunder, including Regulation M, which may limit the timing of purchases and sales of shares of the common stock by the selling stockholders or any other person. We will make copies of this prospectus available to the selling stockholders and have informed them of the need to deliver a copy of this prospectus to each purchaser at or prior to the time of the sale.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The validity of the common stock will be passed upon for us by Andrews Kurth LLP, Austin, Texas. If the common stock is being distributed in an underwritten offering, legal matters will be passed upon for the underwriters by counsel identified in the related prospectus supplement.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financial statements of Active Power, Inc. included in Active Power, Inc.’s Annual Report on Form 10-K, as amended, for the year ended December 31, 2004, and Active Power, Inc. management’s assessment of the effectiveness of internal control over financial reporting as of December 31, 2004 included therein, have been audited by Ernst &amp; Young LLP, independent registered public accounting firm, as set forth in its reports thereon which conclude, among other things, that Active Power, Inc. did not maintain effective internal control over financial reporting as of December 31, 2004, based on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because of the effects of the material weakness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therein, included therein, and incorporated herein by reference. Such financial statements and management’s assessment have been incorporated herein by reference in reliance upon such reports given on the authority of such firm as experts in accounting and auditing.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filed a registration statement with the SEC under the Securities Act of 1933 that registers the securities offered by this prospectus. The registration statement, including the attached exhibits, contains additional relevant information about us. The rules and regulations of the SEC allow us to omit some information included in the registration statement from this prospectus.</w:t>
      </w:r>
    </w:p>
    <w:p>
      <w:pPr>
        <w:spacing w:after="0" w:line="12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file annual, quarterly and other reports and information with the SEC as required by the Securities Exchange Act of 1934. You may read and copy any document we file at the public reference facilities maintained by the SEC at 450 Fifth Street, N.W., Washington, D.C. 20549. Please call the SEC at 1-800-SEC-0330 for further information on the operation of the public reference room. Our SEC filings also may be accessed electronically at the SEC’s web site at http://www.sec.gov.</w:t>
      </w:r>
    </w:p>
    <w:p>
      <w:pPr>
        <w:spacing w:after="0" w:line="13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SEC allows us to “incorporate by reference” information filed with the SEC. This means that we can disclose important information to you, without actually including the specific information in this prospectus, by referring you to those documents. The following documents which we have previously filed with the SEC pursuant to the Exchange Act are incorporated into this prospectus by reference:</w:t>
      </w:r>
    </w:p>
    <w:p>
      <w:pPr>
        <w:spacing w:after="0" w:line="46"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2004 (filed March 15,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Amendment No. 1 to Annual Report on Form 10-K/A for the year ended December 31, 2004 (filed March 23,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Amendment No. 2 to Annual Report on Form 10-K/A for the year ended December 31, 2004 (filed May 9, 2005);</w:t>
      </w:r>
    </w:p>
    <w:p>
      <w:pPr>
        <w:spacing w:after="0" w:line="103"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June 30, 2000), including any amendment or report filed for the purpose of updating such description;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description of our common stock purchase rights contained in our Registration Statement on Form 8-A (filed December 14, 2001), including any amendment or report filed for the purpose of updating such description.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All documents we file pursuant to Section 13(a), 13(c), 14 or 15(d) of the Exchange Act after the date of this prospectus and before all of the common stock offered by this prospectus is sold are incorporated by reference in this prospectus from the date of filing of the documents. Information that we file with the SEC will automatically update and may replace information in this prospectus and information previously filed with the SEC.</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may request a copy of the filings incorporated by reference in this prospectus, at no cost, by writing or calling us at: Active Power, Inc., 2128 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Braker Lane, BK12, Austin, Texas 78758, Attention: Secretary (telephone: (512) 836-6464).</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83" w:lineRule="exact"/>
        <w:rPr>
          <w:sz w:val="20"/>
          <w:szCs w:val="20"/>
          <w:color w:val="auto"/>
        </w:rPr>
      </w:pPr>
    </w:p>
    <w:p>
      <w:pPr>
        <w:ind w:right="800" w:firstLine="456"/>
        <w:spacing w:after="0" w:line="268" w:lineRule="auto"/>
        <w:rPr>
          <w:sz w:val="20"/>
          <w:szCs w:val="20"/>
          <w:color w:val="auto"/>
        </w:rPr>
      </w:pPr>
      <w:r>
        <w:rPr>
          <w:rFonts w:ascii="Arial" w:cs="Arial" w:eastAsia="Arial" w:hAnsi="Arial"/>
          <w:sz w:val="18"/>
          <w:szCs w:val="18"/>
          <w:color w:val="auto"/>
        </w:rPr>
        <w:t>The expenses to be paid in connection with the issuance and distribution of the securities being registered, other than underwriting discounts and commissions, are as follows:</w:t>
      </w:r>
    </w:p>
    <w:p>
      <w:pPr>
        <w:spacing w:after="0" w:line="12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3"/>
              </w:rPr>
              <w:t>35,000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3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r>
      <w:tr>
        <w:trPr>
          <w:trHeight w:val="108"/>
        </w:trPr>
        <w:tc>
          <w:tcPr>
            <w:tcW w:w="598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102"/>
        </w:trPr>
        <w:tc>
          <w:tcPr>
            <w:tcW w:w="5980" w:type="dxa"/>
            <w:vAlign w:val="bottom"/>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r>
      <w:tr>
        <w:trPr>
          <w:trHeight w:val="216"/>
        </w:trPr>
        <w:tc>
          <w:tcPr>
            <w:tcW w:w="5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48,334</w:t>
            </w:r>
          </w:p>
        </w:tc>
      </w:tr>
      <w:tr>
        <w:trPr>
          <w:trHeight w:val="132"/>
        </w:trPr>
        <w:tc>
          <w:tcPr>
            <w:tcW w:w="59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6572250</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8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Active Power, Inc. is incorporated under the laws of the State of Delaware. Section 145 (“Section 145”) of Title 8 of the Delaware Code gives a corporation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05"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Section 145 also gives a corporation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Delaware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Delaware Court of Chancery or such other court shall deem proper. Section 145 further provides that, to the extent that a present or former director or officer of a corporation has been successful on the merits or otherwise in defense of any such action, suit or proceeding, or in defense of any claim, issue or matter therein, such person shall be indemnified against expenses (including attorneys’ fees) actually and reasonably incurred by such person in connection therewith.</w:t>
      </w:r>
    </w:p>
    <w:p>
      <w:pPr>
        <w:spacing w:after="0" w:line="11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Section 145 also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and incurred by him in any such capacity, arising out of his status as such, whether or not the corporation would otherwise have the power to indemnify him under Section 145.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restated certificate of incorporation and restated bylaws provide for the indemnification of officers and directors to the fullest extent permitted by the Delaware Code.</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All of our directors and officers are covered by insurance policies against certain liabilities for actions taken in their capacities as such, including liabilities under the Securities Act of 1933.</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98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486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r>
      <w:tr>
        <w:trPr>
          <w:trHeight w:val="95"/>
        </w:trPr>
        <w:tc>
          <w:tcPr>
            <w:tcW w:w="88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46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300" w:type="dxa"/>
            <w:vAlign w:val="bottom"/>
          </w:tcPr>
          <w:p>
            <w:pPr>
              <w:spacing w:after="0"/>
              <w:rPr>
                <w:sz w:val="8"/>
                <w:szCs w:val="8"/>
                <w:color w:val="auto"/>
              </w:rPr>
            </w:pPr>
          </w:p>
        </w:tc>
      </w:tr>
      <w:tr>
        <w:trPr>
          <w:trHeight w:val="309"/>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w w:val="88"/>
              </w:rPr>
              <w:t>Specimen certificate for shares of Common Stock (filed as Exhibit 4.1 to Active Power’s Registration Statement on Form S-1 (SEC</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File No. 333-36946).</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w w:val="89"/>
              </w:rPr>
              <w:t>Rights Agreement, dated as of December 13, 2001, between the Active Power and Equiserve Trust N.A., which includes the form</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w w:val="92"/>
              </w:rPr>
              <w:t>of Certificate of Designation for the Series A Junior Participating Preferred Stock as Exhibit A, the form of Rights Certificate as</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w w:val="92"/>
              </w:rPr>
              <w:t>Exhibit B and the Summary of Rights to Purchase Series A Preferred Stock as Exhibit C (filed as Exhibit 4.1 to Active Power’s</w:t>
            </w:r>
          </w:p>
        </w:tc>
      </w:tr>
      <w:tr>
        <w:trPr>
          <w:trHeight w:val="216"/>
        </w:trPr>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Current Report on Form 8-K dated December 13, 2001).</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Opinion of Andrews Kurth LLP.</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8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Consent of Andrews Kurth LLP (included in Exhibit 5.1).</w:t>
            </w:r>
          </w:p>
        </w:tc>
      </w:tr>
      <w:tr>
        <w:trPr>
          <w:trHeight w:val="222"/>
        </w:trPr>
        <w:tc>
          <w:tcPr>
            <w:tcW w:w="8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980" w:type="dxa"/>
            <w:vAlign w:val="bottom"/>
          </w:tcPr>
          <w:p>
            <w:pPr>
              <w:ind w:left="540"/>
              <w:spacing w:after="0"/>
              <w:rPr>
                <w:sz w:val="20"/>
                <w:szCs w:val="20"/>
                <w:color w:val="auto"/>
              </w:rPr>
            </w:pPr>
            <w:r>
              <w:rPr>
                <w:rFonts w:ascii="Arial" w:cs="Arial" w:eastAsia="Arial" w:hAnsi="Arial"/>
                <w:sz w:val="18"/>
                <w:szCs w:val="18"/>
                <w:color w:val="auto"/>
              </w:rPr>
              <w:t>—</w:t>
            </w:r>
          </w:p>
        </w:tc>
        <w:tc>
          <w:tcPr>
            <w:tcW w:w="9500" w:type="dxa"/>
            <w:vAlign w:val="bottom"/>
            <w:gridSpan w:val="3"/>
          </w:tcPr>
          <w:p>
            <w:pPr>
              <w:ind w:left="2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83" w:lineRule="exact"/>
        <w:rPr>
          <w:sz w:val="20"/>
          <w:szCs w:val="20"/>
          <w:color w:val="auto"/>
        </w:rPr>
      </w:pPr>
    </w:p>
    <w:p>
      <w:pPr>
        <w:ind w:left="700" w:hanging="236"/>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right="20" w:firstLine="421"/>
        <w:spacing w:after="0" w:line="314" w:lineRule="auto"/>
        <w:tabs>
          <w:tab w:leader="none" w:pos="1598" w:val="left"/>
        </w:tabs>
        <w:numPr>
          <w:ilvl w:val="2"/>
          <w:numId w:val="13"/>
        </w:numPr>
        <w:rPr>
          <w:rFonts w:ascii="Arial" w:cs="Arial" w:eastAsia="Arial" w:hAnsi="Arial"/>
          <w:sz w:val="15"/>
          <w:szCs w:val="15"/>
          <w:color w:val="auto"/>
        </w:rPr>
      </w:pPr>
      <w:r>
        <w:rPr>
          <w:rFonts w:ascii="Arial" w:cs="Arial" w:eastAsia="Arial" w:hAnsi="Arial"/>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the prospectus filed with the SEC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0" w:lineRule="exact"/>
        <w:rPr>
          <w:rFonts w:ascii="Arial" w:cs="Arial" w:eastAsia="Arial" w:hAnsi="Arial"/>
          <w:sz w:val="15"/>
          <w:szCs w:val="15"/>
          <w:color w:val="auto"/>
        </w:rPr>
      </w:pPr>
    </w:p>
    <w:p>
      <w:pPr>
        <w:ind w:left="920" w:right="260" w:firstLine="421"/>
        <w:spacing w:after="0" w:line="268" w:lineRule="auto"/>
        <w:tabs>
          <w:tab w:leader="none" w:pos="1647" w:val="left"/>
        </w:tabs>
        <w:numPr>
          <w:ilvl w:val="2"/>
          <w:numId w:val="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this registration statement;</w:t>
      </w:r>
    </w:p>
    <w:p>
      <w:pPr>
        <w:spacing w:after="0" w:line="37"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64"/>
        <w:spacing w:after="0" w:line="255" w:lineRule="auto"/>
        <w:tabs>
          <w:tab w:leader="none" w:pos="70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sz w:val="20"/>
          <w:szCs w:val="20"/>
          <w:color w:val="auto"/>
        </w:rPr>
      </w:pPr>
    </w:p>
    <w:p>
      <w:pPr>
        <w:ind w:firstLine="464"/>
        <w:spacing w:after="0" w:line="290" w:lineRule="auto"/>
        <w:tabs>
          <w:tab w:leader="none" w:pos="7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04" w:lineRule="exact"/>
        <w:rPr>
          <w:rFonts w:ascii="Arial" w:cs="Arial" w:eastAsia="Arial" w:hAnsi="Arial"/>
          <w:sz w:val="16"/>
          <w:szCs w:val="16"/>
          <w:color w:val="auto"/>
        </w:rPr>
      </w:pPr>
    </w:p>
    <w:p>
      <w:pPr>
        <w:ind w:left="680" w:hanging="216"/>
        <w:spacing w:after="0"/>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76" w:lineRule="exact"/>
        <w:rPr>
          <w:rFonts w:ascii="Arial" w:cs="Arial" w:eastAsia="Arial" w:hAnsi="Arial"/>
          <w:sz w:val="18"/>
          <w:szCs w:val="18"/>
          <w:color w:val="auto"/>
        </w:rPr>
      </w:pPr>
    </w:p>
    <w:p>
      <w:pPr>
        <w:ind w:left="460" w:right="220" w:firstLine="443"/>
        <w:spacing w:after="0" w:line="306" w:lineRule="auto"/>
        <w:tabs>
          <w:tab w:leader="none" w:pos="1147"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2" w:lineRule="exact"/>
        <w:rPr>
          <w:rFonts w:ascii="Arial" w:cs="Arial" w:eastAsia="Arial" w:hAnsi="Arial"/>
          <w:sz w:val="16"/>
          <w:szCs w:val="16"/>
          <w:color w:val="auto"/>
        </w:rPr>
      </w:pPr>
    </w:p>
    <w:p>
      <w:pPr>
        <w:jc w:val="both"/>
        <w:ind w:left="460" w:right="120" w:firstLine="443"/>
        <w:spacing w:after="0" w:line="259" w:lineRule="auto"/>
        <w:tabs>
          <w:tab w:leader="none" w:pos="1147" w:val="left"/>
        </w:tabs>
        <w:numPr>
          <w:ilvl w:val="1"/>
          <w:numId w:val="1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Austin, State of Texas, on the 9th day of May, 2005.</w:t>
      </w:r>
    </w:p>
    <w:p>
      <w:pPr>
        <w:spacing w:after="0" w:line="1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ACTIVE POWER,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F. Pinkerton,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 President</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and Chief Executive Officer</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report has been signed below by the following persons on behalf of the registrant in the capacities set forth below on May 9, 2005.</w:t>
      </w:r>
    </w:p>
    <w:p>
      <w:pPr>
        <w:spacing w:after="0" w:line="114"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68580</wp:posOffset>
            </wp:positionV>
            <wp:extent cx="2400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w w:val="87"/>
              </w:rPr>
              <w:t>/s/ Joseph F. Pinkerton, III</w:t>
            </w:r>
          </w:p>
        </w:tc>
        <w:tc>
          <w:tcPr>
            <w:tcW w:w="3560" w:type="dxa"/>
            <w:vAlign w:val="bottom"/>
          </w:tcPr>
          <w:p>
            <w:pPr>
              <w:ind w:left="460"/>
              <w:spacing w:after="0"/>
              <w:rPr>
                <w:sz w:val="20"/>
                <w:szCs w:val="20"/>
                <w:color w:val="auto"/>
              </w:rPr>
            </w:pPr>
            <w:r>
              <w:rPr>
                <w:rFonts w:ascii="Arial" w:cs="Arial" w:eastAsia="Arial" w:hAnsi="Arial"/>
                <w:sz w:val="18"/>
                <w:szCs w:val="18"/>
                <w:color w:val="auto"/>
                <w:w w:val="88"/>
              </w:rPr>
              <w:t>Chairman of the Board, President and Chief</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3560" w:type="dxa"/>
            <w:vAlign w:val="bottom"/>
            <w:vMerge w:val="restart"/>
          </w:tcPr>
          <w:p>
            <w:pPr>
              <w:ind w:left="46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0"/>
        </w:trPr>
        <w:tc>
          <w:tcPr>
            <w:tcW w:w="5820" w:type="dxa"/>
            <w:vAlign w:val="bottom"/>
          </w:tcPr>
          <w:p>
            <w:pPr>
              <w:spacing w:after="0"/>
              <w:rPr>
                <w:sz w:val="6"/>
                <w:szCs w:val="6"/>
                <w:color w:val="auto"/>
              </w:rPr>
            </w:pPr>
          </w:p>
        </w:tc>
        <w:tc>
          <w:tcPr>
            <w:tcW w:w="35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Joseph F. Pinkerton, III</w:t>
            </w:r>
          </w:p>
        </w:tc>
        <w:tc>
          <w:tcPr>
            <w:tcW w:w="3560" w:type="dxa"/>
            <w:vAlign w:val="bottom"/>
          </w:tcPr>
          <w:p>
            <w:pPr>
              <w:ind w:left="460"/>
              <w:spacing w:after="0"/>
              <w:rPr>
                <w:sz w:val="20"/>
                <w:szCs w:val="20"/>
                <w:color w:val="auto"/>
              </w:rPr>
            </w:pPr>
            <w:r>
              <w:rPr>
                <w:rFonts w:ascii="Arial" w:cs="Arial" w:eastAsia="Arial" w:hAnsi="Arial"/>
                <w:sz w:val="18"/>
                <w:szCs w:val="18"/>
                <w:color w:val="auto"/>
              </w:rPr>
              <w:t>(principal executive officer)</w:t>
            </w:r>
          </w:p>
        </w:tc>
        <w:tc>
          <w:tcPr>
            <w:tcW w:w="0" w:type="dxa"/>
            <w:vAlign w:val="bottom"/>
          </w:tcPr>
          <w:p>
            <w:pPr>
              <w:spacing w:after="0"/>
              <w:rPr>
                <w:sz w:val="1"/>
                <w:szCs w:val="1"/>
                <w:color w:val="auto"/>
              </w:rPr>
            </w:pPr>
          </w:p>
        </w:tc>
      </w:tr>
      <w:tr>
        <w:trPr>
          <w:trHeight w:val="439"/>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John Penver</w:t>
            </w:r>
          </w:p>
        </w:tc>
        <w:tc>
          <w:tcPr>
            <w:tcW w:w="3560" w:type="dxa"/>
            <w:vAlign w:val="bottom"/>
          </w:tcPr>
          <w:p>
            <w:pPr>
              <w:ind w:left="460"/>
              <w:spacing w:after="0"/>
              <w:rPr>
                <w:sz w:val="20"/>
                <w:szCs w:val="20"/>
                <w:color w:val="auto"/>
              </w:rPr>
            </w:pPr>
            <w:r>
              <w:rPr>
                <w:rFonts w:ascii="Arial" w:cs="Arial" w:eastAsia="Arial" w:hAnsi="Arial"/>
                <w:sz w:val="18"/>
                <w:szCs w:val="18"/>
                <w:color w:val="auto"/>
                <w:w w:val="92"/>
              </w:rPr>
              <w:t>Vice President and Chief Financial Officer</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3560" w:type="dxa"/>
            <w:vAlign w:val="bottom"/>
            <w:vMerge w:val="restart"/>
          </w:tcPr>
          <w:p>
            <w:pPr>
              <w:ind w:left="460"/>
              <w:spacing w:after="0"/>
              <w:rPr>
                <w:sz w:val="20"/>
                <w:szCs w:val="20"/>
                <w:color w:val="auto"/>
              </w:rPr>
            </w:pPr>
            <w:r>
              <w:rPr>
                <w:rFonts w:ascii="Arial" w:cs="Arial" w:eastAsia="Arial" w:hAnsi="Arial"/>
                <w:sz w:val="18"/>
                <w:szCs w:val="18"/>
                <w:color w:val="auto"/>
                <w:w w:val="93"/>
              </w:rPr>
              <w:t>(principal financial and accounting 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87"/>
              </w:rPr>
              <w:t>John Penver</w:t>
            </w:r>
          </w:p>
        </w:tc>
        <w:tc>
          <w:tcPr>
            <w:tcW w:w="3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3"/>
              </w:rPr>
              <w:t>Ake Almgren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9"/>
              </w:rPr>
              <w:t>Richard E. Anderson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Rodney S. Bond</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Brad Boston</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0"/>
              </w:rPr>
              <w:t>Benjamin L. Scott</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0"/>
              </w:rPr>
              <w:t>Jan H. Lindelow</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356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3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Terrence L. Rock</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 By:  /s/ John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80010</wp:posOffset>
            </wp:positionV>
            <wp:extent cx="25730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73020" cy="8890"/>
                    </a:xfrm>
                    <a:prstGeom prst="rect">
                      <a:avLst/>
                    </a:prstGeom>
                    <a:noFill/>
                  </pic:spPr>
                </pic:pic>
              </a:graphicData>
            </a:graphic>
          </wp:anchor>
        </w:drawing>
      </w:r>
    </w:p>
    <w:p>
      <w:pPr>
        <w:spacing w:after="0" w:line="2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John Penver</w:t>
      </w:r>
    </w:p>
    <w:p>
      <w:pPr>
        <w:spacing w:after="0" w:line="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Attorney-in-Fact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40" w:type="dxa"/>
            <w:vAlign w:val="bottom"/>
            <w:gridSpan w:val="3"/>
          </w:tcPr>
          <w:p>
            <w:pPr>
              <w:ind w:left="3180"/>
              <w:spacing w:after="0"/>
              <w:rPr>
                <w:sz w:val="20"/>
                <w:szCs w:val="20"/>
                <w:color w:val="auto"/>
              </w:rPr>
            </w:pPr>
            <w:r>
              <w:rPr>
                <w:rFonts w:ascii="Arial" w:cs="Arial" w:eastAsia="Arial" w:hAnsi="Arial"/>
                <w:sz w:val="18"/>
                <w:szCs w:val="18"/>
                <w:b w:val="1"/>
                <w:bCs w:val="1"/>
                <w:color w:val="auto"/>
              </w:rPr>
              <w:t>LIST OF EXHIBITS</w:t>
            </w:r>
          </w:p>
        </w:tc>
      </w:tr>
      <w:tr>
        <w:trPr>
          <w:trHeight w:val="312"/>
        </w:trPr>
        <w:tc>
          <w:tcPr>
            <w:tcW w:w="880" w:type="dxa"/>
            <w:vAlign w:val="bottom"/>
          </w:tcPr>
          <w:p>
            <w:pPr>
              <w:ind w:left="120"/>
              <w:spacing w:after="0"/>
              <w:rPr>
                <w:sz w:val="20"/>
                <w:szCs w:val="20"/>
                <w:color w:val="auto"/>
              </w:rPr>
            </w:pPr>
            <w:r>
              <w:rPr>
                <w:rFonts w:ascii="Arial" w:cs="Arial" w:eastAsia="Arial" w:hAnsi="Arial"/>
                <w:sz w:val="14"/>
                <w:szCs w:val="14"/>
                <w:b w:val="1"/>
                <w:bCs w:val="1"/>
                <w:color w:val="auto"/>
              </w:rPr>
              <w:t>Exhibit No.</w:t>
            </w:r>
          </w:p>
        </w:tc>
        <w:tc>
          <w:tcPr>
            <w:tcW w:w="8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494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r>
      <w:tr>
        <w:trPr>
          <w:trHeight w:val="95"/>
        </w:trPr>
        <w:tc>
          <w:tcPr>
            <w:tcW w:w="880" w:type="dxa"/>
            <w:vAlign w:val="bottom"/>
            <w:tcBorders>
              <w:bottom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470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380" w:type="dxa"/>
            <w:vAlign w:val="bottom"/>
          </w:tcPr>
          <w:p>
            <w:pPr>
              <w:spacing w:after="0"/>
              <w:rPr>
                <w:sz w:val="8"/>
                <w:szCs w:val="8"/>
                <w:color w:val="auto"/>
              </w:rPr>
            </w:pPr>
          </w:p>
        </w:tc>
      </w:tr>
      <w:tr>
        <w:trPr>
          <w:trHeight w:val="417"/>
        </w:trPr>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w w:val="90"/>
              </w:rPr>
              <w:t>Specimen certificate for shares of Common Stock (filed as Exhibit 4.1 to Active Power’s Registration Statement on Form S-1 (SEC</w:t>
            </w:r>
          </w:p>
        </w:tc>
      </w:tr>
      <w:tr>
        <w:trPr>
          <w:trHeight w:val="222"/>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File No. 333-36946).</w:t>
            </w:r>
          </w:p>
        </w:tc>
      </w:tr>
      <w:tr>
        <w:trPr>
          <w:trHeight w:val="318"/>
        </w:trPr>
        <w:tc>
          <w:tcPr>
            <w:tcW w:w="8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w w:val="89"/>
              </w:rPr>
              <w:t>Rights Agreement, dated as of December 13, 2001, between the Active Power and Equiserve Trust N.A., which includes the form of</w:t>
            </w: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w w:val="90"/>
              </w:rPr>
              <w:t>Certificate of Designation for the Series A Junior Participating Preferred Stock as Exhibit A, the form of Rights Certificate as Exhibit</w:t>
            </w:r>
          </w:p>
        </w:tc>
      </w:tr>
      <w:tr>
        <w:trPr>
          <w:trHeight w:val="216"/>
        </w:trPr>
        <w:tc>
          <w:tcPr>
            <w:tcW w:w="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w w:val="93"/>
              </w:rPr>
              <w:t>B and the Summary of Rights to Purchase Series A Preferred Stock as Exhibit C (filed as Exhibit 4.1 to Active Power’s Current</w:t>
            </w:r>
          </w:p>
        </w:tc>
      </w:tr>
      <w:tr>
        <w:trPr>
          <w:trHeight w:val="222"/>
        </w:trPr>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Report on Form 8-K dated December 13, 2001).</w:t>
            </w: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93"/>
              </w:rPr>
              <w:t>5.1*</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Opinion of Andrews Kurth LLP.</w:t>
            </w: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85"/>
              </w:rPr>
              <w:t>23.1</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95"/>
              </w:rPr>
              <w:t>23.2*</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Consent of Andrews Kurth LLP (included in Exhibit 5.1).</w:t>
            </w:r>
          </w:p>
        </w:tc>
      </w:tr>
      <w:tr>
        <w:trPr>
          <w:trHeight w:val="324"/>
        </w:trPr>
        <w:tc>
          <w:tcPr>
            <w:tcW w:w="880" w:type="dxa"/>
            <w:vAlign w:val="bottom"/>
          </w:tcPr>
          <w:p>
            <w:pPr>
              <w:jc w:val="center"/>
              <w:spacing w:after="0"/>
              <w:rPr>
                <w:sz w:val="20"/>
                <w:szCs w:val="20"/>
                <w:color w:val="auto"/>
              </w:rPr>
            </w:pPr>
            <w:r>
              <w:rPr>
                <w:rFonts w:ascii="Arial" w:cs="Arial" w:eastAsia="Arial" w:hAnsi="Arial"/>
                <w:sz w:val="18"/>
                <w:szCs w:val="18"/>
                <w:color w:val="auto"/>
                <w:w w:val="95"/>
              </w:rPr>
              <w:t>24.1*</w:t>
            </w:r>
          </w:p>
        </w:tc>
        <w:tc>
          <w:tcPr>
            <w:tcW w:w="860" w:type="dxa"/>
            <w:vAlign w:val="bottom"/>
          </w:tcPr>
          <w:p>
            <w:pPr>
              <w:ind w:left="420"/>
              <w:spacing w:after="0"/>
              <w:rPr>
                <w:sz w:val="20"/>
                <w:szCs w:val="20"/>
                <w:color w:val="auto"/>
              </w:rPr>
            </w:pPr>
            <w:r>
              <w:rPr>
                <w:rFonts w:ascii="Arial" w:cs="Arial" w:eastAsia="Arial" w:hAnsi="Arial"/>
                <w:sz w:val="18"/>
                <w:szCs w:val="18"/>
                <w:color w:val="auto"/>
              </w:rPr>
              <w:t>—</w:t>
            </w:r>
          </w:p>
        </w:tc>
        <w:tc>
          <w:tcPr>
            <w:tcW w:w="9640" w:type="dxa"/>
            <w:vAlign w:val="bottom"/>
            <w:gridSpan w:val="3"/>
          </w:tcPr>
          <w:p>
            <w:pPr>
              <w:ind w:left="260"/>
              <w:spacing w:after="0"/>
              <w:rPr>
                <w:sz w:val="20"/>
                <w:szCs w:val="20"/>
                <w:color w:val="auto"/>
              </w:rPr>
            </w:pPr>
            <w:r>
              <w:rPr>
                <w:rFonts w:ascii="Arial" w:cs="Arial" w:eastAsia="Arial" w:hAnsi="Arial"/>
                <w:sz w:val="18"/>
                <w:szCs w:val="18"/>
                <w:color w:val="auto"/>
              </w:rPr>
              <w:t>Power of Attorney.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  Previously filed.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380"/>
          </w:cols>
          <w:pgMar w:left="240" w:top="459" w:right="2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23.1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5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consent to the reference to our firm under the caption “Experts” in the Registration Statement (Amendment No. 1 to Form S-3) and related Prospectus of Active Power, Inc. for the registration of 7,090,863 shares of its common stock and to the incorporation by reference therein of our reports dated March 11, 2005, with respect to the financial statements of Active Power, Inc., Active Power, Inc. management’s assessment of the effectiveness of internal control over financial reporting, and the effectiveness of internal control over financial reporting of Active Power, Inc. included in its Annual Report (Form 10-K/A) for the year ended December 31, 2004, filed with the Securities and Exchange Commission.</w:t>
      </w:r>
    </w:p>
    <w:p>
      <w:pPr>
        <w:spacing w:after="0" w:line="12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6, 2005</w:t>
      </w:r>
    </w:p>
    <w:p>
      <w:pPr>
        <w:sectPr>
          <w:pgSz w:w="11900" w:h="16838" w:orient="portrait"/>
          <w:cols w:equalWidth="0" w:num="1">
            <w:col w:w="11420"/>
          </w:cols>
          <w:pgMar w:left="240" w:top="125" w:right="239" w:bottom="1440" w:gutter="0" w:footer="0" w:header="0"/>
        </w:sectPr>
      </w:pPr>
    </w:p>
    <w:bookmarkStart w:id="28" w:name="page29"/>
    <w:bookmarkEnd w:id="28"/>
    <w:p>
      <w:pPr>
        <w:jc w:val="center"/>
        <w:ind w:right="-139"/>
        <w:spacing w:after="0"/>
        <w:rPr>
          <w:sz w:val="20"/>
          <w:szCs w:val="20"/>
          <w:color w:val="auto"/>
        </w:rPr>
      </w:pPr>
      <w:r>
        <w:rPr>
          <w:rFonts w:ascii="Arial" w:cs="Arial" w:eastAsia="Arial" w:hAnsi="Arial"/>
          <w:sz w:val="18"/>
          <w:szCs w:val="18"/>
          <w:color w:val="auto"/>
        </w:rPr>
        <w:t>[ANDREWS KURTH LLP LETTERHEAD]</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May 9,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EDGAR Transmission and Overnight Courier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Mail Stop 0308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20549-0406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 Christopher Owings, Assistant Director</w:t>
      </w:r>
    </w:p>
    <w:p>
      <w:pPr>
        <w:spacing w:after="0" w:line="14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Active Power, Inc. (Commission File No. 0-30939)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Statement on Form S-3, filed March 25, 2005 (File No. 333-123586)</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Form 10-K and Form 10-K/A for the fiscal year ended December 31, 2004, filed March 15 and 23, 2005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Dear Mr. Owings:</w:t>
      </w:r>
    </w:p>
    <w:p>
      <w:pPr>
        <w:spacing w:after="0" w:line="15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 behalf of our client Active Power, Inc. (the “Company”) we write this letter to respond to the comments of the staff (the “Staff”) of the Securities and Exchange Commission in the letter dated April 20, 2005, addressed to Joseph F. Pinkerton, III, Chief Executive Officer of the Company, with respect to the above-referenced filings. Concurrently herewith, the Company has filed Amendment No. 1 to the above-referenced Registration Statement on Form S-3 (“S-3 Amendment”) and Amendment No. 2 to the above-referenced Annual Report on Form 10-K (the “10-K Amendment”).</w:t>
      </w:r>
    </w:p>
    <w:p>
      <w:pPr>
        <w:spacing w:after="0" w:line="99"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ease of reference, the bolded headings and bold, numbered paragraphs below are reproduced from your comment letter, and our response to each such comment follows in plain text.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Form S-3</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 Factors, page 3</w:t>
      </w:r>
    </w:p>
    <w:p>
      <w:pPr>
        <w:spacing w:after="0" w:line="71" w:lineRule="exact"/>
        <w:rPr>
          <w:sz w:val="20"/>
          <w:szCs w:val="20"/>
          <w:color w:val="auto"/>
        </w:rPr>
      </w:pPr>
    </w:p>
    <w:p>
      <w:pPr>
        <w:ind w:left="460" w:right="220" w:hanging="452"/>
        <w:spacing w:after="0" w:line="310" w:lineRule="auto"/>
        <w:tabs>
          <w:tab w:leader="none" w:pos="46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Given that your Form 10-K for the fiscal year ended December 31, 2004 discloses management’s conclusions that your disclosure controls and procedures and internal controls and procedures were not effective as a result of a material weakness, consider including a risk factor that describes the material weakness. If you include a risk factor, you should disclose when the material weakness first</w:t>
      </w:r>
    </w:p>
    <w:p>
      <w:pPr>
        <w:sectPr>
          <w:pgSz w:w="11900" w:h="16838" w:orient="portrait"/>
          <w:cols w:equalWidth="0" w:num="1">
            <w:col w:w="11280"/>
          </w:cols>
          <w:pgMar w:left="240" w:top="131" w:right="37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 Christopher Owings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May 9, 2005</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ectPr>
          <w:pgSz w:w="11900" w:h="16838" w:orient="portrait"/>
          <w:cols w:equalWidth="0" w:num="2">
            <w:col w:w="9800" w:space="720"/>
            <w:col w:w="900"/>
          </w:cols>
          <w:pgMar w:left="240" w:top="280" w:right="239" w:bottom="1440" w:gutter="0" w:footer="0" w:header="0"/>
        </w:sectPr>
      </w:pPr>
    </w:p>
    <w:p>
      <w:pPr>
        <w:ind w:left="460" w:right="200"/>
        <w:spacing w:after="0" w:line="310" w:lineRule="auto"/>
        <w:rPr>
          <w:sz w:val="20"/>
          <w:szCs w:val="20"/>
          <w:color w:val="auto"/>
        </w:rPr>
      </w:pPr>
      <w:r>
        <w:rPr>
          <w:rFonts w:ascii="Arial" w:cs="Arial" w:eastAsia="Arial" w:hAnsi="Arial"/>
          <w:sz w:val="16"/>
          <w:szCs w:val="16"/>
          <w:b w:val="1"/>
          <w:bCs w:val="1"/>
          <w:color w:val="auto"/>
        </w:rPr>
        <w:t>began, who identified the material weakness and discuss the actions taken and the additional steps you must take to remediate the problem. You should discuss your timetable for implementing these changes. Also, to the extent material, you should include disclosure in Management’s Discussion and Analysis in your annual report or Form S-3 describing the potential effects on your financial condition.</w:t>
      </w:r>
    </w:p>
    <w:p>
      <w:pPr>
        <w:spacing w:after="0" w:line="9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RESPONSE: In response to the Staff’s comment, the Company has included a new risk factor beginning on page 10 of the S-3 Amendment with respect to the material weakness identified in Item 9A of the Company’s Form 10-K. Supplementally, we advise the Staff that the Company included a substantially similar risk factor in its Quarterly Report on Form 10-Q for the quarterly period ended March 31, 2005, as filed April 28, 2005 (the “Q1 Form 10-Q”). Each such risk factor, in addition to describing the material weakness, discloses when the Company believes the material weakness first began, who identified the material weakness and discusses the actions taken to remediate the problem. No timetable for implementing these changes has been included because, as disclosed in Item 4, Controls and Procedures, of the Q1 Form 10-Q, the Company believes that because of the nature of the material weakness, and the steps it took in the first quarter of 2005, that it has already remediated the problem.</w:t>
      </w:r>
    </w:p>
    <w:p>
      <w:pPr>
        <w:spacing w:after="0" w:line="105"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Because the Company does not believe that the material weakness it identified (i.e. the limited resources and the transition of its chief financial officer to a new position during the year end close) was material to its financial condition and, in any event, has been remediated, no additional disclosure describing the potential effects on its financial condition has been included in the Management’s Discussion and Analysis in the Form 10-K or Form S-3. To assist the Staff in its review, we supplementally advise you that, as disclosed in the new risk factors included in the S-3 Amendment, and the Q1 Form 10-Q, and in the revised Item 9A in the 10-K Amendment pursuant to the Staff’s second comment below, this material weakness was identified because a number of deficiencies in controls and errors were detected by both an external accounting firm the Company had engaged to assist in assessing and testing its internal controls for compliance with Section 404 of the Sarbanes-Oxley Act of 2002, and by its independent registered public accounting firm. These errors and deficiencies resulted in multiple revisions to the Company’s draft 2004 financial statements and were detected during the performance and completion of the Section 404 testing during the fourth quarter 2004 and during the course of the Company’s annual audit process from January 2005 through early March 2005. The Company’s management, with the concurrence of its Audit Committee and independent registered accounting firm, determined that, individually and collectively, these errors were not material. In addition, the Company’s financial statements were corrected during the completion of the 2004 audit and prior to their inclusion in the Form 10-K. Accordingly, the Company’s independent registered public accounting firm expressed an unqualified opinion on the Company’s December 31, 2004 financial statements. Therefore, while the Company concluded that in light of the ineffective controls existing as of December 31, 2004, there was “more than a remote likelihood that a material misstatement of its annual or interim financial statements would not be prevented or detected”, and that, as such, there was a material weakness in its internal control over financial reporting as of December 31, 2004, the Company does not believe that such material weakness warranted a description in Management’s Discussion and Analysis in the Form 10-K of the potential effects on its financial condition.</w:t>
      </w:r>
    </w:p>
    <w:p>
      <w:pPr>
        <w:sectPr>
          <w:pgSz w:w="11900" w:h="16838" w:orient="portrait"/>
          <w:cols w:equalWidth="0" w:num="1">
            <w:col w:w="11420"/>
          </w:cols>
          <w:pgMar w:left="240" w:top="280" w:right="2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 Christopher Owings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May 9, 2005</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ectPr>
          <w:pgSz w:w="11900" w:h="16838" w:orient="portrait"/>
          <w:cols w:equalWidth="0" w:num="2">
            <w:col w:w="9800" w:space="720"/>
            <w:col w:w="900"/>
          </w:cols>
          <w:pgMar w:left="240" w:top="280" w:right="239" w:bottom="1440" w:gutter="0" w:footer="0" w:header="0"/>
        </w:sectPr>
      </w:pPr>
    </w:p>
    <w:p>
      <w:pPr>
        <w:jc w:val="center"/>
        <w:spacing w:after="0"/>
        <w:rPr>
          <w:sz w:val="20"/>
          <w:szCs w:val="20"/>
          <w:color w:val="auto"/>
        </w:rPr>
      </w:pPr>
      <w:r>
        <w:rPr>
          <w:rFonts w:ascii="Arial" w:cs="Arial" w:eastAsia="Arial" w:hAnsi="Arial"/>
          <w:sz w:val="18"/>
          <w:szCs w:val="18"/>
          <w:b w:val="1"/>
          <w:bCs w:val="1"/>
          <w:u w:val="single" w:color="auto"/>
          <w:color w:val="auto"/>
        </w:rPr>
        <w:t>Form 10-K for the Fiscal Year ended December 31,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Item 9A. Controls and Procedures, page 47</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Report on Internal Control Over Financial Reporting, page 47</w:t>
      </w:r>
    </w:p>
    <w:p>
      <w:pPr>
        <w:spacing w:after="0" w:line="64" w:lineRule="exact"/>
        <w:rPr>
          <w:sz w:val="20"/>
          <w:szCs w:val="20"/>
          <w:color w:val="auto"/>
        </w:rPr>
      </w:pPr>
    </w:p>
    <w:p>
      <w:pPr>
        <w:ind w:left="460" w:right="160" w:hanging="452"/>
        <w:spacing w:after="0" w:line="296" w:lineRule="auto"/>
        <w:tabs>
          <w:tab w:leader="none" w:pos="46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statement that “[your] Chief Executive Officer and Chief Financial Officer, concluded that, as of the end of the period covered by this report (December 31, 2004), [your] disclosure controls and procedures were not effective in providing reasonable assurance that information required to be disclosed by [you] in the reports filed or submitted by [you] under the Exchange Act is recorded, processed, summarized and reported, within the time periods specified in the SEC’s rules and forms.” Please disclose specifically when the material weakness was identified, the parties who identified the weakness and when the material weakness first began.</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RESPONSE: Beginning on page 47 of the 10-K Amendment, the Company has revised the disclosure in Item 9A of the 10-K Amendment in response to the Staff’s comment.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Changes in Internal Control Over Financial Reporting, page 48</w:t>
      </w:r>
    </w:p>
    <w:p>
      <w:pPr>
        <w:spacing w:after="0" w:line="71" w:lineRule="exact"/>
        <w:rPr>
          <w:sz w:val="20"/>
          <w:szCs w:val="20"/>
          <w:color w:val="auto"/>
        </w:rPr>
      </w:pPr>
    </w:p>
    <w:p>
      <w:pPr>
        <w:ind w:left="460" w:right="60" w:hanging="452"/>
        <w:spacing w:after="0" w:line="301" w:lineRule="auto"/>
        <w:tabs>
          <w:tab w:leader="none" w:pos="46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We note your disclosure “[e]xcept as described above, there has been no change in our internal controls over financial reporting during our most recent fiscal quarter that has materially affected, or is reasonably likely to materially affect, our internal controls over financial reporting.” Please revise to state clearly, if correct, that there </w:t>
      </w:r>
      <w:r>
        <w:rPr>
          <w:rFonts w:ascii="Arial" w:cs="Arial" w:eastAsia="Arial" w:hAnsi="Arial"/>
          <w:sz w:val="16"/>
          <w:szCs w:val="16"/>
          <w:i w:val="1"/>
          <w:iCs w:val="1"/>
          <w:color w:val="auto"/>
        </w:rPr>
        <w:t>were</w:t>
      </w:r>
      <w:r>
        <w:rPr>
          <w:rFonts w:ascii="Arial" w:cs="Arial" w:eastAsia="Arial" w:hAnsi="Arial"/>
          <w:sz w:val="16"/>
          <w:szCs w:val="16"/>
          <w:b w:val="1"/>
          <w:bCs w:val="1"/>
          <w:color w:val="auto"/>
        </w:rPr>
        <w:t xml:space="preserve"> changes in your internal control over financial reporting that occurred during this quarter that have materially affected, or are reasonably likely to materially affect, your internal control over financial reporting.</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RESPONSE: Beginning on page 47 of the 10-K Amendment, the Company has revised the disclosure in Item 9A of the 10-K Amendment in response to the Staff’s comment.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10-K/A for the Fiscal Year ended December 31, 2004</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Exhibits 31.1, 31.2, 31.3 and 31.4</w:t>
      </w:r>
    </w:p>
    <w:p>
      <w:pPr>
        <w:spacing w:after="0" w:line="71" w:lineRule="exact"/>
        <w:rPr>
          <w:sz w:val="20"/>
          <w:szCs w:val="20"/>
          <w:color w:val="auto"/>
        </w:rPr>
      </w:pPr>
    </w:p>
    <w:p>
      <w:pPr>
        <w:ind w:left="460" w:right="240" w:hanging="452"/>
        <w:spacing w:after="0" w:line="256" w:lineRule="auto"/>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Please amend your annual report to correct your certifications. Please delete the title of the officer from the top and the first sentence of each certification. The top of the certificate and the first sentence of the exhibit should simply state the officer’s name without reference to his title or the name of the registrant. Also, the certifications should correspond exactly to the certifications set forth in Item 601(b)(31) of Regulation S-K. We note, for example, that you have omitted language in paragraph 4.a. of your certification. Please re-file the entire Form 10-K with revised certifications.</w:t>
      </w:r>
    </w:p>
    <w:p>
      <w:pPr>
        <w:spacing w:after="0" w:line="13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RESPONSE: In response to the Staff’s comment, the Company has corrected and refiled the referenced certifications with the 10-K Amendment, pursuant to which the Form 10-K has</w:t>
      </w:r>
    </w:p>
    <w:p>
      <w:pPr>
        <w:sectPr>
          <w:pgSz w:w="11900" w:h="16838" w:orient="portrait"/>
          <w:cols w:equalWidth="0" w:num="1">
            <w:col w:w="11420"/>
          </w:cols>
          <w:pgMar w:left="240" w:top="280" w:right="2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 Christopher Owings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May 9, 2005</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sectPr>
          <w:pgSz w:w="11900" w:h="16838" w:orient="portrait"/>
          <w:cols w:equalWidth="0" w:num="2">
            <w:col w:w="9800" w:space="720"/>
            <w:col w:w="900"/>
          </w:cols>
          <w:pgMar w:left="240" w:top="280" w:right="239" w:bottom="1440" w:gutter="0" w:footer="0" w:header="0"/>
        </w:sectPr>
      </w:pPr>
    </w:p>
    <w:p>
      <w:pPr>
        <w:spacing w:after="0"/>
        <w:rPr>
          <w:sz w:val="20"/>
          <w:szCs w:val="20"/>
          <w:color w:val="auto"/>
        </w:rPr>
      </w:pPr>
      <w:r>
        <w:rPr>
          <w:rFonts w:ascii="Arial" w:cs="Arial" w:eastAsia="Arial" w:hAnsi="Arial"/>
          <w:sz w:val="15"/>
          <w:szCs w:val="15"/>
          <w:color w:val="auto"/>
        </w:rPr>
        <w:t>been refiled in its entirety. In each case such corrected certifications are dated and effective as the date of the original certifications.</w:t>
      </w:r>
    </w:p>
    <w:p>
      <w:pPr>
        <w:sectPr>
          <w:pgSz w:w="11900" w:h="16838" w:orient="portrait"/>
          <w:cols w:equalWidth="0" w:num="1">
            <w:col w:w="11420"/>
          </w:cols>
          <w:pgMar w:left="240" w:top="280" w:right="239" w:bottom="1440" w:gutter="0" w:footer="0" w:header="0"/>
          <w:type w:val="continuous"/>
        </w:sectPr>
      </w:pPr>
    </w:p>
    <w:p>
      <w:pPr>
        <w:spacing w:after="0" w:line="192"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sectPr>
          <w:pgSz w:w="11900" w:h="16838" w:orient="portrait"/>
          <w:cols w:equalWidth="0" w:num="5">
            <w:col w:w="3940" w:space="720"/>
            <w:col w:w="300" w:space="720"/>
            <w:col w:w="240" w:space="720"/>
            <w:col w:w="280" w:space="720"/>
            <w:col w:w="3780"/>
          </w:cols>
          <w:pgMar w:left="240" w:top="28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The Company respectfully submits that the foregoing responses are appropriately responsive to the comments of the Staff.</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Company acknowledges the Staff’s direction that an acceleration request with respect to the Form S-3 be submitted at least two business days prior to the requested effective date.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advise the Staff that the Form S-3 has been filed pursuant to contractual requirements to register the resale of certain shares of common stock sold in a private placement and that the Company is subject to penalties payable to the purchasers of such common stock in the event that the Form S-3 is not declared effective within the contractually committed timeframe. If the Staff has any further comments, we respectfully request the Staff to direct them to the undersigned as soon as practicable. We do appreciate the responsiveness of the Staff to date.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contact the undersigned at (512) 320-9284 should you have any questions regarding this response.</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ANDREWS KURTH LLP</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J. Matthew Lyons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 Matthew Lyons</w:t>
      </w:r>
    </w:p>
    <w:p>
      <w:pPr>
        <w:spacing w:after="0" w:line="158" w:lineRule="exact"/>
        <w:rPr>
          <w:sz w:val="20"/>
          <w:szCs w:val="20"/>
          <w:color w:val="auto"/>
        </w:rPr>
      </w:pPr>
    </w:p>
    <w:p>
      <w:pPr>
        <w:ind w:left="460" w:right="8900" w:hanging="452"/>
        <w:spacing w:after="0" w:line="286" w:lineRule="auto"/>
        <w:tabs>
          <w:tab w:leader="none" w:pos="4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Scott Andregg (Commission) Ellie Quarles (Commission)</w:t>
      </w:r>
    </w:p>
    <w:p>
      <w:pPr>
        <w:ind w:left="460" w:right="8200"/>
        <w:spacing w:after="0" w:line="281" w:lineRule="auto"/>
        <w:rPr>
          <w:rFonts w:ascii="Arial" w:cs="Arial" w:eastAsia="Arial" w:hAnsi="Arial"/>
          <w:sz w:val="16"/>
          <w:szCs w:val="16"/>
          <w:color w:val="auto"/>
        </w:rPr>
      </w:pPr>
      <w:r>
        <w:rPr>
          <w:rFonts w:ascii="Arial" w:cs="Arial" w:eastAsia="Arial" w:hAnsi="Arial"/>
          <w:sz w:val="16"/>
          <w:szCs w:val="16"/>
          <w:color w:val="auto"/>
        </w:rPr>
        <w:t>Joseph F. Pinkerton, III (Active Power) John Penver (Active Power)</w:t>
      </w:r>
    </w:p>
    <w:p>
      <w:pPr>
        <w:spacing w:after="0" w:line="1" w:lineRule="exact"/>
        <w:rPr>
          <w:rFonts w:ascii="Arial" w:cs="Arial" w:eastAsia="Arial" w:hAnsi="Arial"/>
          <w:sz w:val="16"/>
          <w:szCs w:val="16"/>
          <w:color w:val="auto"/>
        </w:rPr>
      </w:pPr>
    </w:p>
    <w:p>
      <w:pPr>
        <w:ind w:left="460" w:right="8300"/>
        <w:spacing w:after="0" w:line="302" w:lineRule="auto"/>
        <w:rPr>
          <w:rFonts w:ascii="Arial" w:cs="Arial" w:eastAsia="Arial" w:hAnsi="Arial"/>
          <w:sz w:val="16"/>
          <w:szCs w:val="16"/>
          <w:color w:val="auto"/>
        </w:rPr>
      </w:pPr>
      <w:r>
        <w:rPr>
          <w:rFonts w:ascii="Arial" w:cs="Arial" w:eastAsia="Arial" w:hAnsi="Arial"/>
          <w:sz w:val="16"/>
          <w:szCs w:val="16"/>
          <w:color w:val="auto"/>
        </w:rPr>
        <w:t>Michael Chibib (Active Power) Mike Blue (Ernst &amp; Young LLP) Ted A. Gilman (Andrews Kurth LLP)</w:t>
      </w:r>
    </w:p>
    <w:sectPr>
      <w:pgSz w:w="11900" w:h="16838" w:orient="portrait"/>
      <w:cols w:equalWidth="0" w:num="1">
        <w:col w:w="11420"/>
      </w:cols>
      <w:pgMar w:left="240" w:top="2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5"/>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3">
    <w:nsid w:val="25E45D32"/>
    <w:multiLevelType w:val="hybridMultilevel"/>
    <w:lvl w:ilvl="0">
      <w:lvlJc w:val="left"/>
      <w:lvlText w:val="(%1)"/>
      <w:numFmt w:val="lowerLetter"/>
      <w:start w:val="2"/>
    </w:lvl>
  </w:abstractNum>
  <w:abstractNum w:abstractNumId="14">
    <w:nsid w:val="519B500D"/>
    <w:multiLevelType w:val="hybridMultilevel"/>
    <w:lvl w:ilvl="0">
      <w:lvlJc w:val="left"/>
      <w:lvlText w:val="(%1)"/>
      <w:numFmt w:val="lowerLetter"/>
      <w:start w:val="8"/>
    </w:lvl>
    <w:lvl w:ilvl="1">
      <w:lvlJc w:val="left"/>
      <w:lvlText w:val="(%2)"/>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1."/>
      <w:numFmt w:val="decimal"/>
      <w:start w:val="2"/>
    </w:lvl>
  </w:abstractNum>
  <w:abstractNum w:abstractNumId="17">
    <w:nsid w:val="7C83E458"/>
    <w:multiLevelType w:val="hybridMultilevel"/>
    <w:lvl w:ilvl="0">
      <w:lvlJc w:val="left"/>
      <w:lvlText w:val="%1."/>
      <w:numFmt w:val="decimal"/>
      <w:start w:val="3"/>
    </w:lvl>
  </w:abstractNum>
  <w:abstractNum w:abstractNumId="18">
    <w:nsid w:val="257130A3"/>
    <w:multiLevelType w:val="hybridMultilevel"/>
    <w:lvl w:ilvl="0">
      <w:lvlJc w:val="left"/>
      <w:lvlText w:val="%1."/>
      <w:numFmt w:val="decimal"/>
      <w:start w:val="4"/>
    </w:lvl>
  </w:abstractNum>
  <w:abstractNum w:abstractNumId="19">
    <w:nsid w:val="62BBD95A"/>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2019-12-14T18:08:57Z</dcterms:created>
  <dcterms:modified xsi:type="dcterms:W3CDTF">2019-12-14T18:08:57Z</dcterms:modified>
</cp:coreProperties>
</file>