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5878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878195"/>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Poston Edwin A.</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P10,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03/19/2025</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1191"/>
        <w:spacing w:after="0"/>
        <w:rPr>
          <w:sz w:val="20"/>
          <w:szCs w:val="20"/>
          <w:color w:val="auto"/>
        </w:rPr>
      </w:pPr>
      <w:r>
        <w:rPr>
          <w:rFonts w:ascii="Times New Roman" w:cs="Times New Roman" w:eastAsia="Times New Roman" w:hAnsi="Times New Roman"/>
          <w:sz w:val="16"/>
          <w:szCs w:val="16"/>
          <w:color w:val="0000FF"/>
        </w:rPr>
        <w:t>See remarks</w:t>
      </w:r>
    </w:p>
    <w:p>
      <w:pPr>
        <w:spacing w:after="0" w:line="491" w:lineRule="exact"/>
        <w:rPr>
          <w:sz w:val="24"/>
          <w:szCs w:val="24"/>
          <w:color w:val="auto"/>
        </w:rPr>
      </w:pPr>
    </w:p>
    <w:p>
      <w:pPr>
        <w:sectPr>
          <w:pgSz w:w="11900" w:h="16838" w:orient="portrait"/>
          <w:cols w:equalWidth="0" w:num="3">
            <w:col w:w="3180" w:space="720"/>
            <w:col w:w="3109" w:space="720"/>
            <w:col w:w="3351"/>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3560" w:type="dxa"/>
            <w:vAlign w:val="bottom"/>
            <w:gridSpan w:val="7"/>
            <w:vMerge w:val="restart"/>
          </w:tcPr>
          <w:p>
            <w:pPr>
              <w:jc w:val="center"/>
              <w:ind w:right="36"/>
              <w:spacing w:after="0"/>
              <w:rPr>
                <w:sz w:val="20"/>
                <w:szCs w:val="20"/>
                <w:color w:val="auto"/>
              </w:rPr>
            </w:pPr>
            <w:r>
              <w:rPr>
                <w:rFonts w:ascii="Arial" w:cs="Arial" w:eastAsia="Arial" w:hAnsi="Arial"/>
                <w:sz w:val="13"/>
                <w:szCs w:val="13"/>
                <w:color w:val="auto"/>
                <w:w w:val="96"/>
              </w:rPr>
              <w:t>4. If Amendment, Date of Original Filed (Month/Day/Year)</w:t>
            </w:r>
          </w:p>
        </w:tc>
        <w:tc>
          <w:tcPr>
            <w:tcW w:w="3760" w:type="dxa"/>
            <w:vAlign w:val="bottom"/>
            <w:gridSpan w:val="9"/>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6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400"/>
              <w:spacing w:after="0" w:line="138" w:lineRule="exact"/>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75205</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2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30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30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2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3"/>
          </w:tcPr>
          <w:p>
            <w:pPr>
              <w:ind w:left="80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74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gridSpan w:val="4"/>
            <w:vMerge w:val="restart"/>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8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4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TrueBridge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0000FF"/>
              </w:rPr>
              <w:t>03/19/2025</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2"/>
              <w:spacing w:after="0"/>
              <w:rPr>
                <w:sz w:val="20"/>
                <w:szCs w:val="20"/>
                <w:color w:val="auto"/>
              </w:rPr>
            </w:pPr>
            <w:r>
              <w:rPr>
                <w:rFonts w:ascii="Times New Roman" w:cs="Times New Roman" w:eastAsia="Times New Roman" w:hAnsi="Times New Roman"/>
                <w:sz w:val="13"/>
                <w:szCs w:val="13"/>
                <w:color w:val="0000FF"/>
                <w:w w:val="91"/>
              </w:rPr>
              <w:t>C</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w w:val="99"/>
              </w:rPr>
              <w:t>1,304,161</w:t>
            </w: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(1)(2)</w:t>
            </w:r>
          </w:p>
        </w:tc>
        <w:tc>
          <w:tcPr>
            <w:tcW w:w="1480" w:type="dxa"/>
            <w:vAlign w:val="bottom"/>
            <w:gridSpan w:val="3"/>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2,673,531</w:t>
            </w:r>
          </w:p>
        </w:tc>
        <w:tc>
          <w:tcPr>
            <w:tcW w:w="620" w:type="dxa"/>
            <w:vAlign w:val="bottom"/>
          </w:tcPr>
          <w:p>
            <w:pPr>
              <w:jc w:val="center"/>
              <w:ind w:right="306"/>
              <w:spacing w:after="0" w:line="200"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9"/>
                <w:szCs w:val="9"/>
                <w:color w:val="008000"/>
              </w:rPr>
              <w:t>(3)</w:t>
            </w: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Colonial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Fund, u/a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11/15/2015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60,502</w:t>
            </w:r>
          </w:p>
        </w:tc>
        <w:tc>
          <w:tcPr>
            <w:tcW w:w="620" w:type="dxa"/>
            <w:vAlign w:val="bottom"/>
            <w:tcBorders>
              <w:bottom w:val="single" w:sz="8" w:color="2C2C2C"/>
            </w:tcBorders>
          </w:tcPr>
          <w:p>
            <w:pPr>
              <w:jc w:val="center"/>
              <w:ind w:right="306"/>
              <w:spacing w:after="0" w:line="299" w:lineRule="exact"/>
              <w:rPr>
                <w:sz w:val="20"/>
                <w:szCs w:val="20"/>
                <w:color w:val="auto"/>
              </w:rPr>
            </w:pPr>
            <w:r>
              <w:rPr>
                <w:rFonts w:ascii="Times New Roman" w:cs="Times New Roman" w:eastAsia="Times New Roman" w:hAnsi="Times New Roman"/>
                <w:sz w:val="32"/>
                <w:szCs w:val="32"/>
                <w:color w:val="0000FF"/>
                <w:w w:val="81"/>
                <w:vertAlign w:val="subscript"/>
              </w:rPr>
              <w:t>D</w:t>
            </w:r>
            <w:r>
              <w:rPr>
                <w:rFonts w:ascii="Times New Roman" w:cs="Times New Roman" w:eastAsia="Times New Roman" w:hAnsi="Times New Roman"/>
                <w:sz w:val="10"/>
                <w:szCs w:val="10"/>
                <w:color w:val="008000"/>
                <w:w w:val="81"/>
              </w:rPr>
              <w:t>(4)</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By Edwin</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80" w:type="dxa"/>
            <w:vAlign w:val="bottom"/>
            <w:gridSpan w:val="3"/>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521,664</w:t>
            </w:r>
          </w:p>
        </w:tc>
        <w:tc>
          <w:tcPr>
            <w:tcW w:w="620" w:type="dxa"/>
            <w:vAlign w:val="bottom"/>
            <w:vMerge w:val="restart"/>
          </w:tcPr>
          <w:p>
            <w:pPr>
              <w:jc w:val="center"/>
              <w:ind w:right="306"/>
              <w:spacing w:after="0" w:line="362" w:lineRule="exact"/>
              <w:rPr>
                <w:sz w:val="20"/>
                <w:szCs w:val="20"/>
                <w:color w:val="auto"/>
              </w:rPr>
            </w:pPr>
            <w:r>
              <w:rPr>
                <w:rFonts w:ascii="Times New Roman" w:cs="Times New Roman" w:eastAsia="Times New Roman" w:hAnsi="Times New Roman"/>
                <w:sz w:val="32"/>
                <w:szCs w:val="32"/>
                <w:color w:val="0000FF"/>
                <w:w w:val="95"/>
                <w:vertAlign w:val="subscript"/>
              </w:rPr>
              <w:t>I</w:t>
            </w:r>
            <w:r>
              <w:rPr>
                <w:rFonts w:ascii="Times New Roman" w:cs="Times New Roman" w:eastAsia="Times New Roman" w:hAnsi="Times New Roman"/>
                <w:sz w:val="10"/>
                <w:szCs w:val="10"/>
                <w:color w:val="008000"/>
                <w:w w:val="95"/>
              </w:rPr>
              <w:t>(5)</w:t>
            </w: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A. Poston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96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Revocable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jc w:val="center"/>
              <w:ind w:right="14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0"/>
          </w:tcPr>
          <w:p>
            <w:pPr>
              <w:jc w:val="center"/>
              <w:ind w:left="515"/>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0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20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80" w:type="dxa"/>
            <w:vAlign w:val="bottom"/>
            <w:gridSpan w:val="2"/>
          </w:tcPr>
          <w:p>
            <w:pPr>
              <w:ind w:left="20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880" w:type="dxa"/>
            <w:vAlign w:val="bottom"/>
            <w:gridSpan w:val="2"/>
          </w:tcPr>
          <w:p>
            <w:pPr>
              <w:ind w:left="20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80" w:type="dxa"/>
            <w:vAlign w:val="bottom"/>
            <w:gridSpan w:val="2"/>
          </w:tcPr>
          <w:p>
            <w:pPr>
              <w:ind w:left="20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Pr>
          <w:p>
            <w:pPr>
              <w:spacing w:after="0"/>
              <w:rPr>
                <w:sz w:val="5"/>
                <w:szCs w:val="5"/>
                <w:color w:val="auto"/>
              </w:rPr>
            </w:pPr>
          </w:p>
        </w:tc>
        <w:tc>
          <w:tcPr>
            <w:tcW w:w="13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Class B</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color w:val="008000"/>
              </w:rPr>
              <w:t>(1)(2)</w:t>
            </w: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008000"/>
              </w:rPr>
              <w:t>(1)(2)</w:t>
            </w:r>
          </w:p>
        </w:tc>
        <w:tc>
          <w:tcPr>
            <w:tcW w:w="6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99"/>
              </w:rPr>
              <w:t>1,304,161</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tcPr>
          <w:p>
            <w:pPr>
              <w:spacing w:after="0"/>
              <w:rPr>
                <w:sz w:val="11"/>
                <w:szCs w:val="11"/>
                <w:color w:val="auto"/>
              </w:rPr>
            </w:pPr>
          </w:p>
        </w:tc>
        <w:tc>
          <w:tcPr>
            <w:tcW w:w="620" w:type="dxa"/>
            <w:vAlign w:val="bottom"/>
            <w:vMerge w:val="restart"/>
          </w:tcPr>
          <w:p>
            <w:pPr>
              <w:ind w:left="420"/>
              <w:spacing w:after="0" w:line="275"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(3)</w:t>
            </w:r>
          </w:p>
        </w:tc>
        <w:tc>
          <w:tcPr>
            <w:tcW w:w="260" w:type="dxa"/>
            <w:vAlign w:val="bottom"/>
          </w:tcPr>
          <w:p>
            <w:pPr>
              <w:spacing w:after="0"/>
              <w:rPr>
                <w:sz w:val="11"/>
                <w:szCs w:val="11"/>
                <w:color w:val="auto"/>
              </w:rPr>
            </w:pPr>
          </w:p>
        </w:tc>
        <w:tc>
          <w:tcPr>
            <w:tcW w:w="700" w:type="dxa"/>
            <w:vAlign w:val="bottom"/>
            <w:tcBorders>
              <w:right w:val="single" w:sz="8" w:color="2C2C2C"/>
            </w:tcBorders>
            <w:gridSpan w:val="3"/>
          </w:tcPr>
          <w:p>
            <w:pPr>
              <w:ind w:left="40"/>
              <w:spacing w:after="0" w:line="138" w:lineRule="exact"/>
              <w:rPr>
                <w:sz w:val="20"/>
                <w:szCs w:val="20"/>
                <w:color w:val="auto"/>
              </w:rPr>
            </w:pPr>
            <w:r>
              <w:rPr>
                <w:rFonts w:ascii="Times New Roman" w:cs="Times New Roman" w:eastAsia="Times New Roman" w:hAnsi="Times New Roman"/>
                <w:sz w:val="13"/>
                <w:szCs w:val="13"/>
                <w:color w:val="0000FF"/>
              </w:rPr>
              <w:t>TrueBridge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177"/>
              <w:spacing w:after="0" w:line="138" w:lineRule="exact"/>
              <w:rPr>
                <w:sz w:val="20"/>
                <w:szCs w:val="20"/>
                <w:color w:val="auto"/>
              </w:rPr>
            </w:pPr>
            <w:r>
              <w:rPr>
                <w:rFonts w:ascii="Times New Roman" w:cs="Times New Roman" w:eastAsia="Times New Roman" w:hAnsi="Times New Roman"/>
                <w:sz w:val="13"/>
                <w:szCs w:val="13"/>
                <w:color w:val="0000FF"/>
              </w:rPr>
              <w:t>03/19/2025</w:t>
            </w:r>
          </w:p>
        </w:tc>
        <w:tc>
          <w:tcPr>
            <w:tcW w:w="1060" w:type="dxa"/>
            <w:vAlign w:val="bottom"/>
          </w:tcPr>
          <w:p>
            <w:pPr>
              <w:spacing w:after="0"/>
              <w:rPr>
                <w:sz w:val="11"/>
                <w:szCs w:val="11"/>
                <w:color w:val="auto"/>
              </w:rPr>
            </w:pPr>
          </w:p>
        </w:tc>
        <w:tc>
          <w:tcPr>
            <w:tcW w:w="740" w:type="dxa"/>
            <w:vAlign w:val="bottom"/>
            <w:gridSpan w:val="2"/>
          </w:tcPr>
          <w:p>
            <w:pPr>
              <w:ind w:left="16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100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0000FF"/>
              </w:rPr>
              <w:t>1,304,161</w:t>
            </w:r>
          </w:p>
        </w:tc>
        <w:tc>
          <w:tcPr>
            <w:tcW w:w="7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4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5,216,646</w:t>
            </w:r>
          </w:p>
        </w:tc>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Borders>
              <w:right w:val="single" w:sz="8" w:color="2C2C2C"/>
            </w:tcBorders>
            <w:gridSpan w:val="3"/>
          </w:tcPr>
          <w:p>
            <w:pPr>
              <w:ind w:left="40"/>
              <w:spacing w:after="0" w:line="138" w:lineRule="exact"/>
              <w:rPr>
                <w:sz w:val="20"/>
                <w:szCs w:val="20"/>
                <w:color w:val="auto"/>
              </w:rPr>
            </w:pPr>
            <w:r>
              <w:rPr>
                <w:rFonts w:ascii="Times New Roman" w:cs="Times New Roman" w:eastAsia="Times New Roman" w:hAnsi="Times New Roman"/>
                <w:sz w:val="13"/>
                <w:szCs w:val="13"/>
                <w:color w:val="0000FF"/>
              </w:rPr>
              <w:t>Colonial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center"/>
              <w:ind w:right="116"/>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Borders>
              <w:right w:val="single" w:sz="8" w:color="2C2C2C"/>
            </w:tcBorders>
            <w:gridSpan w:val="3"/>
          </w:tcPr>
          <w:p>
            <w:pPr>
              <w:ind w:left="40"/>
              <w:spacing w:after="0" w:line="138" w:lineRule="exact"/>
              <w:rPr>
                <w:sz w:val="20"/>
                <w:szCs w:val="20"/>
                <w:color w:val="auto"/>
              </w:rPr>
            </w:pPr>
            <w:r>
              <w:rPr>
                <w:rFonts w:ascii="Times New Roman" w:cs="Times New Roman" w:eastAsia="Times New Roman" w:hAnsi="Times New Roman"/>
                <w:sz w:val="13"/>
                <w:szCs w:val="13"/>
                <w:color w:val="0000FF"/>
              </w:rPr>
              <w:t>Fund, u/a</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11/15/2015</w:t>
            </w: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-1806575</wp:posOffset>
            </wp:positionV>
            <wp:extent cx="28575" cy="1812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122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50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2" w:lineRule="exact"/>
        <w:rPr>
          <w:rFonts w:ascii="Times New Roman" w:cs="Times New Roman" w:eastAsia="Times New Roman" w:hAnsi="Times New Roman"/>
          <w:sz w:val="13"/>
          <w:szCs w:val="13"/>
          <w:color w:val="008000"/>
        </w:rPr>
      </w:pPr>
    </w:p>
    <w:p>
      <w:pPr>
        <w:ind w:left="40" w:right="16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March 19, 2025, TrueBridge Colonial Fund, u/a 11/15/2015 ("TrueBridge Colonial") converted 1,304,161 shares of Class B Common Stock into an equivalent number of shares of Class A Common Stock.</w:t>
      </w:r>
    </w:p>
    <w:p>
      <w:pPr>
        <w:spacing w:after="0" w:line="24" w:lineRule="exact"/>
        <w:rPr>
          <w:rFonts w:ascii="Times New Roman" w:cs="Times New Roman" w:eastAsia="Times New Roman" w:hAnsi="Times New Roman"/>
          <w:sz w:val="13"/>
          <w:szCs w:val="13"/>
          <w:color w:val="008000"/>
        </w:rPr>
      </w:pPr>
    </w:p>
    <w:p>
      <w:pPr>
        <w:jc w:val="both"/>
        <w:ind w:left="40" w:right="46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and indirectly by TrueBridge Colonial. First Republic Trust Company of Delaware, as trustee of TrueBridge Colonial, may be deemed to beneficially own the securities of the Issuer owned directly and indirectly by TrueBridge Colonial. Mr. Poston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Poston.</w:t>
      </w:r>
    </w:p>
    <w:p>
      <w:pPr>
        <w:spacing w:after="0" w:line="38" w:lineRule="exact"/>
        <w:rPr>
          <w:rFonts w:ascii="Times New Roman" w:cs="Times New Roman" w:eastAsia="Times New Roman" w:hAnsi="Times New Roman"/>
          <w:sz w:val="13"/>
          <w:szCs w:val="13"/>
          <w:color w:val="008000"/>
        </w:rPr>
      </w:pPr>
    </w:p>
    <w:p>
      <w:pPr>
        <w:jc w:val="both"/>
        <w:ind w:left="40" w:right="28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Edwin A. Poston Revocable Trust (the "Poston Trust"). Mr. Poston, as sole trustee of the Poston Trust, may be deemed to beneficially own the securities of the Issuer owned indirectly by TrueBridge Colonial. Mr. Poston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4"/>
          <w:szCs w:val="24"/>
          <w:color w:val="auto"/>
        </w:rPr>
      </w:pPr>
    </w:p>
    <w:p>
      <w:pPr>
        <w:ind w:left="40" w:right="480"/>
        <w:spacing w:after="0" w:line="234" w:lineRule="auto"/>
        <w:rPr>
          <w:sz w:val="20"/>
          <w:szCs w:val="20"/>
          <w:color w:val="auto"/>
        </w:rPr>
      </w:pPr>
      <w:r>
        <w:rPr>
          <w:rFonts w:ascii="Times New Roman" w:cs="Times New Roman" w:eastAsia="Times New Roman" w:hAnsi="Times New Roman"/>
          <w:sz w:val="13"/>
          <w:szCs w:val="13"/>
          <w:color w:val="008000"/>
        </w:rPr>
        <w:t>Member of 10% Owner Group. This Form 4 is being filed on behalf of Edwin A. Poston (the "Reporting Person"). The Reporting Person may be deemed to be a member of a Section 13(d) group that collectively beneficially owns more than 10% of the Issuer's Common Stock. The securities reported herein do not include securities of the Issuer held by any other group member other than those securities held directly or indirectly by the Reporting Person. In addition, the Reporting Person serves as a director on the board of directors of the Issuer.</w:t>
      </w:r>
    </w:p>
    <w:p>
      <w:pPr>
        <w:spacing w:after="0" w:line="5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By: Dominic Hong,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-5080</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in-Fact for the Reporting Person, 03/21/2025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1868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 Dominic Hong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739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39775"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14"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2025-03-21T19:46:29Z</dcterms:created>
  <dcterms:modified xsi:type="dcterms:W3CDTF">2025-03-21T19:46:29Z</dcterms:modified>
</cp:coreProperties>
</file>