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7048500" cy="8811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8811260"/>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720" w:type="dxa"/>
            <w:vAlign w:val="bottom"/>
            <w:gridSpan w:val="7"/>
          </w:tcPr>
          <w:p>
            <w:pPr>
              <w:ind w:left="60"/>
              <w:spacing w:after="0"/>
              <w:rPr>
                <w:sz w:val="20"/>
                <w:szCs w:val="20"/>
                <w:color w:val="auto"/>
              </w:rPr>
            </w:pPr>
            <w:r>
              <w:rPr>
                <w:rFonts w:ascii="Arial" w:cs="Arial" w:eastAsia="Arial" w:hAnsi="Arial"/>
                <w:sz w:val="13"/>
                <w:szCs w:val="13"/>
                <w:color w:val="auto"/>
                <w:w w:val="96"/>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210 Capital, LLC</w:t>
              </w:r>
            </w:hyperlink>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4"/>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P10,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gridSpan w:val="6"/>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20" w:type="dxa"/>
            <w:vAlign w:val="bottom"/>
          </w:tcPr>
          <w:p>
            <w:pPr>
              <w:spacing w:after="0"/>
              <w:rPr>
                <w:sz w:val="9"/>
                <w:szCs w:val="9"/>
                <w:color w:val="auto"/>
              </w:rPr>
            </w:pPr>
          </w:p>
        </w:tc>
        <w:tc>
          <w:tcPr>
            <w:tcW w:w="1560" w:type="dxa"/>
            <w:vAlign w:val="bottom"/>
            <w:gridSpan w:val="6"/>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5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gridSpan w:val="6"/>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auto"/>
              </w:rPr>
              <w:t>below)</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ind w:left="300"/>
              <w:spacing w:after="0"/>
              <w:rPr>
                <w:sz w:val="20"/>
                <w:szCs w:val="20"/>
                <w:color w:val="auto"/>
              </w:rPr>
            </w:pPr>
            <w:r>
              <w:rPr>
                <w:rFonts w:ascii="Arial" w:cs="Arial" w:eastAsia="Arial" w:hAnsi="Arial"/>
                <w:sz w:val="13"/>
                <w:szCs w:val="13"/>
                <w:color w:val="auto"/>
                <w:w w:val="93"/>
              </w:rPr>
              <w:t>below)</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11/20/2024</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0000FF"/>
              </w:rPr>
              <w:t>See Remarks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gridSpan w:val="2"/>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2100" w:type="dxa"/>
            <w:vAlign w:val="bottom"/>
            <w:tcBorders>
              <w:bottom w:val="single" w:sz="8" w:color="808080"/>
            </w:tcBorders>
            <w:gridSpan w:val="4"/>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2900" w:type="dxa"/>
            <w:vAlign w:val="bottom"/>
            <w:tcBorders>
              <w:bottom w:val="single" w:sz="8" w:color="808080"/>
            </w:tcBorders>
            <w:gridSpan w:val="7"/>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330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460" w:type="dxa"/>
            <w:vAlign w:val="bottom"/>
            <w:tcBorders>
              <w:top w:val="single" w:sz="8" w:color="2C2C2C"/>
            </w:tcBorders>
          </w:tcPr>
          <w:p>
            <w:pPr>
              <w:spacing w:after="0"/>
              <w:rPr>
                <w:sz w:val="13"/>
                <w:szCs w:val="13"/>
                <w:color w:val="auto"/>
              </w:rPr>
            </w:pPr>
          </w:p>
        </w:tc>
        <w:tc>
          <w:tcPr>
            <w:tcW w:w="3300" w:type="dxa"/>
            <w:vAlign w:val="bottom"/>
            <w:tcBorders>
              <w:top w:val="single" w:sz="8" w:color="2C2C2C"/>
            </w:tcBorders>
            <w:gridSpan w:val="8"/>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DALLAS</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75205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60" w:type="dxa"/>
            <w:vAlign w:val="bottom"/>
            <w:gridSpan w:val="5"/>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60" w:type="dxa"/>
            <w:vAlign w:val="bottom"/>
            <w:gridSpan w:val="5"/>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80" w:type="dxa"/>
            <w:vAlign w:val="bottom"/>
            <w:gridSpan w:val="4"/>
          </w:tcPr>
          <w:p>
            <w:pPr>
              <w:ind w:left="540"/>
              <w:spacing w:after="0"/>
              <w:rPr>
                <w:sz w:val="20"/>
                <w:szCs w:val="20"/>
                <w:color w:val="auto"/>
              </w:rPr>
            </w:pPr>
            <w:r>
              <w:rPr>
                <w:rFonts w:ascii="Arial" w:cs="Arial" w:eastAsia="Arial" w:hAnsi="Arial"/>
                <w:sz w:val="11"/>
                <w:szCs w:val="11"/>
                <w:b w:val="1"/>
                <w:bCs w:val="1"/>
                <w:color w:val="auto"/>
              </w:rPr>
              <w:t>2. Transaction</w:t>
            </w:r>
          </w:p>
        </w:tc>
        <w:tc>
          <w:tcPr>
            <w:tcW w:w="1240" w:type="dxa"/>
            <w:vAlign w:val="bottom"/>
            <w:gridSpan w:val="4"/>
          </w:tcPr>
          <w:p>
            <w:pPr>
              <w:ind w:left="2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20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ind w:left="54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4"/>
          </w:tcPr>
          <w:p>
            <w:pPr>
              <w:ind w:left="22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Of (D) (Instr. 3, 4 and 5)</w:t>
            </w: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20" w:type="dxa"/>
            <w:vAlign w:val="bottom"/>
            <w:gridSpan w:val="8"/>
          </w:tcPr>
          <w:p>
            <w:pPr>
              <w:ind w:left="540"/>
              <w:spacing w:after="0" w:line="125" w:lineRule="exact"/>
              <w:rPr>
                <w:sz w:val="20"/>
                <w:szCs w:val="20"/>
                <w:color w:val="auto"/>
              </w:rPr>
            </w:pPr>
            <w:r>
              <w:rPr>
                <w:rFonts w:ascii="Arial" w:cs="Arial" w:eastAsia="Arial" w:hAnsi="Arial"/>
                <w:sz w:val="11"/>
                <w:szCs w:val="11"/>
                <w:b w:val="1"/>
                <w:bCs w:val="1"/>
                <w:color w:val="auto"/>
              </w:rPr>
              <w:t>(Month/Day/Year)  if any</w:t>
            </w:r>
          </w:p>
        </w:tc>
        <w:tc>
          <w:tcPr>
            <w:tcW w:w="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4"/>
          </w:tcPr>
          <w:p>
            <w:pPr>
              <w:ind w:left="22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gridSpan w:val="5"/>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 or</w:t>
            </w:r>
          </w:p>
        </w:tc>
        <w:tc>
          <w:tcPr>
            <w:tcW w:w="9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92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11/20/2024</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800,000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12.7773</w:t>
            </w:r>
            <w:r>
              <w:rPr>
                <w:rFonts w:ascii="Times New Roman" w:cs="Times New Roman" w:eastAsia="Times New Roman" w:hAnsi="Times New Roman"/>
                <w:sz w:val="20"/>
                <w:szCs w:val="20"/>
                <w:color w:val="008000"/>
                <w:w w:val="96"/>
                <w:vertAlign w:val="superscript"/>
              </w:rPr>
              <w:t>(3)</w:t>
            </w:r>
          </w:p>
        </w:tc>
        <w:tc>
          <w:tcPr>
            <w:tcW w:w="60" w:type="dxa"/>
            <w:vAlign w:val="bottom"/>
          </w:tcPr>
          <w:p>
            <w:pPr>
              <w:spacing w:after="0"/>
              <w:rPr>
                <w:sz w:val="20"/>
                <w:szCs w:val="20"/>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6"/>
                <w:szCs w:val="16"/>
                <w:color w:val="0000FF"/>
                <w:w w:val="99"/>
              </w:rPr>
              <w:t>333,000</w:t>
            </w:r>
          </w:p>
        </w:tc>
        <w:tc>
          <w:tcPr>
            <w:tcW w:w="220" w:type="dxa"/>
            <w:vAlign w:val="bottom"/>
          </w:tcPr>
          <w:p>
            <w:pPr>
              <w:spacing w:after="0"/>
              <w:rPr>
                <w:sz w:val="20"/>
                <w:szCs w:val="20"/>
                <w:color w:val="auto"/>
              </w:rPr>
            </w:pPr>
          </w:p>
        </w:tc>
        <w:tc>
          <w:tcPr>
            <w:tcW w:w="680" w:type="dxa"/>
            <w:vAlign w:val="bottom"/>
            <w:vMerge w:val="restart"/>
          </w:tcPr>
          <w:p>
            <w:pPr>
              <w:jc w:val="center"/>
              <w:ind w:right="2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11/20/2024</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2,000,000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(5)(6)</w:t>
            </w:r>
          </w:p>
        </w:tc>
        <w:tc>
          <w:tcPr>
            <w:tcW w:w="60" w:type="dxa"/>
            <w:vAlign w:val="bottom"/>
          </w:tcPr>
          <w:p>
            <w:pPr>
              <w:spacing w:after="0"/>
              <w:rPr>
                <w:sz w:val="20"/>
                <w:szCs w:val="20"/>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6"/>
                <w:szCs w:val="16"/>
                <w:color w:val="0000FF"/>
                <w:w w:val="99"/>
              </w:rPr>
              <w:t>2,333,000</w:t>
            </w:r>
          </w:p>
        </w:tc>
        <w:tc>
          <w:tcPr>
            <w:tcW w:w="220" w:type="dxa"/>
            <w:vAlign w:val="bottom"/>
          </w:tcPr>
          <w:p>
            <w:pPr>
              <w:spacing w:after="0"/>
              <w:rPr>
                <w:sz w:val="20"/>
                <w:szCs w:val="20"/>
                <w:color w:val="auto"/>
              </w:rPr>
            </w:pPr>
          </w:p>
        </w:tc>
        <w:tc>
          <w:tcPr>
            <w:tcW w:w="680" w:type="dxa"/>
            <w:vAlign w:val="bottom"/>
            <w:vMerge w:val="restart"/>
          </w:tcPr>
          <w:p>
            <w:pPr>
              <w:jc w:val="center"/>
              <w:ind w:right="2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11/21/2024</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333,000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13.1941</w:t>
            </w:r>
            <w:r>
              <w:rPr>
                <w:rFonts w:ascii="Times New Roman" w:cs="Times New Roman" w:eastAsia="Times New Roman" w:hAnsi="Times New Roman"/>
                <w:sz w:val="20"/>
                <w:szCs w:val="20"/>
                <w:color w:val="008000"/>
                <w:w w:val="96"/>
                <w:vertAlign w:val="superscript"/>
              </w:rPr>
              <w:t>(7)</w:t>
            </w:r>
          </w:p>
        </w:tc>
        <w:tc>
          <w:tcPr>
            <w:tcW w:w="60" w:type="dxa"/>
            <w:vAlign w:val="bottom"/>
          </w:tcPr>
          <w:p>
            <w:pPr>
              <w:spacing w:after="0"/>
              <w:rPr>
                <w:sz w:val="20"/>
                <w:szCs w:val="20"/>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6"/>
                <w:szCs w:val="16"/>
                <w:color w:val="0000FF"/>
                <w:w w:val="99"/>
              </w:rPr>
              <w:t>2,000,000</w:t>
            </w:r>
          </w:p>
        </w:tc>
        <w:tc>
          <w:tcPr>
            <w:tcW w:w="220" w:type="dxa"/>
            <w:vAlign w:val="bottom"/>
          </w:tcPr>
          <w:p>
            <w:pPr>
              <w:spacing w:after="0"/>
              <w:rPr>
                <w:sz w:val="20"/>
                <w:szCs w:val="20"/>
                <w:color w:val="auto"/>
              </w:rPr>
            </w:pPr>
          </w:p>
        </w:tc>
        <w:tc>
          <w:tcPr>
            <w:tcW w:w="680" w:type="dxa"/>
            <w:vAlign w:val="bottom"/>
            <w:vMerge w:val="restart"/>
          </w:tcPr>
          <w:p>
            <w:pPr>
              <w:jc w:val="center"/>
              <w:ind w:right="2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8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380" w:type="dxa"/>
            <w:vAlign w:val="bottom"/>
            <w:tcBorders>
              <w:top w:val="single" w:sz="8" w:color="2C2C2C"/>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11/21/2024</w:t>
            </w:r>
          </w:p>
        </w:tc>
        <w:tc>
          <w:tcPr>
            <w:tcW w:w="42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305,850</w:t>
            </w:r>
          </w:p>
        </w:tc>
        <w:tc>
          <w:tcPr>
            <w:tcW w:w="52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13.5217</w:t>
            </w:r>
            <w:r>
              <w:rPr>
                <w:rFonts w:ascii="Times New Roman" w:cs="Times New Roman" w:eastAsia="Times New Roman" w:hAnsi="Times New Roman"/>
                <w:sz w:val="20"/>
                <w:szCs w:val="20"/>
                <w:color w:val="008000"/>
                <w:w w:val="96"/>
                <w:vertAlign w:val="superscript"/>
              </w:rPr>
              <w:t>(8)</w:t>
            </w:r>
          </w:p>
        </w:tc>
        <w:tc>
          <w:tcPr>
            <w:tcW w:w="6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6"/>
                <w:szCs w:val="16"/>
                <w:color w:val="0000FF"/>
                <w:w w:val="99"/>
              </w:rPr>
              <w:t>30,880</w:t>
            </w:r>
          </w:p>
        </w:tc>
        <w:tc>
          <w:tcPr>
            <w:tcW w:w="2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jc w:val="center"/>
              <w:ind w:right="260"/>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(9)</w:t>
            </w:r>
          </w:p>
        </w:tc>
        <w:tc>
          <w:tcPr>
            <w:tcW w:w="18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38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11/21/2024</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0"/>
                <w:szCs w:val="10"/>
                <w:color w:val="008000"/>
              </w:rPr>
              <w:t>(10)</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10,000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13.65</w:t>
            </w:r>
            <w:r>
              <w:rPr>
                <w:rFonts w:ascii="Times New Roman" w:cs="Times New Roman" w:eastAsia="Times New Roman" w:hAnsi="Times New Roman"/>
                <w:sz w:val="20"/>
                <w:szCs w:val="20"/>
                <w:color w:val="008000"/>
                <w:w w:val="92"/>
                <w:vertAlign w:val="superscript"/>
              </w:rPr>
              <w:t>(11)</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6"/>
                <w:szCs w:val="16"/>
                <w:color w:val="0000FF"/>
                <w:w w:val="99"/>
              </w:rPr>
              <w:t>40,880</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60"/>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(9)</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38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11/21/2024</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3,350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13.66</w:t>
            </w:r>
            <w:r>
              <w:rPr>
                <w:rFonts w:ascii="Times New Roman" w:cs="Times New Roman" w:eastAsia="Times New Roman" w:hAnsi="Times New Roman"/>
                <w:sz w:val="20"/>
                <w:szCs w:val="20"/>
                <w:color w:val="008000"/>
                <w:w w:val="92"/>
                <w:vertAlign w:val="superscript"/>
              </w:rPr>
              <w:t>(12)</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6"/>
                <w:szCs w:val="16"/>
                <w:color w:val="0000FF"/>
                <w:w w:val="99"/>
              </w:rPr>
              <w:t>37,530</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60"/>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(9)</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38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11/22/2024</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36,495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13.6322</w:t>
            </w:r>
            <w:r>
              <w:rPr>
                <w:rFonts w:ascii="Times New Roman" w:cs="Times New Roman" w:eastAsia="Times New Roman" w:hAnsi="Times New Roman"/>
                <w:sz w:val="20"/>
                <w:szCs w:val="20"/>
                <w:color w:val="008000"/>
                <w:w w:val="93"/>
                <w:vertAlign w:val="superscript"/>
              </w:rPr>
              <w:t>(13)</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6"/>
                <w:szCs w:val="16"/>
                <w:color w:val="0000FF"/>
                <w:w w:val="99"/>
              </w:rPr>
              <w:t>1,035</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60"/>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(9)</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38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11/22/2024</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1,035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13.6557</w:t>
            </w:r>
            <w:r>
              <w:rPr>
                <w:rFonts w:ascii="Times New Roman" w:cs="Times New Roman" w:eastAsia="Times New Roman" w:hAnsi="Times New Roman"/>
                <w:sz w:val="20"/>
                <w:szCs w:val="20"/>
                <w:color w:val="008000"/>
                <w:w w:val="93"/>
                <w:vertAlign w:val="superscript"/>
              </w:rPr>
              <w:t>(14)</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3"/>
              <w:spacing w:after="0"/>
              <w:rPr>
                <w:sz w:val="20"/>
                <w:szCs w:val="20"/>
                <w:color w:val="auto"/>
              </w:rPr>
            </w:pPr>
            <w:r>
              <w:rPr>
                <w:rFonts w:ascii="Times New Roman" w:cs="Times New Roman" w:eastAsia="Times New Roman" w:hAnsi="Times New Roman"/>
                <w:sz w:val="16"/>
                <w:szCs w:val="16"/>
                <w:color w:val="0000FF"/>
                <w:w w:val="99"/>
              </w:rPr>
              <w:t>0</w:t>
            </w: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60"/>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(9)</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0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6"/>
                <w:szCs w:val="16"/>
                <w:color w:val="0000FF"/>
                <w:w w:val="99"/>
              </w:rPr>
              <w:t>339,028</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0"/>
              <w:spacing w:after="0" w:line="299" w:lineRule="exact"/>
              <w:rPr>
                <w:sz w:val="20"/>
                <w:szCs w:val="20"/>
                <w:color w:val="auto"/>
              </w:rPr>
            </w:pPr>
            <w:r>
              <w:rPr>
                <w:rFonts w:ascii="Times New Roman" w:cs="Times New Roman" w:eastAsia="Times New Roman" w:hAnsi="Times New Roman"/>
                <w:sz w:val="32"/>
                <w:szCs w:val="32"/>
                <w:color w:val="0000FF"/>
                <w:w w:val="93"/>
                <w:vertAlign w:val="subscript"/>
              </w:rPr>
              <w:t>D</w:t>
            </w:r>
            <w:r>
              <w:rPr>
                <w:rFonts w:ascii="Times New Roman" w:cs="Times New Roman" w:eastAsia="Times New Roman" w:hAnsi="Times New Roman"/>
                <w:sz w:val="10"/>
                <w:szCs w:val="10"/>
                <w:color w:val="008000"/>
                <w:w w:val="93"/>
              </w:rPr>
              <w:t>(15)</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0" w:type="dxa"/>
            <w:vAlign w:val="bottom"/>
            <w:gridSpan w:val="14"/>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20" w:type="dxa"/>
            <w:vAlign w:val="bottom"/>
          </w:tcPr>
          <w:p>
            <w:pPr>
              <w:spacing w:after="0"/>
              <w:rPr>
                <w:sz w:val="10"/>
                <w:szCs w:val="10"/>
                <w:color w:val="auto"/>
              </w:rPr>
            </w:pP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9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920" w:type="dxa"/>
            <w:vAlign w:val="bottom"/>
            <w:gridSpan w:val="3"/>
          </w:tcPr>
          <w:p>
            <w:pPr>
              <w:ind w:left="1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46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60" w:type="dxa"/>
            <w:vAlign w:val="bottom"/>
          </w:tcPr>
          <w:p>
            <w:pPr>
              <w:jc w:val="center"/>
              <w:ind w:right="759"/>
              <w:spacing w:after="0"/>
              <w:rPr>
                <w:sz w:val="20"/>
                <w:szCs w:val="20"/>
                <w:color w:val="auto"/>
              </w:rPr>
            </w:pPr>
            <w:r>
              <w:rPr>
                <w:rFonts w:ascii="Times New Roman" w:cs="Times New Roman" w:eastAsia="Times New Roman" w:hAnsi="Times New Roman"/>
                <w:sz w:val="13"/>
                <w:szCs w:val="13"/>
                <w:color w:val="0000FF"/>
                <w:w w:val="92"/>
              </w:rPr>
              <w:t>Class A</w:t>
            </w: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color w:val="008000"/>
              </w:rPr>
              <w:t>(5)(6)</w:t>
            </w:r>
          </w:p>
        </w:tc>
        <w:tc>
          <w:tcPr>
            <w:tcW w:w="1360" w:type="dxa"/>
            <w:vAlign w:val="bottom"/>
            <w:gridSpan w:val="2"/>
            <w:vMerge w:val="restart"/>
          </w:tcPr>
          <w:p>
            <w:pPr>
              <w:jc w:val="right"/>
              <w:ind w:right="460"/>
              <w:spacing w:after="0" w:line="138" w:lineRule="exact"/>
              <w:rPr>
                <w:sz w:val="20"/>
                <w:szCs w:val="20"/>
                <w:color w:val="auto"/>
              </w:rPr>
            </w:pPr>
            <w:r>
              <w:rPr>
                <w:rFonts w:ascii="Times New Roman" w:cs="Times New Roman" w:eastAsia="Times New Roman" w:hAnsi="Times New Roman"/>
                <w:sz w:val="13"/>
                <w:szCs w:val="13"/>
                <w:color w:val="0000FF"/>
              </w:rPr>
              <w:t>11/20/2024</w:t>
            </w:r>
          </w:p>
        </w:tc>
        <w:tc>
          <w:tcPr>
            <w:tcW w:w="1680" w:type="dxa"/>
            <w:vAlign w:val="bottom"/>
            <w:gridSpan w:val="2"/>
            <w:vMerge w:val="restart"/>
          </w:tcPr>
          <w:p>
            <w:pPr>
              <w:ind w:left="10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960" w:type="dxa"/>
            <w:vAlign w:val="bottom"/>
            <w:vMerge w:val="restart"/>
          </w:tcPr>
          <w:p>
            <w:pPr>
              <w:jc w:val="right"/>
              <w:ind w:right="97"/>
              <w:spacing w:after="0" w:line="138" w:lineRule="exact"/>
              <w:rPr>
                <w:sz w:val="20"/>
                <w:szCs w:val="20"/>
                <w:color w:val="auto"/>
              </w:rPr>
            </w:pPr>
            <w:r>
              <w:rPr>
                <w:rFonts w:ascii="Times New Roman" w:cs="Times New Roman" w:eastAsia="Times New Roman" w:hAnsi="Times New Roman"/>
                <w:sz w:val="13"/>
                <w:szCs w:val="13"/>
                <w:color w:val="0000FF"/>
              </w:rPr>
              <w:t>2,000,000</w:t>
            </w: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(5)(6)</w:t>
            </w: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color w:val="008000"/>
              </w:rPr>
              <w:t>(5)(6)</w:t>
            </w:r>
          </w:p>
        </w:tc>
        <w:tc>
          <w:tcPr>
            <w:tcW w:w="1560" w:type="dxa"/>
            <w:vAlign w:val="bottom"/>
            <w:vMerge w:val="restart"/>
          </w:tcPr>
          <w:p>
            <w:pPr>
              <w:ind w:left="140"/>
              <w:spacing w:after="0" w:line="138" w:lineRule="exact"/>
              <w:rPr>
                <w:sz w:val="20"/>
                <w:szCs w:val="20"/>
                <w:color w:val="auto"/>
              </w:rPr>
            </w:pPr>
            <w:r>
              <w:rPr>
                <w:rFonts w:ascii="Times New Roman" w:cs="Times New Roman" w:eastAsia="Times New Roman" w:hAnsi="Times New Roman"/>
                <w:sz w:val="12"/>
                <w:szCs w:val="12"/>
                <w:color w:val="0000FF"/>
              </w:rPr>
              <w:t xml:space="preserve">Common  </w:t>
            </w:r>
            <w:r>
              <w:rPr>
                <w:rFonts w:ascii="Times New Roman" w:cs="Times New Roman" w:eastAsia="Times New Roman" w:hAnsi="Times New Roman"/>
                <w:sz w:val="15"/>
                <w:szCs w:val="15"/>
                <w:color w:val="0000FF"/>
              </w:rPr>
              <w:t>2,000,000</w:t>
            </w:r>
          </w:p>
        </w:tc>
        <w:tc>
          <w:tcPr>
            <w:tcW w:w="520" w:type="dxa"/>
            <w:vAlign w:val="bottom"/>
            <w:vMerge w:val="restart"/>
          </w:tcPr>
          <w:p>
            <w:pPr>
              <w:jc w:val="right"/>
              <w:ind w:right="1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vMerge w:val="restart"/>
          </w:tcPr>
          <w:p>
            <w:pPr>
              <w:jc w:val="right"/>
              <w:ind w:right="197"/>
              <w:spacing w:after="0" w:line="138" w:lineRule="exact"/>
              <w:rPr>
                <w:sz w:val="20"/>
                <w:szCs w:val="20"/>
                <w:color w:val="auto"/>
              </w:rPr>
            </w:pPr>
            <w:r>
              <w:rPr>
                <w:rFonts w:ascii="Times New Roman" w:cs="Times New Roman" w:eastAsia="Times New Roman" w:hAnsi="Times New Roman"/>
                <w:sz w:val="13"/>
                <w:szCs w:val="13"/>
                <w:color w:val="0000FF"/>
              </w:rPr>
              <w:t>7,667,397</w:t>
            </w:r>
          </w:p>
        </w:tc>
        <w:tc>
          <w:tcPr>
            <w:tcW w:w="520" w:type="dxa"/>
            <w:vAlign w:val="bottom"/>
            <w:vMerge w:val="restart"/>
          </w:tcPr>
          <w:p>
            <w:pPr>
              <w:ind w:left="28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60" w:type="dxa"/>
            <w:vAlign w:val="bottom"/>
          </w:tcPr>
          <w:p>
            <w:pPr>
              <w:jc w:val="right"/>
              <w:ind w:right="43"/>
              <w:spacing w:after="0" w:line="80" w:lineRule="exact"/>
              <w:rPr>
                <w:sz w:val="20"/>
                <w:szCs w:val="20"/>
                <w:color w:val="auto"/>
              </w:rPr>
            </w:pPr>
            <w:r>
              <w:rPr>
                <w:rFonts w:ascii="Times New Roman" w:cs="Times New Roman" w:eastAsia="Times New Roman" w:hAnsi="Times New Roman"/>
                <w:sz w:val="9"/>
                <w:szCs w:val="9"/>
                <w:color w:val="008000"/>
              </w:rPr>
              <w:t>(4)</w:t>
            </w:r>
          </w:p>
        </w:tc>
        <w:tc>
          <w:tcPr>
            <w:tcW w:w="0" w:type="dxa"/>
            <w:vAlign w:val="bottom"/>
          </w:tcPr>
          <w:p>
            <w:pPr>
              <w:spacing w:after="0"/>
              <w:rPr>
                <w:sz w:val="1"/>
                <w:szCs w:val="1"/>
                <w:color w:val="auto"/>
              </w:rPr>
            </w:pPr>
          </w:p>
        </w:tc>
      </w:tr>
      <w:tr>
        <w:trPr>
          <w:trHeight w:val="270"/>
        </w:trPr>
        <w:tc>
          <w:tcPr>
            <w:tcW w:w="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gridSpan w:val="3"/>
          </w:tcPr>
          <w:p>
            <w:pPr>
              <w:ind w:left="60"/>
              <w:spacing w:after="0" w:line="224" w:lineRule="exact"/>
              <w:rPr>
                <w:sz w:val="20"/>
                <w:szCs w:val="20"/>
                <w:color w:val="auto"/>
              </w:rPr>
            </w:pPr>
            <w:r>
              <w:rPr>
                <w:rFonts w:ascii="Times New Roman" w:cs="Times New Roman" w:eastAsia="Times New Roman" w:hAnsi="Times New Roman"/>
                <w:sz w:val="25"/>
                <w:szCs w:val="25"/>
                <w:color w:val="0000FF"/>
                <w:vertAlign w:val="subscript"/>
              </w:rPr>
              <w:t>Stock</w:t>
            </w:r>
            <w:r>
              <w:rPr>
                <w:rFonts w:ascii="Times New Roman" w:cs="Times New Roman" w:eastAsia="Times New Roman" w:hAnsi="Times New Roman"/>
                <w:sz w:val="10"/>
                <w:szCs w:val="10"/>
                <w:color w:val="008000"/>
              </w:rPr>
              <w:t>(1)(2)</w:t>
            </w:r>
          </w:p>
        </w:tc>
        <w:tc>
          <w:tcPr>
            <w:tcW w:w="56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158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560" w:type="dxa"/>
            <w:vAlign w:val="bottom"/>
            <w:tcBorders>
              <w:bottom w:val="single" w:sz="8" w:color="2C2C2C"/>
            </w:tcBorders>
          </w:tcPr>
          <w:p>
            <w:pPr>
              <w:jc w:val="center"/>
              <w:ind w:right="75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680" w:type="dxa"/>
            <w:vAlign w:val="bottom"/>
            <w:tcBorders>
              <w:top w:val="single" w:sz="8" w:color="2C2C2C"/>
            </w:tcBorders>
            <w:gridSpan w:val="6"/>
          </w:tcPr>
          <w:p>
            <w:pPr>
              <w:ind w:left="60"/>
              <w:spacing w:after="0" w:line="22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210 Capital,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4514 COLE AVENUE, SUITE 1600</w:t>
      </w:r>
    </w:p>
    <w:p>
      <w:pPr>
        <w:spacing w:after="0" w:line="32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4" w:right="359" w:bottom="0" w:gutter="0" w:footer="0" w:header="0"/>
          <w:type w:val="continuous"/>
        </w:sectPr>
      </w:pPr>
    </w:p>
    <w:p>
      <w:pPr>
        <w:spacing w:after="0" w:line="2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6"/>
          <w:szCs w:val="16"/>
          <w:color w:val="0000FF"/>
        </w:rPr>
        <w:t>DALLAS</w:t>
      </w:r>
      <w:r>
        <w:rPr>
          <w:sz w:val="20"/>
          <w:szCs w:val="20"/>
          <w:color w:val="auto"/>
        </w:rPr>
        <w:tab/>
      </w:r>
      <w:r>
        <w:rPr>
          <w:rFonts w:ascii="Times New Roman" w:cs="Times New Roman" w:eastAsia="Times New Roman" w:hAnsi="Times New Roman"/>
          <w:sz w:val="16"/>
          <w:szCs w:val="16"/>
          <w:color w:val="0000FF"/>
        </w:rPr>
        <w:t>TX</w:t>
      </w:r>
      <w:r>
        <w:rPr>
          <w:sz w:val="20"/>
          <w:szCs w:val="20"/>
          <w:color w:val="auto"/>
        </w:rPr>
        <w:tab/>
      </w:r>
      <w:r>
        <w:rPr>
          <w:rFonts w:ascii="Times New Roman" w:cs="Times New Roman" w:eastAsia="Times New Roman" w:hAnsi="Times New Roman"/>
          <w:sz w:val="16"/>
          <w:szCs w:val="16"/>
          <w:color w:val="0000FF"/>
        </w:rPr>
        <w:t>75205</w:t>
      </w:r>
    </w:p>
    <w:p>
      <w:pPr>
        <w:sectPr>
          <w:pgSz w:w="11900" w:h="16838" w:orient="portrait"/>
          <w:cols w:equalWidth="0" w:num="1">
            <w:col w:w="11080"/>
          </w:cols>
          <w:pgMar w:left="460" w:top="214"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spacing w:after="0" w:line="213"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Alpert Robert H</w:t>
              </w:r>
            </w:hyperlink>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4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DALLAS</w:t>
            </w:r>
          </w:p>
        </w:tc>
        <w:tc>
          <w:tcPr>
            <w:tcW w:w="12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spacing w:after="0" w:line="213"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Webb C Clark</w:t>
              </w:r>
            </w:hyperlink>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4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DALLAS</w:t>
            </w:r>
          </w:p>
        </w:tc>
        <w:tc>
          <w:tcPr>
            <w:tcW w:w="12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-3193415</wp:posOffset>
            </wp:positionV>
            <wp:extent cx="2812415" cy="7914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2415" cy="791400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COVENANT RHA PARTNERS, L.P.</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DALLAS</w:t>
            </w:r>
          </w:p>
        </w:tc>
        <w:tc>
          <w:tcPr>
            <w:tcW w:w="1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3"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CCW/LAW Holdings,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DALLAS</w:t>
            </w:r>
          </w:p>
        </w:tc>
        <w:tc>
          <w:tcPr>
            <w:tcW w:w="1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3"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RHA Investments, Inc.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DALLAS</w:t>
            </w:r>
          </w:p>
        </w:tc>
        <w:tc>
          <w:tcPr>
            <w:tcW w:w="1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0" w:right="40" w:hanging="2"/>
        <w:spacing w:after="0" w:line="231"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(v) RHA Investments, Inc. ("RHA Investments"), in its capacity as general partner of RHA Partners; and (vi) Mr. Alpert, individually and in his capacity as President and sole shareholder of RHA Investments (collectively, the "Reporting Persons").</w:t>
      </w:r>
    </w:p>
    <w:p>
      <w:pPr>
        <w:spacing w:after="0" w:line="24"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(Continued from footnote 1) Each Reporting Person disclaims beneficial ownership of the securities of the Issuer reported herein, except to the extent of his or its pecuniary interest therein, and the filing of this Form</w:t>
      </w:r>
    </w:p>
    <w:p>
      <w:pPr>
        <w:spacing w:after="0" w:line="25" w:lineRule="exact"/>
        <w:rPr>
          <w:rFonts w:ascii="Times New Roman" w:cs="Times New Roman" w:eastAsia="Times New Roman" w:hAnsi="Times New Roman"/>
          <w:sz w:val="11"/>
          <w:szCs w:val="11"/>
          <w:color w:val="008000"/>
        </w:rPr>
      </w:pPr>
    </w:p>
    <w:p>
      <w:pPr>
        <w:ind w:left="20"/>
        <w:spacing w:after="0"/>
        <w:rPr>
          <w:rFonts w:ascii="Times New Roman" w:cs="Times New Roman" w:eastAsia="Times New Roman" w:hAnsi="Times New Roman"/>
          <w:sz w:val="11"/>
          <w:szCs w:val="11"/>
          <w:color w:val="008000"/>
        </w:rPr>
      </w:pPr>
      <w:r>
        <w:rPr>
          <w:rFonts w:ascii="Times New Roman" w:cs="Times New Roman" w:eastAsia="Times New Roman" w:hAnsi="Times New Roman"/>
          <w:sz w:val="13"/>
          <w:szCs w:val="13"/>
          <w:color w:val="008000"/>
        </w:rPr>
        <w:t>4 shall not be construed as an admission that such persons are beneficial owners of the securities of the Issuer reported herein.</w:t>
      </w:r>
    </w:p>
    <w:p>
      <w:pPr>
        <w:spacing w:after="0" w:line="24" w:lineRule="exact"/>
        <w:rPr>
          <w:rFonts w:ascii="Times New Roman" w:cs="Times New Roman" w:eastAsia="Times New Roman" w:hAnsi="Times New Roman"/>
          <w:sz w:val="11"/>
          <w:szCs w:val="11"/>
          <w:color w:val="008000"/>
        </w:rPr>
      </w:pPr>
    </w:p>
    <w:p>
      <w:pPr>
        <w:ind w:left="20" w:right="240" w:hanging="2"/>
        <w:spacing w:after="0" w:line="243"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$12.30 to $13.135,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2" w:lineRule="exact"/>
        <w:rPr>
          <w:rFonts w:ascii="Times New Roman" w:cs="Times New Roman" w:eastAsia="Times New Roman" w:hAnsi="Times New Roman"/>
          <w:sz w:val="13"/>
          <w:szCs w:val="13"/>
          <w:color w:val="008000"/>
        </w:rPr>
      </w:pPr>
    </w:p>
    <w:p>
      <w:pPr>
        <w:ind w:left="20" w:right="240" w:hanging="2"/>
        <w:spacing w:after="0" w:line="243"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22" w:lineRule="exact"/>
        <w:rPr>
          <w:rFonts w:ascii="Times New Roman" w:cs="Times New Roman" w:eastAsia="Times New Roman" w:hAnsi="Times New Roman"/>
          <w:sz w:val="13"/>
          <w:szCs w:val="13"/>
          <w:color w:val="008000"/>
        </w:rPr>
      </w:pPr>
    </w:p>
    <w:p>
      <w:pPr>
        <w:ind w:left="20" w:right="360" w:hanging="2"/>
        <w:spacing w:after="0" w:line="243"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2" w:lineRule="exact"/>
        <w:rPr>
          <w:rFonts w:ascii="Times New Roman" w:cs="Times New Roman" w:eastAsia="Times New Roman" w:hAnsi="Times New Roman"/>
          <w:sz w:val="13"/>
          <w:szCs w:val="13"/>
          <w:color w:val="008000"/>
        </w:rPr>
      </w:pPr>
    </w:p>
    <w:p>
      <w:pPr>
        <w:jc w:val="both"/>
        <w:ind w:left="20" w:hanging="2"/>
        <w:spacing w:after="0" w:line="229"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5: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November 20, 2024, the Reporting Persons elected to convert 2,000,000 shares of Class B Common Stock into an equivalent number of shares of Class A Common Stock.</w:t>
      </w:r>
    </w:p>
    <w:p>
      <w:pPr>
        <w:spacing w:after="0" w:line="24" w:lineRule="exact"/>
        <w:rPr>
          <w:rFonts w:ascii="Times New Roman" w:cs="Times New Roman" w:eastAsia="Times New Roman" w:hAnsi="Times New Roman"/>
          <w:sz w:val="13"/>
          <w:szCs w:val="13"/>
          <w:color w:val="008000"/>
        </w:rPr>
      </w:pPr>
    </w:p>
    <w:p>
      <w:pPr>
        <w:ind w:left="20" w:right="240" w:hanging="2"/>
        <w:spacing w:after="0" w:line="243"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$13.00 to $13.405,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2" w:lineRule="exact"/>
        <w:rPr>
          <w:rFonts w:ascii="Times New Roman" w:cs="Times New Roman" w:eastAsia="Times New Roman" w:hAnsi="Times New Roman"/>
          <w:sz w:val="13"/>
          <w:szCs w:val="13"/>
          <w:color w:val="008000"/>
        </w:rPr>
      </w:pPr>
    </w:p>
    <w:p>
      <w:pPr>
        <w:ind w:left="20" w:right="300" w:hanging="2"/>
        <w:spacing w:after="0" w:line="243"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$13.32 to $13.64,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2"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38" w:lineRule="exact"/>
        <w:rPr>
          <w:rFonts w:ascii="Times New Roman" w:cs="Times New Roman" w:eastAsia="Times New Roman" w:hAnsi="Times New Roman"/>
          <w:sz w:val="13"/>
          <w:szCs w:val="13"/>
          <w:color w:val="008000"/>
        </w:rPr>
      </w:pPr>
    </w:p>
    <w:p>
      <w:pPr>
        <w:ind w:left="20" w:right="300" w:hanging="2"/>
        <w:spacing w:after="0" w:line="243" w:lineRule="auto"/>
        <w:tabs>
          <w:tab w:leader="none" w:pos="20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inadvertent purchase not directed by Mr. Webb. Without admitting that error trades are subject to reporting or disgorgement under Section 16, Mr. Webb has agreed to voluntarily disgorge the short swing profits realized by Mr. Webb as a result of any relevant transactions. Prior to filing this Form 4, Mr. Webb contacted the Issuer to make arrangements for payment of such disgorgement.</w:t>
      </w:r>
    </w:p>
    <w:p>
      <w:pPr>
        <w:sectPr>
          <w:pgSz w:w="11900" w:h="16838" w:orient="portrait"/>
          <w:cols w:equalWidth="0" w:num="1">
            <w:col w:w="10920"/>
          </w:cols>
          <w:pgMar w:left="480" w:top="128" w:right="499" w:bottom="0" w:gutter="0" w:footer="0" w:header="0"/>
        </w:sectPr>
      </w:pPr>
    </w:p>
    <w:bookmarkStart w:id="2" w:name="page3"/>
    <w:bookmarkEnd w:id="2"/>
    <w:p>
      <w:pPr>
        <w:ind w:left="182" w:hanging="182"/>
        <w:spacing w:after="0"/>
        <w:tabs>
          <w:tab w:leader="none" w:pos="18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price per share for a single transaction.</w:t>
      </w:r>
    </w:p>
    <w:p>
      <w:pPr>
        <w:spacing w:after="0" w:line="38" w:lineRule="exact"/>
        <w:rPr>
          <w:rFonts w:ascii="Times New Roman" w:cs="Times New Roman" w:eastAsia="Times New Roman" w:hAnsi="Times New Roman"/>
          <w:sz w:val="13"/>
          <w:szCs w:val="13"/>
          <w:color w:val="008000"/>
        </w:rPr>
      </w:pPr>
    </w:p>
    <w:p>
      <w:pPr>
        <w:ind w:left="2" w:right="120" w:hanging="2"/>
        <w:spacing w:after="0" w:line="243"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$13.66 to $13.6601,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2" w:lineRule="exact"/>
        <w:rPr>
          <w:rFonts w:ascii="Times New Roman" w:cs="Times New Roman" w:eastAsia="Times New Roman" w:hAnsi="Times New Roman"/>
          <w:sz w:val="13"/>
          <w:szCs w:val="13"/>
          <w:color w:val="008000"/>
        </w:rPr>
      </w:pPr>
    </w:p>
    <w:p>
      <w:pPr>
        <w:ind w:left="2" w:hanging="2"/>
        <w:spacing w:after="0" w:line="243"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$13.6295 to $13.6498,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2" w:lineRule="exact"/>
        <w:rPr>
          <w:rFonts w:ascii="Times New Roman" w:cs="Times New Roman" w:eastAsia="Times New Roman" w:hAnsi="Times New Roman"/>
          <w:sz w:val="13"/>
          <w:szCs w:val="13"/>
          <w:color w:val="008000"/>
        </w:rPr>
      </w:pPr>
    </w:p>
    <w:p>
      <w:pPr>
        <w:ind w:left="2" w:hanging="2"/>
        <w:spacing w:after="0" w:line="243"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$13.6504 to $13.6594,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2"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w:t>
      </w:r>
    </w:p>
    <w:p>
      <w:pPr>
        <w:spacing w:after="0" w:line="63"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/s/C. Clark Webb,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-5080</wp:posOffset>
            </wp:positionV>
            <wp:extent cx="1276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7" w:lineRule="exact"/>
        <w:rPr>
          <w:sz w:val="20"/>
          <w:szCs w:val="20"/>
          <w:color w:val="auto"/>
        </w:rPr>
      </w:pPr>
    </w:p>
    <w:p>
      <w:pPr>
        <w:ind w:left="6562"/>
        <w:spacing w:after="0"/>
        <w:tabs>
          <w:tab w:leader="none" w:pos="8742" w:val="left"/>
        </w:tabs>
        <w:rPr>
          <w:sz w:val="20"/>
          <w:szCs w:val="20"/>
          <w:color w:val="auto"/>
        </w:rPr>
      </w:pPr>
      <w:r>
        <w:rPr>
          <w:rFonts w:ascii="Times New Roman" w:cs="Times New Roman" w:eastAsia="Times New Roman" w:hAnsi="Times New Roman"/>
          <w:sz w:val="16"/>
          <w:szCs w:val="16"/>
          <w:color w:val="0000FF"/>
        </w:rPr>
        <w:t>in-Fact for the Reporting</w:t>
      </w:r>
      <w:r>
        <w:rPr>
          <w:sz w:val="20"/>
          <w:szCs w:val="20"/>
          <w:color w:val="auto"/>
        </w:rPr>
        <w:tab/>
      </w:r>
      <w:r>
        <w:rPr>
          <w:rFonts w:ascii="Times New Roman" w:cs="Times New Roman" w:eastAsia="Times New Roman" w:hAnsi="Times New Roman"/>
          <w:sz w:val="15"/>
          <w:szCs w:val="15"/>
          <w:color w:val="0000FF"/>
        </w:rPr>
        <w:t>11/22/2024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863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6372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321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321310" cy="8255"/>
                    </a:xfrm>
                    <a:prstGeom prst="rect">
                      <a:avLst/>
                    </a:prstGeom>
                    <a:noFill/>
                  </pic:spPr>
                </pic:pic>
              </a:graphicData>
            </a:graphic>
          </wp:anchor>
        </w:drawing>
      </w:r>
    </w:p>
    <w:p>
      <w:pPr>
        <w:spacing w:after="0" w:line="36" w:lineRule="exact"/>
        <w:rPr>
          <w:sz w:val="20"/>
          <w:szCs w:val="20"/>
          <w:color w:val="auto"/>
        </w:r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3680" w:hanging="2"/>
        <w:spacing w:after="0" w:line="355" w:lineRule="auto"/>
        <w:tabs>
          <w:tab w:leader="none" w:pos="13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2"/>
      </w:cols>
      <w:pgMar w:left="498"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5" Type="http://schemas.openxmlformats.org/officeDocument/2006/relationships/hyperlink" Target="http://www.sec.gov/cgi-bin/browse-edgar?action=getcompany&amp;CIK=0001694574" TargetMode="External"/><Relationship Id="rId16" Type="http://schemas.openxmlformats.org/officeDocument/2006/relationships/hyperlink" Target="http://www.sec.gov/cgi-bin/browse-edgar?action=getcompany&amp;CIK=0001694507" TargetMode="External"/><Relationship Id="rId18" Type="http://schemas.openxmlformats.org/officeDocument/2006/relationships/hyperlink" Target="http://www.sec.gov/cgi-bin/browse-edgar?action=getcompany&amp;CIK=0001274195" TargetMode="External"/><Relationship Id="rId19" Type="http://schemas.openxmlformats.org/officeDocument/2006/relationships/hyperlink" Target="http://www.sec.gov/cgi-bin/browse-edgar?action=getcompany&amp;CIK=0001694778" TargetMode="External"/><Relationship Id="rId20"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2024-11-22T19:16:12Z</dcterms:created>
  <dcterms:modified xsi:type="dcterms:W3CDTF">2024-11-22T19:16:12Z</dcterms:modified>
</cp:coreProperties>
</file>