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25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395"/>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778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780" w:type="dxa"/>
            <w:vAlign w:val="bottom"/>
          </w:tcPr>
          <w:p>
            <w:pPr>
              <w:jc w:val="center"/>
              <w:ind w:left="3375"/>
              <w:spacing w:after="0" w:line="387" w:lineRule="exact"/>
              <w:rPr>
                <w:sz w:val="20"/>
                <w:szCs w:val="20"/>
                <w:color w:val="auto"/>
              </w:rPr>
            </w:pPr>
            <w:r>
              <w:rPr>
                <w:rFonts w:ascii="Times New Roman" w:cs="Times New Roman" w:eastAsia="Times New Roman" w:hAnsi="Times New Roman"/>
                <w:sz w:val="36"/>
                <w:szCs w:val="36"/>
                <w:b w:val="1"/>
                <w:bCs w:val="1"/>
                <w:color w:val="auto"/>
              </w:rPr>
              <w:t>P10,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7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780" w:type="dxa"/>
            <w:vAlign w:val="bottom"/>
          </w:tcPr>
          <w:p>
            <w:pPr>
              <w:jc w:val="center"/>
              <w:ind w:right="207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87-2908160</w:t>
            </w:r>
          </w:p>
        </w:tc>
        <w:tc>
          <w:tcPr>
            <w:tcW w:w="0" w:type="dxa"/>
            <w:vAlign w:val="bottom"/>
          </w:tcPr>
          <w:p>
            <w:pPr>
              <w:spacing w:after="0"/>
              <w:rPr>
                <w:sz w:val="1"/>
                <w:szCs w:val="1"/>
                <w:color w:val="auto"/>
              </w:rPr>
            </w:pPr>
          </w:p>
        </w:tc>
      </w:tr>
      <w:tr>
        <w:trPr>
          <w:trHeight w:val="149"/>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2699 Howell Street, Suite 1000</w:t>
            </w:r>
          </w:p>
        </w:tc>
        <w:tc>
          <w:tcPr>
            <w:tcW w:w="3460" w:type="dxa"/>
            <w:vAlign w:val="bottom"/>
          </w:tcPr>
          <w:p>
            <w:pPr>
              <w:jc w:val="right"/>
              <w:ind w:right="2568"/>
              <w:spacing w:after="0" w:line="149" w:lineRule="exact"/>
              <w:rPr>
                <w:sz w:val="20"/>
                <w:szCs w:val="20"/>
                <w:color w:val="auto"/>
              </w:rPr>
            </w:pPr>
            <w:r>
              <w:rPr>
                <w:rFonts w:ascii="Times New Roman" w:cs="Times New Roman" w:eastAsia="Times New Roman" w:hAnsi="Times New Roman"/>
                <w:sz w:val="14"/>
                <w:szCs w:val="14"/>
                <w:b w:val="1"/>
                <w:bCs w:val="1"/>
                <w:color w:val="auto"/>
              </w:rPr>
              <w:t>75204</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Dallas, TX</w:t>
            </w:r>
          </w:p>
        </w:tc>
        <w:tc>
          <w:tcPr>
            <w:tcW w:w="3460" w:type="dxa"/>
            <w:vAlign w:val="bottom"/>
            <w:vMerge w:val="restart"/>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3"/>
        </w:trPr>
        <w:tc>
          <w:tcPr>
            <w:tcW w:w="4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r>
      <w:tr>
        <w:trPr>
          <w:trHeight w:val="182"/>
        </w:trPr>
        <w:tc>
          <w:tcPr>
            <w:tcW w:w="4960" w:type="dxa"/>
            <w:vAlign w:val="bottom"/>
          </w:tcPr>
          <w:p>
            <w:pPr>
              <w:jc w:val="right"/>
              <w:ind w:right="1868"/>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PX</w:t>
            </w:r>
          </w:p>
        </w:tc>
        <w:tc>
          <w:tcPr>
            <w:tcW w:w="220" w:type="dxa"/>
            <w:vAlign w:val="bottom"/>
          </w:tcPr>
          <w:p>
            <w:pPr>
              <w:spacing w:after="0"/>
              <w:rPr>
                <w:sz w:val="15"/>
                <w:szCs w:val="15"/>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235"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3"/>
                <w:szCs w:val="13"/>
                <w:color w:val="auto"/>
              </w:rPr>
            </w:pPr>
          </w:p>
        </w:tc>
      </w:tr>
      <w:tr>
        <w:trPr>
          <w:trHeight w:val="148"/>
        </w:trPr>
        <w:tc>
          <w:tcPr>
            <w:tcW w:w="10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8"/>
        </w:trPr>
        <w:tc>
          <w:tcPr>
            <w:tcW w:w="10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6"/>
                <w:szCs w:val="16"/>
                <w:color w:val="auto"/>
              </w:rPr>
            </w:pP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4, 2025, there were 77,843,007 shares of the registrant's Class A common stock and 32,033,260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3"/>
            <w:vMerge w:val="restart"/>
          </w:tcPr>
          <w:p>
            <w:pPr>
              <w:spacing w:after="0"/>
              <w:rPr>
                <w:sz w:val="24"/>
                <w:szCs w:val="24"/>
                <w:color w:val="auto"/>
              </w:rPr>
            </w:pPr>
          </w:p>
        </w:tc>
        <w:tc>
          <w:tcPr>
            <w:tcW w:w="928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928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vMerge w:val="continue"/>
          </w:tcPr>
          <w:p>
            <w:pPr>
              <w:spacing w:after="0"/>
              <w:rPr>
                <w:sz w:val="24"/>
                <w:szCs w:val="24"/>
                <w:color w:val="auto"/>
              </w:rPr>
            </w:pPr>
          </w:p>
        </w:tc>
        <w:tc>
          <w:tcPr>
            <w:tcW w:w="92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00" w:type="dxa"/>
            <w:vAlign w:val="bottom"/>
            <w:gridSpan w:val="2"/>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9"/>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323"/>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receivable</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assets, net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Intangibles, net</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7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558,150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100" w:type="dxa"/>
            <w:vAlign w:val="bottom"/>
            <w:tcBorders>
              <w:bottom w:val="single" w:sz="8" w:color="CFF0FC"/>
            </w:tcBorders>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7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932,165</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9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obligations</w:t>
            </w:r>
          </w:p>
        </w:tc>
        <w:tc>
          <w:tcPr>
            <w:tcW w:w="17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4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1980" w:type="dxa"/>
            <w:vAlign w:val="bottom"/>
            <w:gridSpan w:val="2"/>
            <w:shd w:val="clear" w:color="auto" w:fill="CFF0FC"/>
          </w:tcPr>
          <w:p>
            <w:pPr>
              <w:jc w:val="right"/>
              <w:ind w:right="536"/>
              <w:spacing w:after="0" w:line="198" w:lineRule="exact"/>
              <w:rPr>
                <w:sz w:val="20"/>
                <w:szCs w:val="20"/>
                <w:color w:val="auto"/>
              </w:rPr>
            </w:pPr>
            <w:r>
              <w:rPr>
                <w:rFonts w:ascii="Times New Roman" w:cs="Times New Roman" w:eastAsia="Times New Roman" w:hAnsi="Times New Roman"/>
                <w:sz w:val="18"/>
                <w:szCs w:val="18"/>
                <w:color w:val="auto"/>
              </w:rPr>
              <w:t>89,916,171 issued</w:t>
            </w: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77,840,781 outstanding as of June 30, 2025, and 75,974,076 issued and</w:t>
            </w: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67,614,875 outstanding as of December 31, 2024, respectively</w:t>
            </w:r>
          </w:p>
        </w:tc>
        <w:tc>
          <w:tcPr>
            <w:tcW w:w="1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4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B common stock, $0.001 par value; 180,000,000 shares authorized; 32,158,937 shares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32,035,486 shares outstanding as of June 30, 2025, and 43,584,893 shares issued</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43,461,442 shares outstanding as of December 31, 2024, respectively</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Treasury stock</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(117,875)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(76,648)</w:t>
            </w: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(206,407)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(214,312)</w:t>
            </w:r>
          </w:p>
        </w:tc>
      </w:tr>
      <w:tr>
        <w:trPr>
          <w:trHeight w:val="216"/>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386,890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932,165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-3916680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-3899535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-4062730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-3916680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-3899535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-4062730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-316230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-316230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9" w:right="61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71,516</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68,475</w:t>
            </w:r>
          </w:p>
        </w:tc>
        <w:tc>
          <w:tcPr>
            <w:tcW w:w="12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138,251</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54,971</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111,412</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(6,799)</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(6,115)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(13,216)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(loss)/income</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(5,354)</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(12,153)</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(5,731)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(18,418)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(1,380)</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118,722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-3728720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-3728720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-3728720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-3728720</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-2622550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-2622550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-2622550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-2622550</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-1773555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-1773555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-1773555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-1773555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-1482090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-1482090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-1482090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-1482090</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-1045210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-1045210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-1045210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6"/>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P10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-1028065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-1028065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-1028065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-1028065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-744855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-744855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-744855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-744855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-453390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-453390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-453390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-453390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tcPr>
          <w:p>
            <w:pPr>
              <w:spacing w:after="0"/>
              <w:rPr>
                <w:sz w:val="11"/>
                <w:szCs w:val="11"/>
                <w:color w:val="auto"/>
              </w:rPr>
            </w:pPr>
          </w:p>
        </w:tc>
        <w:tc>
          <w:tcPr>
            <w:tcW w:w="1460" w:type="dxa"/>
            <w:vAlign w:val="bottom"/>
            <w:gridSpan w:val="4"/>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5"/>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20" w:type="dxa"/>
            <w:vAlign w:val="bottom"/>
          </w:tcPr>
          <w:p>
            <w:pPr>
              <w:spacing w:after="0"/>
              <w:rPr>
                <w:sz w:val="11"/>
                <w:szCs w:val="11"/>
                <w:color w:val="auto"/>
              </w:rPr>
            </w:pP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Non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60" w:type="dxa"/>
            <w:vAlign w:val="bottom"/>
          </w:tcPr>
          <w:p>
            <w:pPr>
              <w:spacing w:after="0"/>
              <w:rPr>
                <w:sz w:val="10"/>
                <w:szCs w:val="10"/>
                <w:color w:val="auto"/>
              </w:rPr>
            </w:pPr>
          </w:p>
        </w:tc>
        <w:tc>
          <w:tcPr>
            <w:tcW w:w="72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40" w:type="dxa"/>
            <w:vAlign w:val="bottom"/>
            <w:gridSpan w:val="3"/>
          </w:tcPr>
          <w:p>
            <w:pPr>
              <w:jc w:val="right"/>
              <w:ind w:right="18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140" w:type="dxa"/>
            <w:vAlign w:val="bottom"/>
          </w:tcPr>
          <w:p>
            <w:pPr>
              <w:spacing w:after="0"/>
              <w:rPr>
                <w:sz w:val="10"/>
                <w:szCs w:val="10"/>
                <w:color w:val="auto"/>
              </w:rPr>
            </w:pPr>
          </w:p>
        </w:tc>
        <w:tc>
          <w:tcPr>
            <w:tcW w:w="72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16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60" w:type="dxa"/>
            <w:vAlign w:val="bottom"/>
          </w:tcPr>
          <w:p>
            <w:pPr>
              <w:spacing w:after="0"/>
              <w:rPr>
                <w:sz w:val="11"/>
                <w:szCs w:val="11"/>
                <w:color w:val="auto"/>
              </w:rPr>
            </w:pPr>
          </w:p>
        </w:tc>
        <w:tc>
          <w:tcPr>
            <w:tcW w:w="7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40" w:type="dxa"/>
            <w:vAlign w:val="bottom"/>
          </w:tcPr>
          <w:p>
            <w:pPr>
              <w:spacing w:after="0"/>
              <w:rPr>
                <w:sz w:val="11"/>
                <w:szCs w:val="11"/>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660" w:type="dxa"/>
            <w:vAlign w:val="bottom"/>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57,623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58</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58,474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1,841</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(17,588)</w:t>
            </w: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636,073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(233,012)</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39,573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425,162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6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5,021</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222</w:t>
            </w: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5,243</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6,175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68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employee tax withholding and strike</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(2,207)</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(2,207)</w:t>
            </w: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price</w:t>
            </w: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(3,683)</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3,683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(30,034)</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(30,038)</w:t>
            </w: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(300)</w:t>
            </w:r>
          </w:p>
        </w:tc>
        <w:tc>
          <w:tcPr>
            <w:tcW w:w="6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(300)</w:t>
            </w:r>
          </w:p>
        </w:tc>
        <w:tc>
          <w:tcPr>
            <w:tcW w:w="0" w:type="dxa"/>
            <w:vAlign w:val="bottom"/>
          </w:tcPr>
          <w:p>
            <w:pPr>
              <w:spacing w:after="0"/>
              <w:rPr>
                <w:sz w:val="1"/>
                <w:szCs w:val="1"/>
                <w:color w:val="auto"/>
              </w:rPr>
            </w:pPr>
          </w:p>
        </w:tc>
      </w:tr>
      <w:tr>
        <w:trPr>
          <w:trHeight w:val="73"/>
        </w:trPr>
        <w:tc>
          <w:tcPr>
            <w:tcW w:w="16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(153)</w:t>
            </w:r>
          </w:p>
        </w:tc>
        <w:tc>
          <w:tcPr>
            <w:tcW w:w="14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7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$0.03</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(3,774)</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(3,774)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54,583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55</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58,439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58</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5,524</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(47,622)</w:t>
            </w: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635,944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(227,991)</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39,642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400,086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6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6,993</w:t>
            </w: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397</w:t>
            </w: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7,390</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6,654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awards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132</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employee tax withholding and strike</w:t>
            </w:r>
          </w:p>
        </w:tc>
        <w:tc>
          <w:tcPr>
            <w:tcW w:w="8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0" w:type="dxa"/>
            <w:vAlign w:val="bottom"/>
          </w:tcPr>
          <w:p>
            <w:pPr>
              <w:spacing w:after="0"/>
              <w:rPr>
                <w:sz w:val="1"/>
                <w:szCs w:val="1"/>
                <w:color w:val="auto"/>
              </w:rPr>
            </w:pPr>
          </w:p>
        </w:tc>
      </w:tr>
      <w:tr>
        <w:trPr>
          <w:trHeight w:val="135"/>
        </w:trPr>
        <w:tc>
          <w:tcPr>
            <w:tcW w:w="16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price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(1,534)</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1,534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(12,463)</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(12,465)</w:t>
            </w:r>
          </w:p>
        </w:tc>
        <w:tc>
          <w:tcPr>
            <w:tcW w:w="0" w:type="dxa"/>
            <w:vAlign w:val="bottom"/>
          </w:tcPr>
          <w:p>
            <w:pPr>
              <w:spacing w:after="0"/>
              <w:rPr>
                <w:sz w:val="1"/>
                <w:szCs w:val="1"/>
                <w:color w:val="auto"/>
              </w:rPr>
            </w:pPr>
          </w:p>
        </w:tc>
      </w:tr>
      <w:tr>
        <w:trPr>
          <w:trHeight w:val="108"/>
        </w:trPr>
        <w:tc>
          <w:tcPr>
            <w:tcW w:w="16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(61)</w:t>
            </w:r>
          </w:p>
        </w:tc>
        <w:tc>
          <w:tcPr>
            <w:tcW w:w="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(61)</w:t>
            </w:r>
          </w:p>
        </w:tc>
        <w:tc>
          <w:tcPr>
            <w:tcW w:w="0" w:type="dxa"/>
            <w:vAlign w:val="bottom"/>
          </w:tcPr>
          <w:p>
            <w:pPr>
              <w:spacing w:after="0"/>
              <w:rPr>
                <w:sz w:val="1"/>
                <w:szCs w:val="1"/>
                <w:color w:val="auto"/>
              </w:rPr>
            </w:pPr>
          </w:p>
        </w:tc>
      </w:tr>
      <w:tr>
        <w:trPr>
          <w:trHeight w:val="7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(171)</w:t>
            </w:r>
          </w:p>
        </w:tc>
        <w:tc>
          <w:tcPr>
            <w:tcW w:w="14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73"/>
        </w:trPr>
        <w:tc>
          <w:tcPr>
            <w:tcW w:w="16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66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(3,934)</w:t>
            </w: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(3,934)</w:t>
            </w:r>
          </w:p>
        </w:tc>
        <w:tc>
          <w:tcPr>
            <w:tcW w:w="0" w:type="dxa"/>
            <w:vAlign w:val="bottom"/>
          </w:tcPr>
          <w:p>
            <w:pPr>
              <w:spacing w:after="0"/>
              <w:rPr>
                <w:sz w:val="1"/>
                <w:szCs w:val="1"/>
                <w:color w:val="auto"/>
              </w:rPr>
            </w:pPr>
          </w:p>
        </w:tc>
      </w:tr>
      <w:tr>
        <w:trPr>
          <w:trHeight w:val="20"/>
        </w:trPr>
        <w:tc>
          <w:tcPr>
            <w:tcW w:w="16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53,471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53</w:t>
            </w:r>
          </w:p>
        </w:tc>
        <w:tc>
          <w:tcPr>
            <w:tcW w:w="26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58,208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58</w:t>
            </w:r>
          </w:p>
        </w:tc>
        <w:tc>
          <w:tcPr>
            <w:tcW w:w="22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7,058</w:t>
            </w:r>
          </w:p>
        </w:tc>
        <w:tc>
          <w:tcPr>
            <w:tcW w:w="32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(60,085)</w:t>
            </w:r>
          </w:p>
        </w:tc>
        <w:tc>
          <w:tcPr>
            <w:tcW w:w="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637,971</w:t>
            </w:r>
          </w:p>
        </w:tc>
        <w:tc>
          <w:tcPr>
            <w:tcW w:w="120" w:type="dxa"/>
            <w:vAlign w:val="bottom"/>
          </w:tcPr>
          <w:p>
            <w:pPr>
              <w:spacing w:after="0"/>
              <w:rPr>
                <w:sz w:val="10"/>
                <w:szCs w:val="10"/>
                <w:color w:val="auto"/>
              </w:rPr>
            </w:pPr>
          </w:p>
        </w:tc>
        <w:tc>
          <w:tcPr>
            <w:tcW w:w="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(220,998)</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39,868</w:t>
            </w:r>
          </w:p>
        </w:tc>
        <w:tc>
          <w:tcPr>
            <w:tcW w:w="12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396,867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-2794000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-2776855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-2794000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-2776855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-2794000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-2776855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-2794000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-2776855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-2794000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-2776855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-2794000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-2776855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-2794000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-2776855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-2794000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-2776855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-2794000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-2776855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-2794000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-2776855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-1447800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-1431290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-1447800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-1431290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-1447800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-1431290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-1447800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-1431290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-1447800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-1431290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-1447800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-1431290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-1431290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-1447800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-1431290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-1447800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-1431290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-1447800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-1431290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-110490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-110490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-110490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-110490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-110490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-110490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-110490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-110490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-110490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-110490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1520" w:type="dxa"/>
            <w:vAlign w:val="bottom"/>
            <w:gridSpan w:val="4"/>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72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60" w:type="dxa"/>
            <w:vAlign w:val="bottom"/>
          </w:tcPr>
          <w:p>
            <w:pPr>
              <w:spacing w:after="0"/>
              <w:rPr>
                <w:sz w:val="10"/>
                <w:szCs w:val="10"/>
                <w:color w:val="auto"/>
              </w:rPr>
            </w:pPr>
          </w:p>
        </w:tc>
        <w:tc>
          <w:tcPr>
            <w:tcW w:w="74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00" w:type="dxa"/>
            <w:vAlign w:val="bottom"/>
          </w:tcPr>
          <w:p>
            <w:pPr>
              <w:spacing w:after="0"/>
              <w:rPr>
                <w:sz w:val="10"/>
                <w:szCs w:val="10"/>
                <w:color w:val="auto"/>
              </w:rPr>
            </w:pPr>
          </w:p>
        </w:tc>
        <w:tc>
          <w:tcPr>
            <w:tcW w:w="82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00" w:type="dxa"/>
            <w:vAlign w:val="bottom"/>
          </w:tcPr>
          <w:p>
            <w:pPr>
              <w:spacing w:after="0"/>
              <w:rPr>
                <w:sz w:val="10"/>
                <w:szCs w:val="10"/>
                <w:color w:val="auto"/>
              </w:rPr>
            </w:pPr>
          </w:p>
        </w:tc>
        <w:tc>
          <w:tcPr>
            <w:tcW w:w="66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67,615</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68</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43,461</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8,483</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(76,648)</w:t>
            </w: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637,848</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(214,312)</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39,891</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386,890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2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4,522</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174</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4,696</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6,565</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units</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0"/>
                <w:szCs w:val="10"/>
                <w:color w:val="auto"/>
              </w:rPr>
            </w:pP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w w:val="97"/>
              </w:rPr>
              <w:t>Exchange of Class B common stock</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8,839</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(8,839)</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7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employee tax withholding and</w:t>
            </w:r>
          </w:p>
        </w:tc>
        <w:tc>
          <w:tcPr>
            <w:tcW w:w="8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(391)</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(4,693)</w:t>
            </w: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(4,693)</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strike price</w:t>
            </w: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(1,215)</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(14,970)</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(14,971)</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(224)</w:t>
            </w: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73"/>
        </w:trPr>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8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(3,868)</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(3,868)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75,816</w:t>
            </w:r>
          </w:p>
        </w:tc>
        <w:tc>
          <w:tcPr>
            <w:tcW w:w="1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76</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34,622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9,698</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(91,618)</w:t>
            </w: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635,625</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(209,790)</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39,927</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374,255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2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3,383</w:t>
            </w: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817</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4,200</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4,036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144</w:t>
            </w: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equity consideration</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19,281</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related to acquisition</w:t>
            </w:r>
          </w:p>
        </w:tc>
        <w:tc>
          <w:tcPr>
            <w:tcW w:w="7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restricted stock awards</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w w:val="97"/>
              </w:rPr>
              <w:t>Exchange of Class B common stock</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(2,586)</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for Class A common stock</w:t>
            </w:r>
          </w:p>
        </w:tc>
        <w:tc>
          <w:tcPr>
            <w:tcW w:w="7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employee tax withholding and</w:t>
            </w:r>
          </w:p>
        </w:tc>
        <w:tc>
          <w:tcPr>
            <w:tcW w:w="8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(865)</w:t>
            </w: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(865)</w:t>
            </w:r>
          </w:p>
        </w:tc>
        <w:tc>
          <w:tcPr>
            <w:tcW w:w="0" w:type="dxa"/>
            <w:vAlign w:val="bottom"/>
          </w:tcPr>
          <w:p>
            <w:pPr>
              <w:spacing w:after="0"/>
              <w:rPr>
                <w:sz w:val="1"/>
                <w:szCs w:val="1"/>
                <w:color w:val="auto"/>
              </w:rPr>
            </w:pPr>
          </w:p>
        </w:tc>
      </w:tr>
      <w:tr>
        <w:trPr>
          <w:trHeight w:val="135"/>
        </w:trPr>
        <w:tc>
          <w:tcPr>
            <w:tcW w:w="1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strike price</w:t>
            </w: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 repurchase</w:t>
            </w:r>
          </w:p>
        </w:tc>
        <w:tc>
          <w:tcPr>
            <w:tcW w:w="8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(2,501)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(26,257)</w:t>
            </w: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(26,260)</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Accrual for excise tax associated</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with stock repurchases</w:t>
            </w:r>
          </w:p>
        </w:tc>
        <w:tc>
          <w:tcPr>
            <w:tcW w:w="8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Issuance of noncontrolling interests</w:t>
            </w:r>
          </w:p>
        </w:tc>
        <w:tc>
          <w:tcPr>
            <w:tcW w:w="8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(1,086)</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(221)</w:t>
            </w:r>
          </w:p>
        </w:tc>
        <w:tc>
          <w:tcPr>
            <w:tcW w:w="0" w:type="dxa"/>
            <w:vAlign w:val="bottom"/>
          </w:tcPr>
          <w:p>
            <w:pPr>
              <w:spacing w:after="0"/>
              <w:rPr>
                <w:sz w:val="1"/>
                <w:szCs w:val="1"/>
                <w:color w:val="auto"/>
              </w:rPr>
            </w:pPr>
          </w:p>
        </w:tc>
      </w:tr>
      <w:tr>
        <w:trPr>
          <w:trHeight w:val="73"/>
        </w:trPr>
        <w:tc>
          <w:tcPr>
            <w:tcW w:w="16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interests, net</w:t>
            </w:r>
          </w:p>
        </w:tc>
        <w:tc>
          <w:tcPr>
            <w:tcW w:w="88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380" w:type="dxa"/>
            <w:vAlign w:val="bottom"/>
            <w:gridSpan w:val="2"/>
            <w:vMerge w:val="continue"/>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tcBorders>
              <w:right w:val="single" w:sz="8" w:color="CFF0FC"/>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60" w:type="dxa"/>
            <w:vAlign w:val="bottom"/>
            <w:tcBorders>
              <w:right w:val="single" w:sz="8" w:color="CFF0FC"/>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62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Dividends paid per share $0.04</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(4,226)</w:t>
            </w: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(4,226)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77,841</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78</w:t>
            </w: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32,036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12,199</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(117,875)</w:t>
            </w: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657,800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4,036</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(206,407)</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51,277</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388,941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-2948305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-2931160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-2948305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-2931160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-2948305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-2931160</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-2948305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-2931160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-2948305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-2931160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-2948305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-2931160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-2948305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-2931160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-2948305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-2931160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-2948305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-2931160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-2948305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-2931160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-1602105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-1584960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-1602105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-1584960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-1602105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-1584960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-1602105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-1584960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-1602105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-1584960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-1602105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-1584960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-1602105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-1584960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-1602105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-1584960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-1602105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-1584960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-1602105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-1584960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1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Six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June 30,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2720" w:type="dxa"/>
            <w:vAlign w:val="bottom"/>
            <w:gridSpan w:val="2"/>
          </w:tcPr>
          <w:p>
            <w:pPr>
              <w:jc w:val="right"/>
              <w:ind w:right="90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8,896</w:t>
            </w:r>
          </w:p>
        </w:tc>
        <w:tc>
          <w:tcPr>
            <w:tcW w:w="140" w:type="dxa"/>
            <w:vAlign w:val="bottom"/>
          </w:tcPr>
          <w:p>
            <w:pPr>
              <w:spacing w:after="0"/>
              <w:rPr>
                <w:sz w:val="11"/>
                <w:szCs w:val="11"/>
                <w:color w:val="auto"/>
              </w:rPr>
            </w:pPr>
          </w:p>
        </w:tc>
        <w:tc>
          <w:tcPr>
            <w:tcW w:w="44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Depreciation expense</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Income from unconsolidated subsidiaries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(853)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tax expense</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4,168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Loss on issuance of noncontrolling interests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contra-revenue put option</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contingent payment to customers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11,849</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(2,825)</w:t>
            </w:r>
          </w:p>
        </w:tc>
        <w:tc>
          <w:tcPr>
            <w:tcW w:w="0" w:type="dxa"/>
            <w:vAlign w:val="bottom"/>
          </w:tcPr>
          <w:p>
            <w:pPr>
              <w:spacing w:after="0"/>
              <w:rPr>
                <w:sz w:val="1"/>
                <w:szCs w:val="1"/>
                <w:color w:val="auto"/>
              </w:rPr>
            </w:pPr>
          </w:p>
        </w:tc>
      </w:tr>
      <w:tr>
        <w:trPr>
          <w:trHeight w:val="135"/>
        </w:trPr>
        <w:tc>
          <w:tcPr>
            <w:tcW w:w="608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from related parties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(12,435)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(11,000)</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(10,849)</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(6,666)</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2,451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Accrued compensation and benefits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(18,500)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to related parties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135"/>
        </w:trPr>
        <w:tc>
          <w:tcPr>
            <w:tcW w:w="608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(633)</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Contingent consideration</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(2,214)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8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Deferred revenues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(1,268)</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(2,354)</w:t>
            </w:r>
          </w:p>
        </w:tc>
        <w:tc>
          <w:tcPr>
            <w:tcW w:w="0" w:type="dxa"/>
            <w:vAlign w:val="bottom"/>
          </w:tcPr>
          <w:p>
            <w:pPr>
              <w:spacing w:after="0"/>
              <w:rPr>
                <w:sz w:val="1"/>
                <w:szCs w:val="1"/>
                <w:color w:val="auto"/>
              </w:rPr>
            </w:pPr>
          </w:p>
        </w:tc>
      </w:tr>
      <w:tr>
        <w:trPr>
          <w:trHeight w:val="158"/>
        </w:trPr>
        <w:tc>
          <w:tcPr>
            <w:tcW w:w="6080" w:type="dxa"/>
            <w:vAlign w:val="bottom"/>
            <w:tcBorders>
              <w:top w:val="single" w:sz="8" w:color="CFF0FC"/>
            </w:tcBorders>
          </w:tcPr>
          <w:p>
            <w:pPr>
              <w:ind w:left="58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700" w:type="dxa"/>
            <w:vAlign w:val="bottom"/>
            <w:tcBorders>
              <w:top w:val="single" w:sz="8" w:color="CFF0FC"/>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8,657</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45,786</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Acquisitions, net of cash acquired</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(40,237)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Funding of notes receivable</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Proceeds from notes receivable</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Investments in unconsolidated subsidiaries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from investments in unconsolidated subsidiaries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Software capitalization</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(3,093)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8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(42,935)</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(1,135)</w:t>
            </w:r>
          </w:p>
        </w:tc>
        <w:tc>
          <w:tcPr>
            <w:tcW w:w="0" w:type="dxa"/>
            <w:vAlign w:val="bottom"/>
          </w:tcPr>
          <w:p>
            <w:pPr>
              <w:spacing w:after="0"/>
              <w:rPr>
                <w:sz w:val="1"/>
                <w:szCs w:val="1"/>
                <w:color w:val="auto"/>
              </w:rPr>
            </w:pPr>
          </w:p>
        </w:tc>
      </w:tr>
      <w:tr>
        <w:trPr>
          <w:trHeight w:val="135"/>
        </w:trPr>
        <w:tc>
          <w:tcPr>
            <w:tcW w:w="60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Borrowings on debt obligations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59,500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Repayments on debt obligations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(53,912)</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(41,231)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(42,503)</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(5,559)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(2,677)</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Payment of contingent consideration</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(1,244)</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(8,094)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(7,708)</w:t>
            </w:r>
          </w:p>
        </w:tc>
        <w:tc>
          <w:tcPr>
            <w:tcW w:w="0" w:type="dxa"/>
            <w:vAlign w:val="bottom"/>
          </w:tcPr>
          <w:p>
            <w:pPr>
              <w:spacing w:after="0"/>
              <w:rPr>
                <w:sz w:val="1"/>
                <w:szCs w:val="1"/>
                <w:color w:val="auto"/>
              </w:rPr>
            </w:pPr>
          </w:p>
        </w:tc>
      </w:tr>
      <w:tr>
        <w:trPr>
          <w:trHeight w:val="135"/>
        </w:trPr>
        <w:tc>
          <w:tcPr>
            <w:tcW w:w="60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Issuance of noncontrolling interests</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interests</w:t>
            </w:r>
          </w:p>
        </w:tc>
        <w:tc>
          <w:tcPr>
            <w:tcW w:w="1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28"/>
        </w:trPr>
        <w:tc>
          <w:tcPr>
            <w:tcW w:w="6080" w:type="dxa"/>
            <w:vAlign w:val="bottom"/>
            <w:tcBorders>
              <w:top w:val="single" w:sz="8" w:color="CFF0FC"/>
              <w:bottom w:val="single" w:sz="8" w:color="CFF0FC"/>
            </w:tcBorders>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700" w:type="dxa"/>
            <w:vAlign w:val="bottom"/>
            <w:tcBorders>
              <w:top w:val="single" w:sz="8" w:color="CFF0FC"/>
              <w:bottom w:val="single" w:sz="8" w:color="CFF0FC"/>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306</w:t>
            </w: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340" w:type="dxa"/>
            <w:vAlign w:val="bottom"/>
            <w:tcBorders>
              <w:top w:val="single" w:sz="8" w:color="auto"/>
              <w:bottom w:val="single" w:sz="8" w:color="auto"/>
            </w:tcBorders>
            <w:shd w:val="clear" w:color="auto" w:fill="CFF0FC"/>
          </w:tcPr>
          <w:p>
            <w:pPr>
              <w:spacing w:after="0"/>
              <w:rPr>
                <w:sz w:val="11"/>
                <w:szCs w:val="11"/>
                <w:color w:val="auto"/>
              </w:rPr>
            </w:pP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(44,506)</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Effect of foreign currency exchange rate changes on cash and cash equivalents</w:t>
            </w:r>
          </w:p>
        </w:tc>
        <w:tc>
          <w:tcPr>
            <w:tcW w:w="17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8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17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(33,901)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8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w:t>
            </w:r>
          </w:p>
        </w:tc>
        <w:tc>
          <w:tcPr>
            <w:tcW w:w="1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68,115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0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of period</w:t>
            </w:r>
          </w:p>
        </w:tc>
        <w:tc>
          <w:tcPr>
            <w:tcW w:w="17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0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end of</w:t>
            </w:r>
          </w:p>
        </w:tc>
        <w:tc>
          <w:tcPr>
            <w:tcW w:w="17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ind w:right="90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34,214</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FF0FC"/>
            </w:tcBorders>
            <w:shd w:val="clear" w:color="auto" w:fill="CFF0FC"/>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period</w:t>
            </w:r>
          </w:p>
        </w:tc>
        <w:tc>
          <w:tcPr>
            <w:tcW w:w="17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vMerge w:val="continue"/>
            <w:shd w:val="clear" w:color="auto" w:fill="CFF0FC"/>
          </w:tcPr>
          <w:p>
            <w:pPr>
              <w:spacing w:after="0"/>
              <w:rPr>
                <w:sz w:val="13"/>
                <w:szCs w:val="13"/>
                <w:color w:val="auto"/>
              </w:rPr>
            </w:pPr>
          </w:p>
        </w:tc>
        <w:tc>
          <w:tcPr>
            <w:tcW w:w="12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-2357120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-2357120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-637540</wp:posOffset>
            </wp:positionV>
            <wp:extent cx="93980"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-637540</wp:posOffset>
            </wp:positionV>
            <wp:extent cx="102870" cy="128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Six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June 30,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r>
      <w:tr>
        <w:trPr>
          <w:trHeight w:val="128"/>
        </w:trPr>
        <w:tc>
          <w:tcPr>
            <w:tcW w:w="5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9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000" w:type="dxa"/>
            <w:vAlign w:val="bottom"/>
            <w:gridSpan w:val="2"/>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12,937</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11,042</w:t>
            </w:r>
          </w:p>
        </w:tc>
        <w:tc>
          <w:tcPr>
            <w:tcW w:w="120" w:type="dxa"/>
            <w:vAlign w:val="bottom"/>
          </w:tcPr>
          <w:p>
            <w:pPr>
              <w:spacing w:after="0"/>
              <w:rPr>
                <w:sz w:val="11"/>
                <w:szCs w:val="11"/>
                <w:color w:val="auto"/>
              </w:rPr>
            </w:pPr>
          </w:p>
        </w:tc>
      </w:tr>
      <w:tr>
        <w:trPr>
          <w:trHeight w:val="20"/>
        </w:trPr>
        <w:tc>
          <w:tcPr>
            <w:tcW w:w="5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582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3000" w:type="dxa"/>
            <w:vAlign w:val="bottom"/>
            <w:gridSpan w:val="2"/>
            <w:shd w:val="clear" w:color="auto" w:fill="CFF0FC"/>
          </w:tcPr>
          <w:p>
            <w:pPr>
              <w:jc w:val="right"/>
              <w:ind w:right="9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2,314</w:t>
            </w:r>
          </w:p>
        </w:tc>
        <w:tc>
          <w:tcPr>
            <w:tcW w:w="580" w:type="dxa"/>
            <w:vAlign w:val="bottom"/>
            <w:gridSpan w:val="2"/>
            <w:shd w:val="clear" w:color="auto" w:fill="CFF0FC"/>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1,049</w:t>
            </w:r>
          </w:p>
        </w:tc>
        <w:tc>
          <w:tcPr>
            <w:tcW w:w="120" w:type="dxa"/>
            <w:vAlign w:val="bottom"/>
            <w:shd w:val="clear" w:color="auto" w:fill="CFF0FC"/>
          </w:tcPr>
          <w:p>
            <w:pPr>
              <w:spacing w:after="0"/>
              <w:rPr>
                <w:sz w:val="13"/>
                <w:szCs w:val="13"/>
                <w:color w:val="auto"/>
              </w:rPr>
            </w:pPr>
          </w:p>
        </w:tc>
      </w:tr>
      <w:tr>
        <w:trPr>
          <w:trHeight w:val="251"/>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960" w:type="dxa"/>
            <w:vAlign w:val="bottom"/>
            <w:tcBorders>
              <w:top w:val="single" w:sz="8" w:color="CFF0FC"/>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right-of-use assets</w:t>
            </w:r>
          </w:p>
        </w:tc>
        <w:tc>
          <w:tcPr>
            <w:tcW w:w="3000" w:type="dxa"/>
            <w:vAlign w:val="bottom"/>
            <w:gridSpan w:val="2"/>
            <w:shd w:val="clear" w:color="auto" w:fill="CFF0FC"/>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10,019</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3,968</w:t>
            </w: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lease liabilities</w:t>
            </w:r>
          </w:p>
        </w:tc>
        <w:tc>
          <w:tcPr>
            <w:tcW w:w="1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10,019</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3,968</w:t>
            </w:r>
          </w:p>
        </w:tc>
        <w:tc>
          <w:tcPr>
            <w:tcW w:w="120" w:type="dxa"/>
            <w:vAlign w:val="bottom"/>
          </w:tcPr>
          <w:p>
            <w:pPr>
              <w:spacing w:after="0"/>
              <w:rPr>
                <w:sz w:val="11"/>
                <w:szCs w:val="11"/>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Loss on issuance of noncontrolling interests</w:t>
            </w:r>
          </w:p>
        </w:tc>
        <w:tc>
          <w:tcPr>
            <w:tcW w:w="19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6,524</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250"/>
        </w:trPr>
        <w:tc>
          <w:tcPr>
            <w:tcW w:w="5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55"/>
        </w:trPr>
        <w:tc>
          <w:tcPr>
            <w:tcW w:w="58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82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000" w:type="dxa"/>
            <w:vAlign w:val="bottom"/>
            <w:gridSpan w:val="2"/>
            <w:shd w:val="clear" w:color="auto" w:fill="CFF0FC"/>
          </w:tcPr>
          <w:p>
            <w:pPr>
              <w:jc w:val="right"/>
              <w:ind w:right="9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33,440</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31,244</w:t>
            </w:r>
          </w:p>
        </w:tc>
        <w:tc>
          <w:tcPr>
            <w:tcW w:w="120" w:type="dxa"/>
            <w:vAlign w:val="bottom"/>
            <w:shd w:val="clear" w:color="auto" w:fill="CFF0FC"/>
          </w:tcPr>
          <w:p>
            <w:pPr>
              <w:spacing w:after="0"/>
              <w:rPr>
                <w:sz w:val="11"/>
                <w:szCs w:val="11"/>
                <w:color w:val="auto"/>
              </w:rPr>
            </w:pPr>
          </w:p>
        </w:tc>
      </w:tr>
      <w:tr>
        <w:trPr>
          <w:trHeight w:val="135"/>
        </w:trPr>
        <w:tc>
          <w:tcPr>
            <w:tcW w:w="58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9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774</w:t>
            </w: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120" w:type="dxa"/>
            <w:vAlign w:val="bottom"/>
          </w:tcPr>
          <w:p>
            <w:pPr>
              <w:spacing w:after="0"/>
              <w:rPr>
                <w:sz w:val="11"/>
                <w:szCs w:val="11"/>
                <w:color w:val="auto"/>
              </w:rPr>
            </w:pPr>
          </w:p>
        </w:tc>
      </w:tr>
      <w:tr>
        <w:trPr>
          <w:trHeight w:val="148"/>
        </w:trPr>
        <w:tc>
          <w:tcPr>
            <w:tcW w:w="5820" w:type="dxa"/>
            <w:vAlign w:val="bottom"/>
            <w:shd w:val="clear" w:color="auto" w:fill="CFF0FC"/>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3000" w:type="dxa"/>
            <w:vAlign w:val="bottom"/>
            <w:gridSpan w:val="2"/>
            <w:shd w:val="clear" w:color="auto" w:fill="CFF0FC"/>
          </w:tcPr>
          <w:p>
            <w:pPr>
              <w:jc w:val="right"/>
              <w:ind w:right="9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34,214</w:t>
            </w:r>
          </w:p>
        </w:tc>
        <w:tc>
          <w:tcPr>
            <w:tcW w:w="580" w:type="dxa"/>
            <w:vAlign w:val="bottom"/>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32,202</w:t>
            </w:r>
          </w:p>
        </w:tc>
        <w:tc>
          <w:tcPr>
            <w:tcW w:w="120" w:type="dxa"/>
            <w:vAlign w:val="bottom"/>
            <w:shd w:val="clear" w:color="auto" w:fill="CFF0FC"/>
          </w:tcPr>
          <w:p>
            <w:pPr>
              <w:spacing w:after="0"/>
              <w:rPr>
                <w:sz w:val="12"/>
                <w:szCs w:val="1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-1002665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-985520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-1002665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Western Technology Investment Advisors LLC ("WTI"), and Qualitas Equity Funds SGEIC, S.A. ("Qualitas").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at Bonaccord. See Note 5 for further details.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June 30, 2025, no units have been exchanged into shares of P10 Class A common stock.</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4, 2025, the Company completed the acquisition of Qualitas. Qualitas is a Madrid-based private equity investing platform that provides fund-of-funds, direct co-investing and net asset value ("NAV") financing opportunities in the European lower-middle market to limited partners across the ultra-high-net-worth, family office, and institutional channels.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(the "Share Repurchase Program"). As of June 30, 2025 and December 31, 2024, the Board has approved $132.0 million and $92.0 million, respectively,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June 30, 2025, $129.7 million has been spent to buy back shares under this program and there is $2.3 million remaining for authorized repurchases under this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six months ended June 30, 2025 are not necessarily indicative of the results to be expected for the full year ended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June 30, 2025, and December 31, 2024, cash equivalents include money market funds of $18.4 million and $41.3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June 30, 2025 and December 31, 2024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actual historical losses, current conditions, and reasonable and supportable forecasts; accordingly, no allowances have been established as of June 30, 2025 and December 31, 2024.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June 30, 2025 and December 31, 2024, respectively, there is $8.8 million and $0 within prepaid expenses and other assets on the Consolidated Balance Sheets associated with allocable state tax credits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210" w:lineRule="exact"/>
        <w:rPr>
          <w:sz w:val="20"/>
          <w:szCs w:val="20"/>
          <w:color w:val="auto"/>
        </w:rPr>
      </w:pPr>
    </w:p>
    <w:tbl>
      <w:tblPr>
        <w:tblLayout w:type="fixed"/>
        <w:tblInd w:w="2700" w:type="dxa"/>
        <w:tblCellMar>
          <w:top w:w="0" w:type="dxa"/>
          <w:left w:w="0" w:type="dxa"/>
          <w:bottom w:w="0" w:type="dxa"/>
          <w:right w:w="0" w:type="dxa"/>
        </w:tblCellMar>
      </w:tblP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7 - 10 years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became exercisable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On December 23, 2024, the Company became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Refer to Note 14 for further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June 30, 2025, goodwill recorded on our Consolidated Balance Sheets relates to prior acquisitions. As of June 30, 2025, the intangible assets are comprised of indefinite-lived intangible assets and finite-lived intangible assets related to prior acquisitions.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generally amortized over 10 years, and for certain assets over 20 years when the trade name is expected to introduce new investor bases or broader access to a geographic region. This in line with the pattern in which the economic benefits are expected to occur.</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2025 and December 31, 2024, the contingent consideration on the Consolidated Balance Sheets is related to the acquisition of Qualitas and the acquisition of Bonaccord,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management profit shares, benefits, severance, and acquisition-related earnouts (contingent on employment) that has not yet been paid. Refer to Note 14 for further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that are not 100% owned by the Company. Noncontrolling interests is presented as a separate component in our Consolidated Balance Sheets to clearly distinguish between our interests and the economic interests of third parties in those entities. Net income attributable to P10, as reported in the Consolidated Statements of Operations, is presented net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portion of net income attributable to holders of non-controlling interest. NCI is allocated a share of income or loss in the respective consolidated subsidiaries in proportion to their relative ownership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and substantially all of its subsidiaries utilize the U.S. dollar as their functional currency. The assets and liabilities of the Company’s foreign subsidiaries with non-U.S. dollar functional currencies are translated at exchange rates prevailing at the end of each reporting period. The results of foreign operations are translated using the exchange rate on the respective transaction dates. The resulting translation adjustments are included as a separate component of equity on the Consolidated Balance Sheets and on the Consolidated Statements of Comprehensive Income until realized. Foreign currency transaction gains and losses are included in general, administrative and other expenses in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13 for further details on the Advisory Agreements. The Company had a contingent consideration liability related to the acquisition of Bonaccord that was measured at fair value using level three inputs and a discounted cash flow model. The contingent consideration was considered fully earned and was paid on January 24, 2025. As of December 31, 2024, the value was carried at the full balance of unpaid contingent consideration and is no longer subject to fair value measurements. As of June 30, 2025, the Company has a contingent consideration liability related to the acquisition of Qualitas that is measured at fair value using level three inputs and a discounted cash flow model. See Note 11 for additional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determination of who the customer is in a contractual arrangement will be made on a contract-by-contract basis, the customer will generally be the investment fund for the Company’s significant management and advisory contracts.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is likely to be met is recorded ratably over the vesting period at the fair market value on the grant date. For awards with graded-vesting,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or equity, in accordance with GAAP, on the Consolidated Balance Sheets. Forfeitures are recognized as they occur. Refer to Note 16 for further discussion.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and in assessing performance. The Company operates our business as a single operating segment, which is how our CODM evaluates financial performance and makes decisions regarding the allocation of resources.</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These non-recurring fair value measurement are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jc w:val="both"/>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2024-01, </w:t>
      </w:r>
      <w:r>
        <w:rPr>
          <w:rFonts w:ascii="Times New Roman" w:cs="Times New Roman" w:eastAsia="Times New Roman" w:hAnsi="Times New Roman"/>
          <w:sz w:val="18"/>
          <w:szCs w:val="18"/>
          <w:i w:val="1"/>
          <w:iCs w:val="1"/>
          <w:color w:val="auto"/>
        </w:rPr>
        <w:t>Compensation - Stock Compensation (Topic 718) - Scope Application of Profits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and Similar Awards </w:t>
      </w:r>
      <w:r>
        <w:rPr>
          <w:rFonts w:ascii="Times New Roman" w:cs="Times New Roman" w:eastAsia="Times New Roman" w:hAnsi="Times New Roman"/>
          <w:sz w:val="18"/>
          <w:szCs w:val="18"/>
          <w:color w:val="auto"/>
        </w:rPr>
        <w:t>("ASU 2024-01"), which is intended to reduce the complexity in determining whether a profits interest award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718. The adoption of the update did not have an impact on the Company's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The Company included the additional required disclosures above in the consolidated financial statements. Refer to Note 18.</w:t>
      </w:r>
    </w:p>
    <w:p>
      <w:pPr>
        <w:spacing w:after="0" w:line="183"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The Company plans to include expanded disclosures beginning with its annual report on Form 10-K for the year ending December 31, 2025.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which requires additional disclosure of the nature of expenses included in the Consolidated Statements of Operations.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requires disclosures about specific types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Qualitas Acquisition</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On April 4, 2025, the Company completed the Qualitas purchase for total consideration of $73.2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ultra-high-net-worth, family office, and institutional channels. The provisional fair value consisted of $24.4 million in net assets and $48.8 million in goodwill.</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p>
      <w:pPr>
        <w:spacing w:after="0" w:line="192"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42,705</w:t>
            </w:r>
          </w:p>
        </w:tc>
        <w:tc>
          <w:tcPr>
            <w:tcW w:w="8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equity consideration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8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73,247</w:t>
            </w: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consideration was calculated using a Monte Carlo simulation based on future net revenue projections of Qualitas, acquisition specific terms and conditions, and a risk adjusted discount rate. The determined risk adjusted discount rate for the contingent consideration of 12.8% is a significant unobservable input.</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 are pending finalization,which may result in adjustments to goodwill.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922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2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220" w:type="dxa"/>
            <w:vAlign w:val="bottom"/>
          </w:tcPr>
          <w:p>
            <w:pPr>
              <w:jc w:val="center"/>
              <w:ind w:left="1950"/>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provisional fair value of the net assets acquired as of the acquisition date:</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4"/>
                <w:szCs w:val="24"/>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922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liabilites</w:t>
            </w: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2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provisional fair value of the identifiable intangible assets was calculated using a discounted cash flow model based on a risk adjusted discount rate. The determined risk adjusted discount rate for the identifiable intangible assets ranged from 15.5% to 17%. The determined risk adjusted discount rate is a significant unobservable input. The following table presents the fair value of the identifiable intangible assets acquired: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management and advisory contracts</w:t>
            </w:r>
          </w:p>
        </w:tc>
        <w:tc>
          <w:tcPr>
            <w:tcW w:w="2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Value of direct investors and intermediary relationships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trade name</w:t>
            </w: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Value of technology</w:t>
            </w: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goodwill recorded as part of the acquisition includes the expected benefits that management believes will result from the acquisition, including the Company's build out of its investment product offering.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ectPr>
          <w:pgSz w:w="11900" w:h="16838" w:orient="portrait"/>
          <w:cols w:equalWidth="0" w:num="1">
            <w:col w:w="11240"/>
          </w:cols>
          <w:pgMar w:left="320" w:top="765" w:right="339" w:bottom="1440" w:gutter="0" w:footer="0" w:header="0"/>
        </w:sectPr>
      </w:pPr>
    </w:p>
    <w:p>
      <w:pPr>
        <w:spacing w:after="0" w:line="121"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color w:val="auto"/>
        </w:rPr>
        <w:t>The following presents revenues disaggregated by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Management fees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Advisory fees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Subscriptions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revenue</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9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200" w:type="dxa"/>
            <w:vAlign w:val="bottom"/>
          </w:tcPr>
          <w:p>
            <w:pPr>
              <w:spacing w:after="0"/>
              <w:rPr>
                <w:sz w:val="16"/>
                <w:szCs w:val="16"/>
                <w:color w:val="auto"/>
              </w:rPr>
            </w:pPr>
          </w:p>
        </w:tc>
        <w:tc>
          <w:tcPr>
            <w:tcW w:w="1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31"/>
        </w:trPr>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69,830</w:t>
            </w:r>
          </w:p>
        </w:tc>
        <w:tc>
          <w:tcPr>
            <w:tcW w:w="2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67,239</w:t>
            </w:r>
          </w:p>
        </w:tc>
        <w:tc>
          <w:tcPr>
            <w:tcW w:w="2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135,067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131,083</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4"/>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09"/>
        </w:trPr>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140,371</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-719455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-445135</wp:posOffset>
            </wp:positionV>
            <wp:extent cx="641223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-162560</wp:posOffset>
            </wp:positionV>
            <wp:extent cx="641223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481" w:lineRule="exact"/>
        <w:rPr>
          <w:sz w:val="20"/>
          <w:szCs w:val="20"/>
          <w:color w:val="auto"/>
        </w:rPr>
      </w:pPr>
    </w:p>
    <w:p>
      <w:pPr>
        <w:sectPr>
          <w:pgSz w:w="11900" w:h="16838" w:orient="portrait"/>
          <w:cols w:equalWidth="0" w:num="2">
            <w:col w:w="5420" w:space="720"/>
            <w:col w:w="5100"/>
          </w:cols>
          <w:pgMar w:left="320" w:top="765" w:right="339" w:bottom="1440" w:gutter="0" w:footer="0" w:header="0"/>
          <w:type w:val="continuous"/>
        </w:sect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contract liabilities represent deferred revenue. We record contract liabilities when cash payments are received in advance of our performance. We recognized $0.2 million and $11.7 million of revenue for the three and six months ended June 30, 2025, respectively, that was included in the contract liabilities balance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Alliance Expense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six months ended June 30, 2025, the strategic alliance expense reported was $0 and $0.7 million, respectively. For the three and six months ended June 30, 2024, the strategic alliance expense reported was $0.9 million and $1.5 million, respectively. This is reported on the Consolidated Statements of Operations as strategic alliance expense in operating expenses.</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After the final closing of Bonaccord Fund II ("Fund II"), the third-party had the opportunity to acquire, at the price at the time of the original acquisition, equity interests in Bonaccord based on the amount of commitment made. For each $5.0 million, up to a maximum of $250.0 million in irrevocable capital commitments to Fund II, the third-party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third-party exercised their option to acquire equity in Bonaccord which entitled them to receive the distributions of net management fee earnings by the the maximum 5% percentage acquired.</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Simultaneously with the third-party exercising their option to acquire equity in Bonaccord, the Company and the third party entered into an agreement whereby the 15% of the net management fee earnings was converted into a 15% equity interest in Bonaccord. As a result of these transactions, the third-party now has a total of 20% equity interest in Bonaccord. The new agreement allows for quarterly cash distributions to the third party equal to 20% net management fee earnings, with all other distributions being provided to the Company. The portion of income or loss and the corresponding equity attributable to third-party equity holder is recognized in non-controlling interest on the consolidated financial statements. The Company recognized a $6.5 million loss on the conversion of the right to receive 15% of net management fee earnings to a 15% equity interest in Bonaccord for the three and six months ended June 30, 2025, which is included in other income/(loss) on the Consolidated Statements of Operations.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same third-party also has the option to purchase equity in Bonaccord under similar terms for Bonaccord Fund III, except the third-party can purchase 9.8 basis points for every $5 million committed up to 4.9%. This commitment has not yet been met as of June 30, 2025 as Fund III has not yet started raising capital and as such, there is no impact to the consolidated financial statements. For funds subsequent to Fund III, the third-party has continual commitment conditions. If these commitment conditions are not satisfied, then within 60 days of the final closing of such subsequent fund, the Company may elect to repurchase the equity granted to the third-party. The repurchase shall be at the fair market value of such equity at that point in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Notes Receivable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June 30, 2025, the balance outstanding is $4.9 million, which includes unpaid accrued interest added to the outstanding principal balance. The maturity date of the note receivable is September 30, 2031.</w:t>
      </w:r>
    </w:p>
    <w:p>
      <w:pPr>
        <w:spacing w:after="0" w:line="192"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on October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 arrears, with any unpaid interest being capitalized and added to the outstanding principal balance. As of June 30, 2025, the balance outstanding is $1.1 million, which includes unpaid accrued interest added to the outstanding principal balance.</w:t>
      </w:r>
    </w:p>
    <w:p>
      <w:pPr>
        <w:spacing w:after="0" w:line="19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June 30, 2025, the balance outstanding is $1.2 million, which includes unpaid accrued interest added to the outstanding principal balance.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total notes receivable balance associated with these notes was $7.2 million and $7.5 million, respectively. The Company recognized interest income of $0.1 million and $0.2 million for the three and six months ended June 30, 2025, respectively, and $0.1 million and $0.2 million for the three and six months ended June 30,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 Company and include P10 Intermediate, Holdco, RCP 2, RCP 3, TrueBridge, Hark, Bonaccord, WTI, and Qualitas. The assets of the consolidated VIEs totaled $645.2 million and $587.9 million as of June 30, 2025 and December 31, 2024, respectively. The liabilities of the consolidated VIEs totaled $532.9 million and $463.3 million as of June 30, 2025 and December 31, 2024, respectively. The assets of our consolidated VIEs are owned by those entities and not generally available to satisfy P10’s obligations. With the exception of the Company's credit facilities, the liabilities of our consolidated VIEs are obligations of those entities and their creditors do not generally have recourse to the assets of P10.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Subsidiaries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Capital Partners and Enhanced PC is recorded at zero. The Company, therefore, suspended the use of the equity method of accounting because the Company has no guaranteed obligations or commitments to provide financial support to the investee.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2025, investment in unconsolidated subsidiaries totaled $3.4 million, of which $0.8 million related to RCP's investment in a privately held investment manager, $0.5 million related to temporary initial capital of certain Qualitas funds that have not yet held their first closings, $1.9 million related to ECG’s asset management businesses, and $0.2 related to ECG’s tax credit finance businesses. 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60" w:type="dxa"/>
            <w:vAlign w:val="bottom"/>
          </w:tcPr>
          <w:p>
            <w:pPr>
              <w:spacing w:after="0"/>
              <w:rPr>
                <w:sz w:val="16"/>
                <w:szCs w:val="16"/>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8,606</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13,737</w:t>
            </w: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10,391</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(4,509)</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9,228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Changes in goodwill for the six months ended June 30, 2025 are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from acquisitions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48,845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related to foreign currency translations</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-2622550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-2339340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-1310640</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-1293495</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-1456690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-1010920</wp:posOffset>
            </wp:positionV>
            <wp:extent cx="43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Investor and</w:t>
            </w:r>
          </w:p>
        </w:tc>
        <w:tc>
          <w:tcPr>
            <w:tcW w:w="120" w:type="dxa"/>
            <w:vAlign w:val="bottom"/>
          </w:tcPr>
          <w:p>
            <w:pPr>
              <w:spacing w:after="0"/>
              <w:rPr>
                <w:sz w:val="13"/>
                <w:szCs w:val="13"/>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Intermediary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Additions, net of adjustments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for fully amortized intangibles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216,113</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(134,494)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(145,108)</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(11,468)</w:t>
            </w:r>
          </w:p>
        </w:tc>
        <w:tc>
          <w:tcPr>
            <w:tcW w:w="0" w:type="dxa"/>
            <w:vAlign w:val="bottom"/>
          </w:tcPr>
          <w:p>
            <w:pPr>
              <w:spacing w:after="0"/>
              <w:rPr>
                <w:sz w:val="1"/>
                <w:szCs w:val="1"/>
                <w:color w:val="auto"/>
              </w:rPr>
            </w:pPr>
          </w:p>
        </w:tc>
      </w:tr>
      <w:tr>
        <w:trPr>
          <w:trHeight w:val="23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 for fully amortized intangibles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(154,399)</w:t>
            </w:r>
          </w:p>
        </w:tc>
        <w:tc>
          <w:tcPr>
            <w:tcW w:w="0" w:type="dxa"/>
            <w:vAlign w:val="bottom"/>
          </w:tcPr>
          <w:p>
            <w:pPr>
              <w:spacing w:after="0"/>
              <w:rPr>
                <w:sz w:val="1"/>
                <w:szCs w:val="1"/>
                <w:color w:val="auto"/>
              </w:rPr>
            </w:pPr>
          </w:p>
        </w:tc>
      </w:tr>
      <w:tr>
        <w:trPr>
          <w:trHeight w:val="187"/>
        </w:trPr>
        <w:tc>
          <w:tcPr>
            <w:tcW w:w="4280" w:type="dxa"/>
            <w:vAlign w:val="bottom"/>
            <w:tcBorders>
              <w:top w:val="single" w:sz="8" w:color="auto"/>
            </w:tcBorders>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 intangible assets, net balance as of June 30,</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71,520</w:t>
            </w:r>
          </w:p>
        </w:tc>
        <w:tc>
          <w:tcPr>
            <w:tcW w:w="100" w:type="dxa"/>
            <w:vAlign w:val="bottom"/>
            <w:shd w:val="clear" w:color="auto" w:fill="CFF0FC"/>
          </w:tcPr>
          <w:p>
            <w:pPr>
              <w:spacing w:after="0"/>
              <w:rPr>
                <w:sz w:val="16"/>
                <w:szCs w:val="16"/>
                <w:color w:val="auto"/>
              </w:rPr>
            </w:pPr>
          </w:p>
        </w:tc>
        <w:tc>
          <w:tcPr>
            <w:tcW w:w="280" w:type="dxa"/>
            <w:vAlign w:val="bottom"/>
            <w:tcBorders>
              <w:top w:val="single" w:sz="8" w:color="auto"/>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16"/>
                <w:szCs w:val="16"/>
                <w:color w:val="auto"/>
              </w:rPr>
            </w:pPr>
          </w:p>
        </w:tc>
        <w:tc>
          <w:tcPr>
            <w:tcW w:w="240" w:type="dxa"/>
            <w:vAlign w:val="bottom"/>
            <w:tcBorders>
              <w:top w:val="single" w:sz="8" w:color="auto"/>
            </w:tcBorders>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100" w:type="dxa"/>
            <w:vAlign w:val="bottom"/>
            <w:shd w:val="clear" w:color="auto" w:fill="CFF0FC"/>
          </w:tcPr>
          <w:p>
            <w:pPr>
              <w:spacing w:after="0"/>
              <w:rPr>
                <w:sz w:val="16"/>
                <w:szCs w:val="16"/>
                <w:color w:val="auto"/>
              </w:rPr>
            </w:pPr>
          </w:p>
        </w:tc>
        <w:tc>
          <w:tcPr>
            <w:tcW w:w="380" w:type="dxa"/>
            <w:vAlign w:val="bottom"/>
            <w:tcBorders>
              <w:top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gridSpan w:val="2"/>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vMerge w:val="continue"/>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gridSpan w:val="2"/>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4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Investor and</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 and</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Intermediary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(119,496)</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(12,875)</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Total intangible assets, net balance as of June 30,</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6"/>
                <w:szCs w:val="16"/>
                <w:color w:val="auto"/>
              </w:rPr>
            </w:pPr>
          </w:p>
        </w:tc>
        <w:tc>
          <w:tcPr>
            <w:tcW w:w="3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71,482</w:t>
            </w:r>
          </w:p>
        </w:tc>
        <w:tc>
          <w:tcPr>
            <w:tcW w:w="100" w:type="dxa"/>
            <w:vAlign w:val="bottom"/>
            <w:shd w:val="clear" w:color="auto" w:fill="CFF0FC"/>
          </w:tcPr>
          <w:p>
            <w:pPr>
              <w:spacing w:after="0"/>
              <w:rPr>
                <w:sz w:val="16"/>
                <w:szCs w:val="16"/>
                <w:color w:val="auto"/>
              </w:rPr>
            </w:pP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shd w:val="clear" w:color="auto" w:fill="CFF0FC"/>
          </w:tcPr>
          <w:p>
            <w:pPr>
              <w:spacing w:after="0"/>
              <w:rPr>
                <w:sz w:val="16"/>
                <w:szCs w:val="16"/>
                <w:color w:val="auto"/>
              </w:rPr>
            </w:pPr>
          </w:p>
        </w:tc>
        <w:tc>
          <w:tcPr>
            <w:tcW w:w="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80" w:type="dxa"/>
            <w:vAlign w:val="bottom"/>
            <w:tcBorders>
              <w:bottom w:val="single" w:sz="8" w:color="CFF0FC"/>
            </w:tcBorders>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auto"/>
            </w:tcBorders>
            <w:gridSpan w:val="2"/>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gridSpan w:val="2"/>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-5177155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-5177155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-5177155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-5177155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-5177155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-4285615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-4285615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-4285615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-4285615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-3830955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-3830955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-3830955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-3830955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-3239770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-3239770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-3239770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-3239770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-2828290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-2811145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-2828290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-2811145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-2828290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-2811145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-2828290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-2811145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-1790700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-1790700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-1790700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-1790700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-1190625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-1190625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-1190625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-1190625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-736600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-736600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-736600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-736600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-449580</wp:posOffset>
            </wp:positionV>
            <wp:extent cx="939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7 - 20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13 years. The amortization expense for each of the next five years and thereafter are as follows: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8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8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80" w:type="dxa"/>
            <w:vAlign w:val="bottom"/>
          </w:tcPr>
          <w:p>
            <w:pPr>
              <w:spacing w:after="0"/>
              <w:rPr>
                <w:sz w:val="18"/>
                <w:szCs w:val="18"/>
                <w:color w:val="auto"/>
              </w:rPr>
            </w:pPr>
          </w:p>
        </w:tc>
      </w:tr>
      <w:tr>
        <w:trPr>
          <w:trHeight w:val="249"/>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102,094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which are discussed below. Our financial instruments not recognized at fair value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Carrying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8"/>
              </w:rPr>
              <w:t>Carrying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75,801</w:t>
            </w: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50,180</w:t>
            </w: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68,010</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42,529</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Note 13</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Obligations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373,021</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373,021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319,783</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319,783</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Note 12</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and December 31, 2024, debt obligations' carrying value approximates fair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Qualitas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was an earnout payment not to exceed $20 million. The amount ultimately owed to the sellers is based on achieving specific fundraising targets and any amounts paid to the sellers was required to be paid by October 2027, at which point the earnout expires. Payments were made after each fund close. As of June 30, 2025, the full $20.0 million earnout payment has been earned and paid, of which $2.2 million was paid in the six months ended June 30, 2025. Total remeasurement expense recognized for both the three and six months ended June 30, 2025 was $0. Total remeasurement expense recognized for the three and six months ended June 30, 2024 was $0.1 million and $0.1 million, respectively. This is included in contingent consideration expense on the Consolidated Statements of Operations. As of December 31, 2024, with all contingent consideration for the acquisition of Bonaccord considered fully earned, the liability transferred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As of June 30, 2025, there were no remaining liabilities related to the Bonaccord acquisition.</w:t>
      </w:r>
    </w:p>
    <w:p>
      <w:pPr>
        <w:spacing w:after="0" w:line="194"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On April 4, 2025, included in total consideration of the Qualitas acquisition was an earnout payment not to exceed €31.7 million. The amount ultimately owed to the sellers is based on the run-rate net revenue as of December 31, 2027 from newly launched Qualitas funds post acquisition. Any earnout payment will be paid in a mix of cash and Class A common stock at the seller's election, with no more than 65% payable in cash. As of June 30, 2025, no earnout payment has been earned or paid. Total remeasurement expense recognized for both the three and six months ended June 30, 2025 was $1.1 million. Total remeasurement expense recognized for the three and six months ended June 30, 2024 was $0. This is included in contingent consideration expense on the Consolidated Statements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all items measured at fair value as of June 30,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2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20" w:type="dxa"/>
            <w:vAlign w:val="bottom"/>
          </w:tcPr>
          <w:p>
            <w:pPr>
              <w:spacing w:after="0"/>
              <w:rPr>
                <w:sz w:val="18"/>
                <w:szCs w:val="18"/>
                <w:color w:val="auto"/>
              </w:rPr>
            </w:pPr>
          </w:p>
        </w:tc>
      </w:tr>
      <w:tr>
        <w:trPr>
          <w:trHeight w:val="250"/>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auto"/>
            </w:tcBorders>
            <w:shd w:val="clear" w:color="auto" w:fill="CFF0FC"/>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six months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160" w:type="dxa"/>
            <w:vAlign w:val="bottom"/>
          </w:tcPr>
          <w:p>
            <w:pPr>
              <w:spacing w:after="0"/>
              <w:rPr>
                <w:sz w:val="24"/>
                <w:szCs w:val="24"/>
                <w:color w:val="auto"/>
              </w:rPr>
            </w:pPr>
          </w:p>
        </w:tc>
        <w:tc>
          <w:tcPr>
            <w:tcW w:w="31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09"/>
        </w:trPr>
        <w:tc>
          <w:tcPr>
            <w:tcW w:w="7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274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2740" w:type="dxa"/>
            <w:vAlign w:val="bottom"/>
            <w:gridSpan w:val="3"/>
          </w:tcPr>
          <w:p>
            <w:pPr>
              <w:jc w:val="center"/>
              <w:ind w:right="18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27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25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Term Loan</w:t>
            </w:r>
          </w:p>
        </w:tc>
        <w:tc>
          <w:tcPr>
            <w:tcW w:w="2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325,000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323,371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323,091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vMerge w:val="continue"/>
          </w:tcPr>
          <w:p>
            <w:pPr>
              <w:spacing w:after="0"/>
              <w:rPr>
                <w:sz w:val="21"/>
                <w:szCs w:val="21"/>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25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373,021</w:t>
            </w:r>
          </w:p>
        </w:tc>
        <w:tc>
          <w:tcPr>
            <w:tcW w:w="18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319,783</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4"/>
                <w:szCs w:val="24"/>
                <w:color w:val="auto"/>
              </w:rPr>
            </w:pPr>
          </w:p>
        </w:tc>
        <w:tc>
          <w:tcPr>
            <w:tcW w:w="286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31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-1576705</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-1156335</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-1156335</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-864870</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-847725</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balance consists of the following tranches: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Principal Amount</w:t>
            </w:r>
          </w:p>
        </w:tc>
        <w:tc>
          <w:tcPr>
            <w:tcW w:w="200" w:type="dxa"/>
            <w:vAlign w:val="bottom"/>
          </w:tcPr>
          <w:p>
            <w:pPr>
              <w:spacing w:after="0"/>
              <w:rPr>
                <w:sz w:val="12"/>
                <w:szCs w:val="12"/>
                <w:color w:val="auto"/>
              </w:rPr>
            </w:pPr>
          </w:p>
        </w:tc>
        <w:tc>
          <w:tcPr>
            <w:tcW w:w="2580" w:type="dxa"/>
            <w:vAlign w:val="bottom"/>
            <w:gridSpan w:val="3"/>
          </w:tcPr>
          <w:p>
            <w:pPr>
              <w:ind w:left="600"/>
              <w:spacing w:after="0" w:line="142" w:lineRule="exact"/>
              <w:rPr>
                <w:sz w:val="20"/>
                <w:szCs w:val="20"/>
                <w:color w:val="auto"/>
              </w:rPr>
            </w:pPr>
            <w:r>
              <w:rPr>
                <w:rFonts w:ascii="Times New Roman" w:cs="Times New Roman" w:eastAsia="Times New Roman" w:hAnsi="Times New Roman"/>
                <w:sz w:val="13"/>
                <w:szCs w:val="13"/>
                <w:b w:val="1"/>
                <w:bCs w:val="1"/>
                <w:color w:val="auto"/>
              </w:rPr>
              <w:t>Base Rate</w:t>
            </w:r>
          </w:p>
        </w:tc>
        <w:tc>
          <w:tcPr>
            <w:tcW w:w="1520" w:type="dxa"/>
            <w:vAlign w:val="bottom"/>
            <w:gridSpan w:val="2"/>
          </w:tcPr>
          <w:p>
            <w:pPr>
              <w:jc w:val="right"/>
              <w:ind w:right="860"/>
              <w:spacing w:after="0" w:line="142" w:lineRule="exact"/>
              <w:rPr>
                <w:sz w:val="20"/>
                <w:szCs w:val="20"/>
                <w:color w:val="auto"/>
              </w:rPr>
            </w:pPr>
            <w:r>
              <w:rPr>
                <w:rFonts w:ascii="Times New Roman" w:cs="Times New Roman" w:eastAsia="Times New Roman" w:hAnsi="Times New Roman"/>
                <w:sz w:val="13"/>
                <w:szCs w:val="13"/>
                <w:b w:val="1"/>
                <w:bCs w:val="1"/>
                <w:color w:val="auto"/>
              </w:rPr>
              <w:t>SOFR Rate</w:t>
            </w:r>
          </w:p>
        </w:tc>
        <w:tc>
          <w:tcPr>
            <w:tcW w:w="18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r>
      <w:tr>
        <w:trPr>
          <w:trHeight w:val="14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2.60%</w:t>
            </w:r>
          </w:p>
        </w:tc>
        <w:tc>
          <w:tcPr>
            <w:tcW w:w="5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4.25%</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11/5/2025</w:t>
            </w:r>
          </w:p>
        </w:tc>
      </w:tr>
      <w:tr>
        <w:trPr>
          <w:trHeight w:val="148"/>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Revolver - Tranche 1</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2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2.60%</w:t>
            </w:r>
          </w:p>
        </w:tc>
        <w:tc>
          <w:tcPr>
            <w:tcW w:w="56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4.33%</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8/28/2025</w:t>
            </w:r>
          </w:p>
        </w:tc>
      </w:tr>
      <w:tr>
        <w:trPr>
          <w:trHeight w:val="14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Revolver - Tranche 2</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2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2.60%</w:t>
            </w:r>
          </w:p>
        </w:tc>
        <w:tc>
          <w:tcPr>
            <w:tcW w:w="5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4.31%</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7/16/2025</w:t>
            </w:r>
          </w:p>
        </w:tc>
      </w:tr>
      <w:tr>
        <w:trPr>
          <w:trHeight w:val="148"/>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Revolver - Tranche 3</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2.60%</w:t>
            </w:r>
          </w:p>
        </w:tc>
        <w:tc>
          <w:tcPr>
            <w:tcW w:w="56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4.31%</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7/9/2025</w:t>
            </w:r>
          </w:p>
        </w:tc>
      </w:tr>
      <w:tr>
        <w:trPr>
          <w:trHeight w:val="208"/>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Revolver - Tranche 4</w:t>
            </w:r>
          </w:p>
        </w:tc>
        <w:tc>
          <w:tcPr>
            <w:tcW w:w="2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22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2.60%</w:t>
            </w:r>
          </w:p>
        </w:tc>
        <w:tc>
          <w:tcPr>
            <w:tcW w:w="5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4.32%</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7/23/2025</w:t>
            </w:r>
          </w:p>
        </w:tc>
      </w:tr>
      <w:tr>
        <w:trPr>
          <w:trHeight w:val="169"/>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377,500</w:t>
            </w:r>
          </w:p>
        </w:tc>
        <w:tc>
          <w:tcPr>
            <w:tcW w:w="200" w:type="dxa"/>
            <w:vAlign w:val="bottom"/>
            <w:tcBorders>
              <w:top w:val="single" w:sz="8" w:color="CFF0FC"/>
            </w:tcBorders>
          </w:tcPr>
          <w:p>
            <w:pPr>
              <w:spacing w:after="0"/>
              <w:rPr>
                <w:sz w:val="14"/>
                <w:szCs w:val="14"/>
                <w:color w:val="auto"/>
              </w:rPr>
            </w:pPr>
          </w:p>
        </w:tc>
        <w:tc>
          <w:tcPr>
            <w:tcW w:w="178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124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-144780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"New Credit Facilities"). The New Credit Facilities were used to refinance and replace the credit facilities under the Credit Agreement and for general corporate purposes, including acquisitions.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As of June 30, 2025, P10 was in compliance with its financial and other covenants required under the facility. For the three and six months ended June 30, 2025, $6.5 million and $12.5 million of interest expense was incurred, respectively. For the three and six months ended June 30, 2024, $5.8 million and $11.2 million of interest expense was incurred,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principal maturities of debt as of June 30, 2025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82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2025</w:t>
            </w:r>
          </w:p>
        </w:tc>
        <w:tc>
          <w:tcPr>
            <w:tcW w:w="340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2026</w:t>
            </w:r>
          </w:p>
        </w:tc>
        <w:tc>
          <w:tcPr>
            <w:tcW w:w="2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2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2027</w:t>
            </w:r>
          </w:p>
        </w:tc>
        <w:tc>
          <w:tcPr>
            <w:tcW w:w="2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94"/>
              </w:rPr>
              <w:t>2028</w:t>
            </w:r>
          </w:p>
        </w:tc>
        <w:tc>
          <w:tcPr>
            <w:tcW w:w="24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340,937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that served as our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until June 2025. The monthly rent expense is $20.3 thousand, and the lease expires December 31, 2029. In the fourth quarter of 2022,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sublet an additional amount of office space in the corporate headquarters. This contributed an additional $3.4 thousand monthly. P10 has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$0.2 million in rent to 210 Capital, LLC for the three and six months ended June 30, 2025, respectively, and $0.1 million and $0.1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respectively. As of both December 31, 2024 and June 30, 2025, this is no longer a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June 30, 2025, the total accounts receivable from the Funds totaled $37.5 million, of which $20.9 million related to fees earned but not yet received and $16.6 million related to reimbursable expenses. As of December 31, 2024, the total accounts receivable from the Funds totaled $42.5 million, of which $30.4 million related to fees earned but not yet received and $12.1 million related to reimbursable expenses.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Upon the closing of the Company’s acquisition of ECG, the Advisory Agreement between ECG and Enhanced PC immediately became effective. Under this agreement, ECG provides advisory services to Enhanced PC related to the assets and operations of the permanent capital subsidiaries owned by Enhanced PC.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June 30, 2025,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$0.1 million and $0.1 million for the three and six months ended June 30, 2025, respectively, and $5.0 thousand and $5.6 thousand for the three and six months ended June 30, 2024. As of June 30, 2025, the total contractual advisory fees are $119.6 million over eleven years inclusive of new projects added since inception. These agreements are subject to customary termination provisions. Since inception, $86.5 million of the total $119.6 million advisory fees have been recognized as revenue. There was $33.1 million in remaining performance obligations related to these agreements, which will be recognized between July 1, 2025 and March 31, 2032. For the three and six months ended June 30, 2025, advisory fees earned or recognized under these agreements were $3.7 million and $7.1 million, respectively, and $4.2 million and $8.4 million for the three and six months ended June 30, 2024, respectively, and is reported in management and advisory fees on the Consolidated Statements of Operations. As of June 30, 2025 and December 31, 2024, the associated receivable was $72.8 million and $65.8 million, respectively, and is included in due from related parties on the Consolidated Balance Sheets. The Company invoices Enhanced PC quarterly in arrears and earns interest on balances not paid within 30 days. Revenues from interest on outstanding balances were $0.4 million and $0.7 million for the three and six months ended June 30, 2025, respectively, and $0.3 million and $0.5 million for the three and six months ended June 30, 2024, respectively, which is included in management and advisory fees on the Consolidated Statements of Operations. As of June 30, 2025 and December 31, 2024, the associated interest receivable was $3.0 million and $2.2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20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Upon the closing of the Company’s acquisition of ECG, the Administrative Services Agreement between ECG and Enhanced Capital Holdings, Inc. (“ECH”), immediately became effective. Under this agreement, ECG pays ECH for the use of their employees to provide services at the direction of ECG. The Company recognized $2.8 million and $5.3 million for the three and six months ended June 30, 2025, respectively, and $3.2 million and $6.4 million for the three and six months ended June 30, 2024, respectively, related to this agreement within compensation and benefits on the Consolidated Statements of Operations. As of June 30, 2025 and December 31, 2024, the associated accrual was $1.2 million and $3.4 million, respectively, and is included in due to related parties on the Consolidated Balance Sheets.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$0 for both the three and six months ended June 30, 2025 and $2.1 million and $4.3 million for the three and six months ended June 30, 2024, respectively, which is included in management and advisory fees on the Consolidated Statements of Operations.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were directors of Crossroads and had recused themselves from any decisions related to Crossroads or CPF. The Company recognizes an annual fee from the funds of $20 thousand of which $5 thousand and $10 thousand has been recognized for the three and six months ended June 30, 2025, respectively, which is included in management and advisory fees on the Consolidated Statements of Operations. The Company recognized $5 thousand and $10 thousand for the three and six months ended June 30, 2024, respectively.</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spacing w:after="0" w:line="18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14 for further details.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an Advance Agreement and Secured Promissory Notes with BCP, an entity that was formed by employees of the Company and certain Bonaccord employees and certain Bonaccord general partners. For details, see Note 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2036. These lease agreements provide for various renewal options. Rent expense for the various leased office space and equipment was approximately $1.3 million and $2.7 million for the three and six months ended June 30, 2025, respectively, and $1.1 million and $2.1 million for the three and six months ended June 30, 2024, respectively.</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June 30, 2025:</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0" w:name="page31"/>
    <w:bookmarkEnd w:id="30"/>
    <w:tbl>
      <w:tblPr>
        <w:tblLayout w:type="fixed"/>
        <w:tblInd w:w="52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53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53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6740" w:type="dxa"/>
            <w:vAlign w:val="bottom"/>
            <w:gridSpan w:val="5"/>
          </w:tcPr>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25,339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5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cash paid during the six months ended June 30, 2025 for operating</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June 30, 2025 are as follows: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expected the first two of three EBITDA hurdles to be achieved. As of June 30, 2025, the first hurdle has been achieved, however the Company does not expect the second or third EBITDA hurdles to be achieved. The change in estimate for the second EBITDA hurdle resulted in a reversal of expense recognized for the three and six months ended June 30, 2025, $6.5 million and $3.5 million, respectively, while for the three and six months ended June 30, 2024, $3.1 million and $6.1 million of expense was recognized, respectively, which is included in compensation and benefits in the Consolidated Statements of Operations. As of June 30, 2025 and December 31, 2024, the balance was $35.0 million and $38.5 million, respectively, which is included in accrued compensation and benefits in the Consolidated Balance Sheets. No payments have been made on the earnout but payment for the achievement of the first hurdle is expected to be made at the end of September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six months ended June 30, 2025, the Company recognized $0.5 million and $1.0 million of expense, respectively, and for the three and six months ended June 30, 2024, $0.5 million and $1.0 million was recognized, respectively, which is included in compensation and benefits on the Consolidated Statements of Operations. As of June 30, 2025 and December 31, 2024, the balance was $5.4 million and $4.4 million, respectively, and is included in accrued compensation and benefits in the Consolidated Balance Sheets.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revenue share agreements. As of June 30, 2025, the Company has determined that the put options are probable of being exercised and have accrued estimated contingent liabilities and contingent payments to customers. As of June 30, 2025 and December 31, 2024, the associated liabilities were $13.7 million and $13.8 million, respectively, and are included in accrued contingent liabilities on the Consolidated Balance Sheets. The associated contingent payments to customers assets were $9.7 million and $10.0 million as of June 30, 2025 and December 31, 2024, respectively. The Company recognized $0.2 million and $0.3 million of amortization of contingent payments to customers for the three and six months ended June 30, 2025, respectively, and $0.3 million and $0.7 million of amortization of contingent payments to customers for the three and six months ended June 30, 2024, respectively, which is included in management and advisory fees on the Consolidated Statements of Operations. The Company will reassess each period and recognize all changes.</w:t>
      </w:r>
    </w:p>
    <w:p>
      <w:pPr>
        <w:spacing w:after="0" w:line="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23, 2024, the Company became a guarantor for Clifford GP on a related put option and call option with the same third party customers and terms. The Company would be required to settle either the put or call options if either are exercised and Clifford GP does not have the means to settle themselves. The Company records accrued contingent liabilities when it is probable and estimable that the Company would need to settle as guarantor. As of June 30, 2025 and December 31, 2024, the associated liabilities were $10.4 million and $10.1 million, respectively, and are included in accrued liabilities on the Consolidated Balance Sheets. There was $0 and $0.3 million of expense for the three and six months ended June 30, 2025, respectively, and no expense recognized for both the three and six months ended June 30, 2024, which was included in other income on the Consolidated Statements of Operations. The Company will reassess each period and recognize all changes.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Based on these methodologies, the Company’s worldwide effective income tax rate was 24.71% and 15.60% for the three and six months ended June 30, 2025, respectively. The Company's effective income tax rate was 31.76% and 30.24% for the three and six months ended June 30, 2024, respectively. The effective tax rate differs from the federal statutory rate of 21% due to executive compensation subject to Section 162(m) limitation, state taxes, foreign taxes as a result of statutory rate difference between Spain and the U.S., and a discrete period recognition of windfall tax adjustments related to options exercised year-to-date.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realized, for tax purposes, in the foreseeable future. As of June 30, 2025, the Company has recorded a $12.8 million valuation allowance against deferred tax assets, primarily related to a note impairment. There was no change to the valuation allowance during the six months ended June 30, 2025.</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permanent extension of certain expiring provisions of the Tax Cuts and Jobs Act, modifications to the international tax framework and the restoration of favorable tax treatment for certain business provisions. The legislation has multiple effective dates, with certain provision effective in 2025 and others implemented through 2027. Since the enactment occurred after the balance sheet date but before the issuance of these financial statements, the effects of the OBBBA are considered a non-recognized subsequent event. Accordingly, no adjustments have been made to the accompanying financial statements as of and for the three and six months ended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available under the Plan, resulting in a total of 29,300,000 shares available for grant under the Plan and the 2018 Plan. As of June 30, 2025, there are 7,886,673 shares available for grant under the Plan.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2025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3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3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12,965,897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52,343,412</w:t>
            </w:r>
          </w:p>
        </w:tc>
        <w:tc>
          <w:tcPr>
            <w:tcW w:w="0" w:type="dxa"/>
            <w:vAlign w:val="bottom"/>
          </w:tcPr>
          <w:p>
            <w:pPr>
              <w:spacing w:after="0"/>
              <w:rPr>
                <w:sz w:val="1"/>
                <w:szCs w:val="1"/>
                <w:color w:val="auto"/>
              </w:rPr>
            </w:pPr>
          </w:p>
        </w:tc>
      </w:tr>
      <w:tr>
        <w:trPr>
          <w:trHeight w:val="230"/>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2,271,044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(675,421)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14,219,396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9.36</w:t>
            </w: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21,000,837</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June 30, 2025</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2,418,978</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4.93</w:t>
            </w:r>
          </w:p>
        </w:tc>
        <w:tc>
          <w:tcPr>
            <w:tcW w:w="19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5.37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12,816,271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-187960</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-170815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-187960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$2.7 million and $5.0 million for the three and six months ended June 30, 2025, respectively, and $2.5 million and $5.3 million for the three and six months ended June 30, 2024, respectively. The total associated income tax benefit was $2.4 million and $4.8 million for the three and six months ended June 30, 2025, respectively, and $0.2 million and $2.5 million for the three and six months ended June 30, 2024, respectively. Unrecognized stock-based compensation expense related to outstanding unvested stock options as of June 30, 2025 was $28.6 million and is expected to be recognized over a weighted average period of 2.79 years. Any future forfeitures will impact this amount.</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six months ended June 30, 2025 and June 30, 2024 were as follows:</w:t>
      </w:r>
    </w:p>
    <w:p>
      <w:pPr>
        <w:spacing w:after="0" w:line="115" w:lineRule="exact"/>
        <w:rPr>
          <w:sz w:val="20"/>
          <w:szCs w:val="20"/>
          <w:color w:val="auto"/>
        </w:rPr>
      </w:pPr>
    </w:p>
    <w:tbl>
      <w:tblPr>
        <w:tblLayout w:type="fixed"/>
        <w:tblInd w:w="182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5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1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Awards ("RSAs")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$0.2 million and $0.4 million for the three and six months ended June 30, 2025, respectively, and $0.1 million and $0.2 million for the three and six months ended June 30, 2024, respectively, which is included in compensation and benefits on the Consolidated Statements of Operations. There was $1.0 million and $1.0 million of associated income tax benefit for the three and six months ended June 30, 2025, respectively, and $0.6 million and $0.6 million for the three and six months ended June 30, 2024, respectively. Unrecognized stock-based</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outstanding unvested RSAs as of June 30, 2025 was $1.2 million and is expected to be recognized over a weighted average period of 0.95 years. Any future forfeitures will impact this amount.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128,603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(93,473)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128,603</w:t>
            </w:r>
          </w:p>
        </w:tc>
        <w:tc>
          <w:tcPr>
            <w:tcW w:w="200" w:type="dxa"/>
            <w:vAlign w:val="bottom"/>
          </w:tcPr>
          <w:p>
            <w:pPr>
              <w:spacing w:after="0"/>
              <w:rPr>
                <w:sz w:val="18"/>
                <w:szCs w:val="18"/>
                <w:color w:val="auto"/>
              </w:rPr>
            </w:pP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Units ("RSUs")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one of the following methods: (1) the closing market price on the day of the grant, (2) the closing market price on the day prior to grant, or (3) a 30-day volume weighted average price ("VWAP") is recognized as expense ratably over the requisite service period of the awards. Most of the shares currently vest one year from the grant date excluding certain executive RSUs, the Bonaccord Units and Executive Market Units, which are discussed in more detail below. The stock-based compensation expense for RSUs excluding the Bonaccord Units, Executive Transition Units, and Executive Market Units, which are discussed in more detail below, was $3.7 million and $7.2 million for the three and six months ended June 30, 2025, respectively, and $2.6 million and $5.2 million for the three and six months ended June 30, 2024, respectively, which is included in compensation and benefits on the Consolidated Statements of Operations. There was $0 and $9.1 million of associated income tax benefit for the three and six months ended June 30, 2025, respectively, and $0.6 million and $0.6 million for the three and six months ended June 30, 2024, respectively. Unrecognized stock-based compensation expense related to outstanding unvested RSUs as of June 30, 2025 was $11.6 million and is expected to be recognized over a weighted average period of 1.07 years. Any future forfeitures will impact this amount.</w:t>
      </w:r>
    </w:p>
    <w:p>
      <w:pPr>
        <w:spacing w:after="0" w:line="19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June 30, 2025, certain performance metrics have been met and specific employees have earned and been paid $17.5 million in value of which $6.6 million was settled in shares and $10.9 million was settled in cash.</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With the vesting in full of the Bonaccord Units, the Company entered into a Cash Bonus and Restricted Stock Unit Agreement ("Bonus and Unit Agreement") with certain employees of Bonaccord for grants of additional RSUs ("Additional Units") and cash bonus with a total aggregate value of $17.5 million, equaling a maximum of 1,457,119 Additional Units. On May 12, 2025, $14.0 million was allocated to employees which included $2.1 million being settled as a cash bonus and $11.9 million as 994,762 Additional Units that would vest upon meeting certain performance metrics. As of June 30, 2025, an additional 291,424 of the Additional Units remain to be allocated. On May 12, 2025, the Company evaluated that all the Bonaccord Units are probable to be earned. The Company evaluates when it is probable that the Bonaccord Units will vest and applies the tranche method to determine the amount of expense to recognize during the period. An expense of $3.7 million and $3.7 million has been recorded for the three and six months ended June 30, 2025, respectively, and $0.1 million and $0.1 million for the three and six months ended June 30, 2024 on the Consolidated Statements of Operations. The income tax benefit associated with the Bonaccord Units was $2.1 million and $6.1 million for the three and six months ended June 30, 2025, respectively, and $1.0 million and $1.8 million for the three and six months ended June 30, 2024, respectively. Unrecognized stock-based compensation expense related to the Bonaccord Units as of June 30, 2025 was $10.3 million and is expected to be recognized over 2.00 years.</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October 23, 2023, the Company transitioned from their former co-CEOs to our current CEO ("Executive Transition"). The Company entered into an Executive Transition Agreement with a certain former executive, which granted Restricted Stock Units ("Executive Transition Units") for meeting a service requirement. The award had a stated value of $4.0 million and was issued in $1.0 million increments quarterly beginning on October 20, 2023 and at the start of each of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following three quarters. Each $1.0 million increment will vest one year following issuance. Attributes of this award include graded vesting and service conditions, therefore, the expense recognition of this award is recognized on a straight-line basis over the requisite service period of the award in line with the policy election discussed in Note 2. As of December 31, 2024, all Executive Transition Units have vested and been issued. No stock compensation expense for these units were incurred for both the three and six months ended June 30, 2025. For the three and six months ended June 30, 2024, $0.6 million and $1.2 million of stock compensation expense, respectively, was recognized on the Consolidated Statements of Operations. There was no associated income tax benefit for the Executive Transition Units for the three and six months ended June 30, 2025 and for the three and six months ended June 30, 2024.</w:t>
      </w:r>
    </w:p>
    <w:p>
      <w:pPr>
        <w:spacing w:after="0" w:line="18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June 30, 2025, none of the Executive Market Units have vested. For the three and six months ended June 30, 2025, $0.7 million and $1.4 million of stock compensation expense was recognized on the Consolidated Statements of Operations. For the three and six months ended June 30, 2024, $0.7 million and $1.4 million of stock compensation expense was recognized on the Consolidated Statements of Operations. There was no associated income tax benefit for the three and six months ended June 30, 2025 and 2024. The unrecognized expense associated with the Executive Market Units was $6.2 million as of June 30, 2025.</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8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23, 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88"/>
              </w:rPr>
              <w:t>5</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108"/>
              <w:spacing w:after="0"/>
              <w:rPr>
                <w:sz w:val="20"/>
                <w:szCs w:val="20"/>
                <w:color w:val="auto"/>
              </w:rPr>
            </w:pPr>
            <w:r>
              <w:rPr>
                <w:rFonts w:ascii="Times New Roman" w:cs="Times New Roman" w:eastAsia="Times New Roman" w:hAnsi="Times New Roman"/>
                <w:sz w:val="18"/>
                <w:szCs w:val="18"/>
                <w:color w:val="auto"/>
              </w:rPr>
              <w:t>40.00%</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88"/>
              <w:spacing w:after="0"/>
              <w:rPr>
                <w:sz w:val="20"/>
                <w:szCs w:val="20"/>
                <w:color w:val="auto"/>
              </w:rPr>
            </w:pPr>
            <w:r>
              <w:rPr>
                <w:rFonts w:ascii="Times New Roman" w:cs="Times New Roman" w:eastAsia="Times New Roman" w:hAnsi="Times New Roman"/>
                <w:sz w:val="18"/>
                <w:szCs w:val="18"/>
                <w:color w:val="auto"/>
                <w:w w:val="98"/>
              </w:rPr>
              <w:t>4.81%</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88"/>
              <w:spacing w:after="0"/>
              <w:rPr>
                <w:sz w:val="20"/>
                <w:szCs w:val="20"/>
                <w:color w:val="auto"/>
              </w:rPr>
            </w:pPr>
            <w:r>
              <w:rPr>
                <w:rFonts w:ascii="Times New Roman" w:cs="Times New Roman" w:eastAsia="Times New Roman" w:hAnsi="Times New Roman"/>
                <w:sz w:val="18"/>
                <w:szCs w:val="18"/>
                <w:color w:val="auto"/>
                <w:w w:val="98"/>
              </w:rPr>
              <w:t>1.42%</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81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18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78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1,422,269</w:t>
            </w:r>
          </w:p>
        </w:tc>
        <w:tc>
          <w:tcPr>
            <w:tcW w:w="12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7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929,921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73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3"/>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(720,237)</w:t>
            </w:r>
          </w:p>
        </w:tc>
        <w:tc>
          <w:tcPr>
            <w:tcW w:w="8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7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1,631,953</w:t>
            </w:r>
          </w:p>
        </w:tc>
        <w:tc>
          <w:tcPr>
            <w:tcW w:w="12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182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six months ended June 30, 2025 and the three and six months ended June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attributable to P10</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 for: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 in P10</w:t>
            </w: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Intermediate</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Denominator for basic calculation—Weighted-</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110,951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shares assumed upon the termination of an acquisition equity</w:t>
            </w: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holdback period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118,722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118,935</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Earnings per Class A share—basic</w:t>
            </w:r>
          </w:p>
        </w:tc>
        <w:tc>
          <w:tcPr>
            <w:tcW w:w="260" w:type="dxa"/>
            <w:vAlign w:val="bottom"/>
          </w:tcPr>
          <w:p>
            <w:pPr>
              <w:jc w:val="right"/>
              <w:ind w:right="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-2116455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-2116455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-2116455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-2116455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-1833880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-1816735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-1833880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-1816735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-1833880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-1816735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-1833880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-1816735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-573405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-556895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-573405</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-556895</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-573405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-556895</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-573405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-556895</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The computations of diluted earnings per share on a weighted average basis would exclude 8.4 million and 7.8 million options for the three and six months ended June 30, 2025, respectively, because the options were anti-dilutive. The computations of diluted earnings per share on a weighted average basis exclude 11.9 million and 11.1 million options for the three and six months ended June 30, 2024, respectively, because the options were anti-dilutive.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operating segment are the same as those described in the summary of significant accounting policies in Note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No individual client constituted more than 10% of the Company's total revenues for the three and six months ended June 30, 2025. No individual client constituted more than 10% of the Company's total revenues for the three and six months ended June 30, 2024.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w:t>
      </w:r>
    </w:p>
    <w:p>
      <w:pPr>
        <w:spacing w:after="0" w:line="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primary geographic region in which the Company invests is in the United States and the majority of its revenues are generated in the United States. For the three and six months ended June 30, 2025 and 2024, most of the Company's revenues were generated in the United States. No individual foreign country constituted more than 10% of the Company's revenues for the three and six months ended June 30, 2025 and 2024.</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long-lived assets consist of property and equipment, lease right-of-use assets, and finite-lived intangibles. As of June 30, 2025, 78% of the Company's long-lived assets were in the United States and 22% of the Company's long-lived assets were in Spain. As of December 31, 2024, most of the Company's long-lived assets were in the United States. No individual foreign country constituted more than 10% of the Company's long-lived assets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Segment Expense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profit or loss, and significant segment expenses for the three and six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00" w:type="dxa"/>
            <w:vAlign w:val="bottom"/>
            <w:shd w:val="clear" w:color="auto" w:fill="CFF0FC"/>
          </w:tcPr>
          <w:p>
            <w:pPr>
              <w:spacing w:after="0"/>
              <w:rPr>
                <w:sz w:val="18"/>
                <w:szCs w:val="18"/>
                <w:color w:val="auto"/>
              </w:rPr>
            </w:pP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cash compensation and benefits, net of one-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expenses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(25,571)</w:t>
            </w:r>
          </w:p>
        </w:tc>
        <w:tc>
          <w:tcPr>
            <w:tcW w:w="10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(50,778)</w:t>
            </w:r>
          </w:p>
        </w:tc>
      </w:tr>
      <w:tr>
        <w:trPr>
          <w:trHeight w:val="216"/>
        </w:trPr>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stock based compensation</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(11,056)</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(6,676)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(13,391)</w:t>
            </w:r>
          </w:p>
        </w:tc>
      </w:tr>
      <w:tr>
        <w:trPr>
          <w:trHeight w:val="216"/>
        </w:trPr>
        <w:tc>
          <w:tcPr>
            <w:tcW w:w="3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Less: management profit share</w:t>
            </w:r>
            <w:r>
              <w:rPr>
                <w:rFonts w:ascii="Times New Roman" w:cs="Times New Roman" w:eastAsia="Times New Roman" w:hAnsi="Times New Roman"/>
                <w:sz w:val="24"/>
                <w:szCs w:val="24"/>
                <w:color w:val="auto"/>
                <w:vertAlign w:val="superscript"/>
              </w:rPr>
              <w:t>(2)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professional fees, net of one-time expenses</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(3,868)</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(5,950)</w:t>
            </w: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general, administrative and other, net of</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one-time expenses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(6,479)</w:t>
            </w:r>
          </w:p>
        </w:tc>
        <w:tc>
          <w:tcPr>
            <w:tcW w:w="10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(10,150)</w:t>
            </w:r>
          </w:p>
        </w:tc>
      </w:tr>
      <w:tr>
        <w:trPr>
          <w:trHeight w:val="216"/>
        </w:trPr>
        <w:tc>
          <w:tcPr>
            <w:tcW w:w="3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placement agent expenses</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(1,811)</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3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Less: other segment items </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(18,728)</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(39,852)</w:t>
            </w: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19"/>
                <w:szCs w:val="19"/>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520" w:right="500" w:hanging="3"/>
        <w:spacing w:after="0" w:line="266"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net income includes (i) contingent consideration expense, amortization of intangibles, strategic alliance expense, income tax expense, interest expense, net, as well as other income, and (ii) one-time expenses excluded from the significant segment expenses.</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cash compensation and benefits, net of one-time expenses to their equivalent GAAP measures, reported in the Consolidated Statement of Operations for the three and six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8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69,225</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(11,056)</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(6,676)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(13,391)</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Management profit share</w:t>
            </w:r>
            <w:r>
              <w:rPr>
                <w:rFonts w:ascii="Times New Roman" w:cs="Times New Roman" w:eastAsia="Times New Roman" w:hAnsi="Times New Roman"/>
                <w:sz w:val="24"/>
                <w:szCs w:val="24"/>
                <w:color w:val="auto"/>
                <w:vertAlign w:val="superscript"/>
              </w:rPr>
              <w:t>(2)</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388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(7,117)</w:t>
            </w:r>
          </w:p>
        </w:tc>
        <w:tc>
          <w:tcPr>
            <w:tcW w:w="0" w:type="dxa"/>
            <w:vAlign w:val="bottom"/>
          </w:tcPr>
          <w:p>
            <w:pPr>
              <w:spacing w:after="0"/>
              <w:rPr>
                <w:sz w:val="1"/>
                <w:szCs w:val="1"/>
                <w:color w:val="auto"/>
              </w:rPr>
            </w:pPr>
          </w:p>
        </w:tc>
      </w:tr>
      <w:tr>
        <w:trPr>
          <w:trHeight w:val="20"/>
        </w:trPr>
        <w:tc>
          <w:tcPr>
            <w:tcW w:w="388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compensation and benefits, net of one-time</w:t>
            </w:r>
          </w:p>
        </w:tc>
        <w:tc>
          <w:tcPr>
            <w:tcW w:w="980" w:type="dxa"/>
            <w:vAlign w:val="bottom"/>
            <w:vMerge w:val="restart"/>
          </w:tcPr>
          <w:p>
            <w:pPr>
              <w:jc w:val="right"/>
              <w:ind w:right="85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260" w:type="dxa"/>
            <w:vAlign w:val="bottom"/>
          </w:tcPr>
          <w:p>
            <w:pPr>
              <w:spacing w:after="0"/>
              <w:rPr>
                <w:sz w:val="16"/>
                <w:szCs w:val="16"/>
                <w:color w:val="auto"/>
              </w:rPr>
            </w:pPr>
          </w:p>
        </w:tc>
        <w:tc>
          <w:tcPr>
            <w:tcW w:w="1040" w:type="dxa"/>
            <w:vAlign w:val="bottom"/>
            <w:vMerge w:val="restart"/>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60" w:type="dxa"/>
            <w:vAlign w:val="bottom"/>
          </w:tcPr>
          <w:p>
            <w:pPr>
              <w:spacing w:after="0"/>
              <w:rPr>
                <w:sz w:val="16"/>
                <w:szCs w:val="16"/>
                <w:color w:val="auto"/>
              </w:rPr>
            </w:pP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60" w:type="dxa"/>
            <w:vAlign w:val="bottom"/>
          </w:tcPr>
          <w:p>
            <w:pPr>
              <w:spacing w:after="0"/>
              <w:rPr>
                <w:sz w:val="16"/>
                <w:szCs w:val="16"/>
                <w:color w:val="auto"/>
              </w:rPr>
            </w:pPr>
          </w:p>
        </w:tc>
        <w:tc>
          <w:tcPr>
            <w:tcW w:w="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9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-281940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-281940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right="120" w:hanging="3"/>
        <w:spacing w:after="0" w:line="282"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signing bonus and severance; and (ii) acquisition-related expenses which reflects the actual costs incurred during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period for the acquisition of new businesses, which primarily consists of bonuses not paid to employees directly related to the WTI acquisition.</w:t>
      </w:r>
    </w:p>
    <w:p>
      <w:pPr>
        <w:spacing w:after="0" w:line="63" w:lineRule="exact"/>
        <w:rPr>
          <w:sz w:val="20"/>
          <w:szCs w:val="20"/>
          <w:color w:val="auto"/>
        </w:rPr>
      </w:pPr>
    </w:p>
    <w:p>
      <w:pPr>
        <w:ind w:left="520" w:right="600" w:hanging="3"/>
        <w:spacing w:after="0" w:line="282"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components of professional fees, net of one-time expenses to their equivalent GAAP measures, reported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for the three and six months ended June 30,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260" w:type="dxa"/>
            <w:vAlign w:val="bottom"/>
          </w:tcPr>
          <w:p>
            <w:pPr>
              <w:spacing w:after="0"/>
              <w:rPr>
                <w:sz w:val="18"/>
                <w:szCs w:val="18"/>
                <w:color w:val="auto"/>
              </w:rPr>
            </w:pPr>
          </w:p>
        </w:tc>
        <w:tc>
          <w:tcPr>
            <w:tcW w:w="108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net of one-time expenses</w:t>
            </w:r>
          </w:p>
        </w:tc>
        <w:tc>
          <w:tcPr>
            <w:tcW w:w="1420" w:type="dxa"/>
            <w:vAlign w:val="bottom"/>
            <w:gridSpan w:val="2"/>
            <w:shd w:val="clear" w:color="auto" w:fill="CFF0FC"/>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3"/>
        <w:spacing w:after="0" w:line="261"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one-time advisory services related to technical accounting matters.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general, administrative and other, net of one-time expenses to their equivalent GAAP measures, reported in the Consolidated Statement of Operations for the three and six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1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Placement agent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(1,811)</w:t>
            </w:r>
          </w:p>
        </w:tc>
        <w:tc>
          <w:tcPr>
            <w:tcW w:w="10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0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General, administrative and other, net of one-time</w:t>
            </w:r>
          </w:p>
        </w:tc>
        <w:tc>
          <w:tcPr>
            <w:tcW w:w="1160" w:type="dxa"/>
            <w:vAlign w:val="bottom"/>
            <w:gridSpan w:val="2"/>
            <w:vMerge w:val="restart"/>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26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shd w:val="clear" w:color="auto" w:fill="CFF0FC"/>
          </w:tcPr>
          <w:p>
            <w:pPr>
              <w:spacing w:after="0"/>
              <w:rPr>
                <w:sz w:val="16"/>
                <w:szCs w:val="16"/>
                <w:color w:val="auto"/>
              </w:rPr>
            </w:pPr>
          </w:p>
        </w:tc>
        <w:tc>
          <w:tcPr>
            <w:tcW w:w="4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160" w:type="dxa"/>
            <w:vAlign w:val="bottom"/>
            <w:shd w:val="clear" w:color="auto" w:fill="CFF0FC"/>
          </w:tcPr>
          <w:p>
            <w:pPr>
              <w:spacing w:after="0"/>
              <w:rPr>
                <w:sz w:val="16"/>
                <w:szCs w:val="16"/>
                <w:color w:val="auto"/>
              </w:rPr>
            </w:pPr>
          </w:p>
        </w:tc>
        <w:tc>
          <w:tcPr>
            <w:tcW w:w="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160" w:type="dxa"/>
            <w:vAlign w:val="bottom"/>
            <w:gridSpan w:val="2"/>
            <w:vMerge w:val="continue"/>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left="520" w:right="160" w:hanging="3"/>
        <w:spacing w:after="0" w:line="266"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 Information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is reported on the Consolidated Statements of Operations as interest expense, net. Interest income is reported on the Consolidated Statements of Operations within other income and was $0.3 million an $0.7 million for the three and six months ended June 30, 2025, respectively, and $0.2 million and $0.5 million for the three and six months ended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On August 5, 2025, the Board of Directors of the Company has declared a quarterly cash dividend of $0.0375 per share of Class A and Class B common stock, payable on September 19, 2025, to the holders of record as of the close of business on August 29, 2025.</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August 5, 2025, the Board of Directors authorized an additional $25.0 million of repurchases of outstanding Class A and Class B shares of the Company's stock under the Share Repurchase Program.</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June 30, 2025,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5"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2024, particularly in "Risk Factors" and the "Forward-Looking Information." Unless otherwise indicated, references in this Quarterly Report on Form 10-Q to fiscal 2025 and 2024 are to our fiscal years ended December 31, 2025 and 2024,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our private market solutions were comprised of the following:</w:t>
      </w:r>
    </w:p>
    <w:p>
      <w:pPr>
        <w:spacing w:after="0" w:line="115" w:lineRule="exact"/>
        <w:rPr>
          <w:sz w:val="20"/>
          <w:szCs w:val="20"/>
          <w:color w:val="auto"/>
        </w:rPr>
      </w:pPr>
    </w:p>
    <w:p>
      <w:pPr>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and Europe. PES also makes minority equity investments in a diversified portfolio of mid-sized managers across private equity, private credit, real estate and real assets. The PES investment team, which is comprised of 72 investment professionals with an average of 26+ years of experience, has deep and long-standing investor and fund manager relationships in the middle and lower-middle market which it has cultivated over the past 20 years, including over 4,870+ investors, 300+ fund managers, 670+ private market funds and 5,000+ portfolio companies. We have 69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6,270 investment firms, 59,300 funds, 68,400 individual transactions, 34,250 private companies and 529,500 financial metrics. As of June 30, 2025, PES has raised a total of $23.9 billion assets under management ("AUM"), of which $16.9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8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high-performing, access-constrained opportunities. The VCS investment team, which is comprised of 16 investment professionals with an average of 24+ years of experience, has deep and long-standing investor and fund manager relationships in the venture market which it has cultivated over the past 17+ years, including over 2,000+ investors, 120+ fund managers, 110+ direct investments, 430+ private market funds and 15,000+ portfolio companies. We have 22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2025, VCS has raised a total of $10.6 billion AUM, of which $6.6 billion of FPAUM.</w:t>
      </w:r>
    </w:p>
    <w:p>
      <w:pPr>
        <w:spacing w:after="0" w:line="76"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left="1020"/>
        <w:spacing w:after="0" w:line="253" w:lineRule="auto"/>
        <w:rPr>
          <w:sz w:val="20"/>
          <w:szCs w:val="20"/>
          <w:color w:val="auto"/>
        </w:rPr>
      </w:pPr>
      <w:r>
        <w:rPr>
          <w:rFonts w:ascii="Times New Roman" w:cs="Times New Roman" w:eastAsia="Times New Roman" w:hAnsi="Times New Roman"/>
          <w:sz w:val="18"/>
          <w:szCs w:val="18"/>
          <w:color w:val="auto"/>
        </w:rPr>
        <w:t>unrealized investments at the fund level and provide financing for companies that would otherwise require equity. The PCS investment team, which is comprised of 52 investment professionals with an average of 25+ years of experience, has deep and long-standing relationships in the private credit market which it has cultivated over the past 22 years, including 530+ investors across 49 active investment vehicles and 1,800+ portfolio companies with $10.2+ billion capital deployed. Our PCS is differentiated by our relationship-driven sourcing approach providing capital solutions for growth-oriented companies. We are further synergistically strengthened by our PCS network of fund managers, characterized by more than 700 credit opportunities annually. We currently maintain 90+ active sponsor relationships and have 120+ platform investments. Within PCS, the Company has investments that target historic building preservation, brownfield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June 30, 2025, PCS has raised a total of $7.4 billion AUM, of which $5.4 billion are FPAUM. Of the total AUM, impact assets represent $4.3 billion supporting investments in over 1,000 projects and businesses across 40 states, Washington DC, and Puerto Rico, not including investments made by non-impact affiliates. Investments in clean energy have generated an estimate of over 2,900 GWh of renewable energy from inception to December 31, 2024.</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14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$15.6 billion of our FPAUM as of June 30, 2025.</w:t>
      </w:r>
    </w:p>
    <w:p>
      <w:pPr>
        <w:spacing w:after="0" w:line="76"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$10.7 billion of our FPAUM as of June 30, 2025.</w:t>
      </w:r>
    </w:p>
    <w:p>
      <w:pPr>
        <w:spacing w:after="0" w:line="80"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Secondary Investment Funds. </w:t>
      </w:r>
      <w:r>
        <w:rPr>
          <w:rFonts w:ascii="Times New Roman" w:cs="Times New Roman" w:eastAsia="Times New Roman" w:hAnsi="Times New Roman"/>
          <w:sz w:val="18"/>
          <w:szCs w:val="18"/>
          <w:color w:val="auto"/>
        </w:rPr>
        <w:t>Secondary investment funds refer to investments in existing private markets funds through the acquisition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 the fund. Our secondary funds comprise approximately $2.6 billion of our FPAUM as of June 30, 2025.</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see investors turning towards alternative investments to achieve asset class diversification, superior investment returns, and participation in access constrained investment opportunities.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5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demand for private markets solutions. </w:t>
      </w:r>
      <w:r>
        <w:rPr>
          <w:rFonts w:ascii="Times New Roman" w:cs="Times New Roman" w:eastAsia="Times New Roman" w:hAnsi="Times New Roman"/>
          <w:sz w:val="18"/>
          <w:szCs w:val="18"/>
          <w:color w:val="auto"/>
        </w:rPr>
        <w:t>Our ability to attract new capital is dependent on investor demand for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 net worth investor community, and demand from high-net-worth individuals, also known as retail investors.</w:t>
      </w:r>
    </w:p>
    <w:p>
      <w:pPr>
        <w:spacing w:after="0" w:line="80" w:lineRule="exact"/>
        <w:rPr>
          <w:rFonts w:ascii="Times New Roman" w:cs="Times New Roman" w:eastAsia="Times New Roman" w:hAnsi="Times New Roman"/>
          <w:sz w:val="18"/>
          <w:szCs w:val="18"/>
          <w:color w:val="auto"/>
        </w:rPr>
      </w:pPr>
    </w:p>
    <w:p>
      <w:pPr>
        <w:ind w:left="1020" w:right="4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81"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and now with the acquisition of Qualitas, a presence in Europe. We believe that expanding our investor presence into international markets will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Political uncertainty, foreign currency exposure, and increasing regulatory requirements. </w:t>
      </w:r>
      <w:r>
        <w:rPr>
          <w:rFonts w:ascii="Times New Roman" w:cs="Times New Roman" w:eastAsia="Times New Roman" w:hAnsi="Times New Roman"/>
          <w:sz w:val="18"/>
          <w:szCs w:val="18"/>
          <w:color w:val="auto"/>
        </w:rPr>
        <w:t>There is uncertainty in fluctuation around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regulatory, currency exchange rates and tax changes, which may impact our profitability or impact our ability to operate and grow our business. Additionally, the complex regulatory and tax</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43" w:name="page44"/>
    <w:bookmarkEnd w:id="43"/>
    <w:p>
      <w:pPr>
        <w:ind w:left="1020" w:right="460"/>
        <w:spacing w:after="0" w:line="282" w:lineRule="auto"/>
        <w:rPr>
          <w:sz w:val="20"/>
          <w:szCs w:val="20"/>
          <w:color w:val="auto"/>
        </w:rPr>
      </w:pPr>
      <w:r>
        <w:rPr>
          <w:rFonts w:ascii="Times New Roman" w:cs="Times New Roman" w:eastAsia="Times New Roman" w:hAnsi="Times New Roman"/>
          <w:sz w:val="18"/>
          <w:szCs w:val="18"/>
          <w:color w:val="auto"/>
        </w:rPr>
        <w:t>environment carries the potential to restrict our operations and our business activities, as well as subject us to increased compliance and administrative burdens.</w:t>
      </w:r>
    </w:p>
    <w:p>
      <w:pPr>
        <w:spacing w:after="0" w:line="52" w:lineRule="exact"/>
        <w:rPr>
          <w:sz w:val="20"/>
          <w:szCs w:val="20"/>
          <w:color w:val="auto"/>
        </w:rPr>
      </w:pPr>
    </w:p>
    <w:p>
      <w:pPr>
        <w:ind w:left="1020" w:right="10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74"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All-weather strategies can thrive in a myriad of environments. </w:t>
      </w:r>
      <w:r>
        <w:rPr>
          <w:rFonts w:ascii="Times New Roman" w:cs="Times New Roman" w:eastAsia="Times New Roman" w:hAnsi="Times New Roman"/>
          <w:sz w:val="18"/>
          <w:szCs w:val="18"/>
          <w:color w:val="auto"/>
        </w:rPr>
        <w:t>Some strategies are counter-cyclical in nature and can take advantage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significant component of our overall revenue stream, they may result in a temporary increase in our revenues in the period in which they are recognized.</w:t>
      </w:r>
    </w:p>
    <w:p>
      <w:pPr>
        <w:spacing w:after="0" w:line="22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 pre-acquisition legacy managed fund and incremental incentive revenues earned as a part of an advisory agreement between ECG and Crossroads Impact Corp.</w:t>
      </w:r>
    </w:p>
    <w:p>
      <w:pPr>
        <w:spacing w:after="0" w:line="189"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options became exercisable in July 2025.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 which was terminated by the parties on December 23, 2024.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was included in operating expenses. This expense was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expense, net includes interest paid and accrued on our outstanding debt, along with the amortization of deferred financing costs. Other income (loss) includes any (loss)/income from unconsolidated subsidiaries, interest income earned from bank accounts across management companies, the loss recognized for the conversion of the right to receive 15% of net management fee earnings to a 15% equity interest in Bonaccord, remeasurement of the contingent loss related to the Clifford guarantee, and accrued expenses related to litigation and regulatory activity as necessary, which would be discussed in Note 14 of our Consolidated Financial Statements.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2025 and June 30,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jc w:val="center"/>
              <w:ind w:left="456"/>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0" w:type="dxa"/>
            <w:vAlign w:val="bottom"/>
          </w:tcPr>
          <w:p>
            <w:pPr>
              <w:spacing w:after="0"/>
              <w:rPr>
                <w:sz w:val="1"/>
                <w:szCs w:val="1"/>
                <w:color w:val="auto"/>
              </w:rPr>
            </w:pPr>
          </w:p>
        </w:tc>
      </w:tr>
      <w:tr>
        <w:trPr>
          <w:trHeight w:val="128"/>
        </w:trPr>
        <w:tc>
          <w:tcPr>
            <w:tcW w:w="3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76"/>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020" w:type="dxa"/>
            <w:vAlign w:val="bottom"/>
            <w:gridSpan w:val="4"/>
          </w:tcPr>
          <w:p>
            <w:pPr>
              <w:jc w:val="center"/>
              <w:ind w:right="477"/>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Management and advisory fees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71,516</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68,475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3,041</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138,251</w:t>
            </w:r>
          </w:p>
        </w:tc>
        <w:tc>
          <w:tcPr>
            <w:tcW w:w="12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133,597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4,654</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Other revenue</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1,188</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(1,413)</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(54)%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(1,474)</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(41)%</w:t>
            </w:r>
          </w:p>
        </w:tc>
        <w:tc>
          <w:tcPr>
            <w:tcW w:w="0" w:type="dxa"/>
            <w:vAlign w:val="bottom"/>
          </w:tcPr>
          <w:p>
            <w:pPr>
              <w:spacing w:after="0"/>
              <w:rPr>
                <w:sz w:val="1"/>
                <w:szCs w:val="1"/>
                <w:color w:val="auto"/>
              </w:rPr>
            </w:pPr>
          </w:p>
        </w:tc>
      </w:tr>
      <w:tr>
        <w:trPr>
          <w:trHeight w:val="128"/>
        </w:trPr>
        <w:tc>
          <w:tcPr>
            <w:tcW w:w="31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revenues</w:t>
            </w: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72,704</w:t>
            </w:r>
          </w:p>
        </w:tc>
        <w:tc>
          <w:tcPr>
            <w:tcW w:w="24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71,076</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1,628</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140,371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137,191</w:t>
            </w: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3,180</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32,145</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36,253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(4,108)</w:t>
            </w:r>
          </w:p>
        </w:tc>
        <w:tc>
          <w:tcPr>
            <w:tcW w:w="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(11)%</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69,225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73,362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(4,137)</w:t>
            </w: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(6)%</w:t>
            </w: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Professional fees</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3,208</w:t>
            </w: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5,955</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82%</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General, administrative and other</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8,824</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7,017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1,807</w:t>
            </w: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26%</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2,575</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20%</w:t>
            </w: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Contingent consideration expense</w:t>
            </w: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w:t>
            </w: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988</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6,150</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6,438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(4)%</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(1,407)</w:t>
            </w: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(11)%</w:t>
            </w: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Strategic alliance expense</w:t>
            </w:r>
          </w:p>
        </w:tc>
        <w:tc>
          <w:tcPr>
            <w:tcW w:w="80" w:type="dxa"/>
            <w:vAlign w:val="bottom"/>
          </w:tcPr>
          <w:p>
            <w:pPr>
              <w:spacing w:after="0"/>
              <w:rPr>
                <w:sz w:val="11"/>
                <w:szCs w:val="11"/>
                <w:color w:val="auto"/>
              </w:rPr>
            </w:pPr>
          </w:p>
        </w:tc>
        <w:tc>
          <w:tcPr>
            <w:tcW w:w="9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(815)</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(54)%</w:t>
            </w:r>
          </w:p>
        </w:tc>
        <w:tc>
          <w:tcPr>
            <w:tcW w:w="0" w:type="dxa"/>
            <w:vAlign w:val="bottom"/>
          </w:tcPr>
          <w:p>
            <w:pPr>
              <w:spacing w:after="0"/>
              <w:rPr>
                <w:sz w:val="1"/>
                <w:szCs w:val="1"/>
                <w:color w:val="auto"/>
              </w:rPr>
            </w:pPr>
          </w:p>
        </w:tc>
      </w:tr>
      <w:tr>
        <w:trPr>
          <w:trHeight w:val="128"/>
        </w:trPr>
        <w:tc>
          <w:tcPr>
            <w:tcW w:w="312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54,971</w:t>
            </w:r>
          </w:p>
        </w:tc>
        <w:tc>
          <w:tcPr>
            <w:tcW w:w="2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54,237</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734</w:t>
            </w:r>
          </w:p>
        </w:tc>
        <w:tc>
          <w:tcPr>
            <w:tcW w:w="22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111,412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108,253</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3,159</w:t>
            </w:r>
          </w:p>
        </w:tc>
        <w:tc>
          <w:tcPr>
            <w:tcW w:w="2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8"/>
        </w:trPr>
        <w:tc>
          <w:tcPr>
            <w:tcW w:w="3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16,839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894</w:t>
            </w:r>
          </w:p>
        </w:tc>
        <w:tc>
          <w:tcPr>
            <w:tcW w:w="2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28,959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28,938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(EXPENSE)/LOSS</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80" w:type="dxa"/>
            <w:vAlign w:val="bottom"/>
          </w:tcPr>
          <w:p>
            <w:pPr>
              <w:spacing w:after="0"/>
              <w:rPr>
                <w:sz w:val="11"/>
                <w:szCs w:val="11"/>
                <w:color w:val="auto"/>
              </w:rPr>
            </w:pPr>
          </w:p>
        </w:tc>
        <w:tc>
          <w:tcPr>
            <w:tcW w:w="9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(6,799)</w:t>
            </w:r>
          </w:p>
        </w:tc>
        <w:tc>
          <w:tcPr>
            <w:tcW w:w="2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(6,115)</w:t>
            </w: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(684)</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(13,216)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(11,891)</w:t>
            </w: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(1,325)</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11%</w:t>
            </w:r>
          </w:p>
        </w:tc>
        <w:tc>
          <w:tcPr>
            <w:tcW w:w="0" w:type="dxa"/>
            <w:vAlign w:val="bottom"/>
          </w:tcPr>
          <w:p>
            <w:pPr>
              <w:spacing w:after="0"/>
              <w:rPr>
                <w:sz w:val="1"/>
                <w:szCs w:val="1"/>
                <w:color w:val="auto"/>
              </w:rPr>
            </w:pPr>
          </w:p>
        </w:tc>
      </w:tr>
      <w:tr>
        <w:trPr>
          <w:trHeight w:val="135"/>
        </w:trPr>
        <w:tc>
          <w:tcPr>
            <w:tcW w:w="312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Other (loss)/income</w:t>
            </w: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(5,354)</w:t>
            </w: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(5,738)</w:t>
            </w:r>
          </w:p>
        </w:tc>
        <w:tc>
          <w:tcPr>
            <w:tcW w:w="8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(5,202)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1,062</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(6,264)</w:t>
            </w: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20"/>
        </w:trPr>
        <w:tc>
          <w:tcPr>
            <w:tcW w:w="3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other (expense)</w:t>
            </w:r>
          </w:p>
        </w:tc>
        <w:tc>
          <w:tcPr>
            <w:tcW w:w="80" w:type="dxa"/>
            <w:vAlign w:val="bottom"/>
          </w:tcPr>
          <w:p>
            <w:pPr>
              <w:spacing w:after="0"/>
              <w:rPr>
                <w:sz w:val="11"/>
                <w:szCs w:val="11"/>
                <w:color w:val="auto"/>
              </w:rPr>
            </w:pPr>
          </w:p>
        </w:tc>
        <w:tc>
          <w:tcPr>
            <w:tcW w:w="960" w:type="dxa"/>
            <w:vAlign w:val="bottom"/>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(12,153)</w:t>
            </w:r>
          </w:p>
        </w:tc>
        <w:tc>
          <w:tcPr>
            <w:tcW w:w="280" w:type="dxa"/>
            <w:vAlign w:val="bottom"/>
          </w:tcPr>
          <w:p>
            <w:pPr>
              <w:spacing w:after="0"/>
              <w:rPr>
                <w:sz w:val="11"/>
                <w:szCs w:val="11"/>
                <w:color w:val="auto"/>
              </w:rPr>
            </w:pPr>
          </w:p>
        </w:tc>
        <w:tc>
          <w:tcPr>
            <w:tcW w:w="78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(5,731)</w:t>
            </w: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(6,422)</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(18,418)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(10,829)</w:t>
            </w:r>
          </w:p>
        </w:tc>
        <w:tc>
          <w:tcPr>
            <w:tcW w:w="120" w:type="dxa"/>
            <w:vAlign w:val="bottom"/>
          </w:tcPr>
          <w:p>
            <w:pPr>
              <w:spacing w:after="0"/>
              <w:rPr>
                <w:sz w:val="11"/>
                <w:szCs w:val="11"/>
                <w:color w:val="auto"/>
              </w:rPr>
            </w:pPr>
          </w:p>
        </w:tc>
        <w:tc>
          <w:tcPr>
            <w:tcW w:w="9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(7,589)</w:t>
            </w: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70%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12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rPr>
              <w:t>Net income before income taxes</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5,580</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11,108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(5,528)</w:t>
            </w:r>
          </w:p>
        </w:tc>
        <w:tc>
          <w:tcPr>
            <w:tcW w:w="8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(50)%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10,541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18,109</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(7,568)</w:t>
            </w:r>
          </w:p>
        </w:tc>
        <w:tc>
          <w:tcPr>
            <w:tcW w:w="94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(42)%</w:t>
            </w:r>
          </w:p>
        </w:tc>
        <w:tc>
          <w:tcPr>
            <w:tcW w:w="0" w:type="dxa"/>
            <w:vAlign w:val="bottom"/>
          </w:tcPr>
          <w:p>
            <w:pPr>
              <w:spacing w:after="0"/>
              <w:rPr>
                <w:sz w:val="1"/>
                <w:szCs w:val="1"/>
                <w:color w:val="auto"/>
              </w:rPr>
            </w:pPr>
          </w:p>
        </w:tc>
      </w:tr>
      <w:tr>
        <w:trPr>
          <w:trHeight w:val="135"/>
        </w:trPr>
        <w:tc>
          <w:tcPr>
            <w:tcW w:w="31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Pr>
          <w:p>
            <w:pPr>
              <w:spacing w:after="0"/>
              <w:rPr>
                <w:sz w:val="11"/>
                <w:szCs w:val="11"/>
                <w:color w:val="auto"/>
              </w:rPr>
            </w:pPr>
          </w:p>
        </w:tc>
        <w:tc>
          <w:tcPr>
            <w:tcW w:w="9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(1,380)</w:t>
            </w:r>
          </w:p>
        </w:tc>
        <w:tc>
          <w:tcPr>
            <w:tcW w:w="28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(3,718)</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2,338</w:t>
            </w: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(63)%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(1,645)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(5,476)</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3,831</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(70)%</w:t>
            </w:r>
          </w:p>
        </w:tc>
        <w:tc>
          <w:tcPr>
            <w:tcW w:w="0" w:type="dxa"/>
            <w:vAlign w:val="bottom"/>
          </w:tcPr>
          <w:p>
            <w:pPr>
              <w:spacing w:after="0"/>
              <w:rPr>
                <w:sz w:val="1"/>
                <w:szCs w:val="1"/>
                <w:color w:val="auto"/>
              </w:rPr>
            </w:pPr>
          </w:p>
        </w:tc>
      </w:tr>
      <w:tr>
        <w:trPr>
          <w:trHeight w:val="168"/>
        </w:trPr>
        <w:tc>
          <w:tcPr>
            <w:tcW w:w="31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4,200</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7,390</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(3,190)</w:t>
            </w: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(43)%</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8,896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center"/>
              <w:ind w:right="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12,633</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(3,737)</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-745490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-745490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-745490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-745490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-745490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-745490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-393700</wp:posOffset>
            </wp:positionV>
            <wp:extent cx="768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-393700</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-393700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-393700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-393700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-393700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-25400</wp:posOffset>
            </wp:positionV>
            <wp:extent cx="768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-8255</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774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2025 and June 30, 2024</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three months ended June 30, 2025 and June 30, 2024. For the three months ended June 30, 2025 compared to the three months ended June 30, 2024, revenues increased by $1.6 million or 2% due to higher management and advisory fees across the Company.</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$3.0 million, or 4%, to $71.5 million for the three months ended June 30, 2025 as compared to the three months ended June 30, 2024. The growth in management and advisory fees is attributable to continued success in fundraising and deploying capital. Furthermore, the Qualitas acquisition added to our fee base. Catch-up fees for the three months ended June 30, 2025 were $1.7 million. Catch up fees are primarily associated with the fund closings at Qualitas, RCP, and TrueBridge.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revenues, which represent ancillary elements of our business, decreased by $1.4 million or 54% to $1.2 million for the three months ended June 30, 2025 as compared to the three months ended June 30, 2024 driven primarily by a decrease of $1.8 million of recognized carried interest income in other revenue from a pre-acquisition legacy managed fund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ind w:right="480"/>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2024. This decrease was offset slightly by an increase of $0.3 million in income associated with ancillary services performed for certain funds in other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2025 and June 30, 2024</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six months ended June 30, 2025 and June 30, 2024. For the six months ended June 30, 2025 compared to the six months ended June 30, 2024, revenues increased by $3.2 million or 2% primarily due to higher management and advisory fees across the Company.</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$4.7 million, or 3%, to $138.3 million for the six months ended June 30, 2025 as compared to the six months ended June 30, 2024. The growth in management and advisory fees is attributable to continued success in fundraising and deploying capital. Furthermore, the Qualitas acquisition added to our fee base. Catch-up fees for the six months ended June 30, 2025 were $4.5 million associated with the fund closings at Qualitas, RCP, and TrueBridge.</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revenues decreased by $1.5 million or 41% to $2.1 million for the six months ended June 30, 2025 as compared to the six months ended June 30, 2024 primarily driven by a decrease of $1.8 million of recognized carried interest income from a pre-acquisition legacy managed fund in other revenue offset slightly by an increase of $0.4 million of income associated with ancillary services performed for certain funds in other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2"/>
                <w:szCs w:val="12"/>
                <w:color w:val="auto"/>
              </w:rPr>
            </w:pPr>
          </w:p>
        </w:tc>
        <w:tc>
          <w:tcPr>
            <w:tcW w:w="9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2"/>
                <w:szCs w:val="12"/>
                <w:color w:val="auto"/>
              </w:rPr>
            </w:pPr>
          </w:p>
        </w:tc>
        <w:tc>
          <w:tcPr>
            <w:tcW w:w="86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32,145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36,253</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(4,108)</w:t>
            </w: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69,225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73,362</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(4,137)</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2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2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22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2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2"/>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(288)</w:t>
            </w: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(1,407)</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54,971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111,412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108,253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2025 and June 30, 2024</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by $0.7 million, or 1%, to $55.0 million for the three months ended June 30, 2025 compared to the three months ended June 30, 2024. This increase was primarily due to increases in professional fees, general, administrative, and other expenses, and contingent consideration expense. This increase was offset by decreases in compensation and benefits expense, amortization of intangibles, and strategic alliance expense.</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decreased by $4.1 million, or 11%, to $32.1 million for the three months ended June 30, 2025 compared to the three months ended June 30, 2024. This was driven by a $9.6 million decrease in compensation expense due to the second tranche of the WTI earn-out no longer being probable of achievement in the three months ended June 30, 2025. This decrease was offset by a $4.4 million increase in stock compensation, which consists of a $3.5 million increase related to the 2025 grant of Bonaccord Units and an increase of $0.9 million for management stock awards. This decrease was also offset slightly by a $0.6 million increase in general compensation expense in the three months ended June 30, 2025 compared to the three months ended June 30, 2024.</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increased by $3.2 million, or 91%, to $6.7 million for the three months ended June 30, 2025 compared to the three months ended June 30, 2024. This was primarily driven by an increase of $2.2 million in legal and professional services associated with acquisition activity and other strategic transactions during the three months ended June 30, 2025, as well as an increase of $1.1 million in audit, SEC Rule 404(b) implementation, tax, and compliance services provided to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Contingent consideration expense increased by $1.0 million to $1.1 million for the three months ended June 30, 2025 compared to the three months ended June 30, 2024. This was primarily driven by the remeasurement of the Qualitas earnout, related to the Qualitas acquisition in April 2025.</w:t>
      </w:r>
    </w:p>
    <w:p>
      <w:pPr>
        <w:spacing w:after="0" w:line="162"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$1.8 million, or 26%, to $8.8 million, due primarily to increases in ongoing enhancements to infrastructure, technology, and security, expanding operations with the Qualitas acquisition, and additional rent expense as well as associated office maintenance.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intangibles decreased by $0.3 million, or 4%, to $6.2 million, for the three months ended June 30, 2025 as compared to the three months ended June 30, 2024. This was due to decreases at ECG, Five Points, RCP, TrueBridge, and WTI. The decrease at ECG is driven by unique syndication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 These decreases were offset by the additional intangible asset amortization associated with the Qualitas acquisition in April 2025.</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decreased by $0.9 million, or 100%, to $0 for the three months ended June 30, 2025 as compared to the three months ended June 30, 2024. This decrease was due to the conversion of the SAA to an equity interest in Bonaccord, which was effective on April 1,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2025 and June 30, 2024</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$3.2 million, or 3%, to $111.4 million for the six months ended June 30, 2025 compared to the six months ended June 30, 2024. This increase was due to increases in professional fees, general, administrative and other expense, as well as contingent consideration offset by the decrease in compensation and benefits, amortization of intangibles and strategic alliance expense.</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decreased by $4.1 million, or 6%, to $69.2 million, for the six months ended June 30, 2025 compared to the six months ended June 30, 2024. This was driven by a $9.6 million decrease in compensation expense due to the second tranche of the WTI earn-out no longer being probable of achievement in the six months ended June 30, 2025. This decrease was offset by a $4.4 million increase in stock compensation, which consists of a $3.5 million increase related to the second grant of Bonaccord Units and an increase of $0.9 million for management stock awards. This decrease was offset slightly by a $0.6 million increase in general compensation expense in the six months ended June 30, 2025 compared to the six months ended June 30, 2024.</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Professional fees increased by $6.0 million, or 82%, to $13.3 million. The primary driver for the increase in professional fees for the six months ended June 30, 2025 compared to the six months ended June 30, 2024 was an increase of $5.1 million in professional and legal expenses associated with acquisition activity and other strategic transactions during the six months ended June 30, 2025 as well as normal course of business such as filings and due diligence for acquisitions. Additionally fees related to audit, SEC Rule 404(b) implementation, tax, and compliance services provided to the Company increased by $0.9 million.</w:t>
      </w:r>
    </w:p>
    <w:p>
      <w:pPr>
        <w:spacing w:after="0" w:line="183"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Contingent consideration expense increased by $1.0 million to $1.1 million for the six months ended June 30, 2025 compared to the six months ended June 30, 2024. This was primarily driven by the remeasurement of the Qualitas earnout, related to the Qualitas Acquisition in April 2025.</w:t>
      </w:r>
    </w:p>
    <w:p>
      <w:pPr>
        <w:spacing w:after="0" w:line="14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$2.6 million, or 20%, to $15.6 million, for the six months ended June 30, 2025 compared to the six months ended June 30, 2024. This was primarily driven by ongoing enhancements to infrastructure, technology, and security, expanding operations with the acquisition of Qualitas, and additional rent expense as well as associated office maintenance.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intangibles decreased by $1.4 million, or 11%, to $11.5 million, for the six months ended June 30, 2025 as compared to the six months ended June 30, 2024. This was due to decreases at ECG, RCP, and TrueBridge. The decrease at ECG was driven by unique syndication contracts and advisory contracts' amortization schedule, which is based on projected revenues at the time of acquisition. The decreases at RCP and TrueBridge were driven by asset management fee contracts' amortization schedules, which are based on projected revenues at the time of acquisition. These decreases were offset by the additional intangible asset amortization associated with the Qualitas acquisition in April 2025.</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8" w:name="page49"/>
    <w:bookmarkEnd w:id="48"/>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decreased by $0.8 million, or 54%, to $0.7 million for the three months ended June 30, 2025 as compared to the three months ended June 30, 2024. This decrease was due to the conversion of the SAA to an equity interest in Bonaccord, which was effective on April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2025 and June 30, 2024</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Other expense increased by $6.4 million, or 112%, to $12.2 million for the three months ended June 30, 2025 compared to the three months ended June 30, 2024. This increase was driven by an increase in interest expense of $0.7 million on the debt facility due to a larger outstanding debt balance for the three months ended June 30, 2025. Additionally, other (loss)/income increased expense by $5.7 million primarily due to a $6.5 million loss recognized for the conversion of the right to receive 15% of net management fee earnings to a 15% equity interest in Bonaccord offset slightly by a $0.7 million increase in income from unconsolidated subsidiaries.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2025 and June 30, 2024</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expense increased by $7.6 million, or 70%, to $18.4 million for the six months ended June 30, 2025 compared to the six months ended June 30, 2024. This increase was driven by $6.3 million increase in expenses included other income/(losses) related to a loss recognized for the conversion of the right to receive 15% of net management fee earnings to a 15% equity interest in Bonaccord as well as a $0.2 million loss related to the guarantee for the Clifford incremental fee offset slightly by a $0.4 million increase in income from unconsolidated subsidiaries. Additionally interest expense increased by $1.3 million due to a larger average outstanding debt balance for the six months ended June 30, 2025 compared to the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2025 and June 30, 2024</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was $1.4 million for the three months ended June 30, 2025, a decrease of $2.3 million from $3.7 million for the three months ended June 30, 2024. This reduction was mainly due to lower pre-tax income and an increase in the stock-based compensation-related tax benefit in the three months ended June 30, 2025 compared to the three months ended June 30,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2025 and June 30, 2024</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by $3.8 million to $1.6 million for the six months ended June 30, 2025 compared to an expense of $5.5 million for the six months ended June 30, 2024. The decrease was primarily due to a decrease in income and an increase in stock-based compensation-related tax benefit in the six months ended June 30, 2025 compared to the six months ended June 30, 2024.</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0" w:type="dxa"/>
            <w:vAlign w:val="bottom"/>
          </w:tcPr>
          <w:p>
            <w:pPr>
              <w:spacing w:after="0"/>
              <w:rPr>
                <w:sz w:val="13"/>
                <w:szCs w:val="13"/>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48"/>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5"/>
          </w:tcPr>
          <w:p>
            <w:pPr>
              <w:jc w:val="right"/>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60" w:type="dxa"/>
            <w:vAlign w:val="bottom"/>
          </w:tcPr>
          <w:p>
            <w:pPr>
              <w:spacing w:after="0"/>
              <w:rPr>
                <w:sz w:val="12"/>
                <w:szCs w:val="12"/>
                <w:color w:val="auto"/>
              </w:rPr>
            </w:pPr>
          </w:p>
        </w:tc>
        <w:tc>
          <w:tcPr>
            <w:tcW w:w="2580" w:type="dxa"/>
            <w:vAlign w:val="bottom"/>
            <w:gridSpan w:val="5"/>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18"/>
                <w:szCs w:val="18"/>
                <w:color w:val="auto"/>
              </w:rPr>
            </w:pPr>
          </w:p>
        </w:tc>
      </w:tr>
      <w:tr>
        <w:trPr>
          <w:trHeight w:val="216"/>
        </w:trPr>
        <w:tc>
          <w:tcPr>
            <w:tcW w:w="31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Expiration of fee period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r>
        <w:trPr>
          <w:trHeight w:val="20"/>
        </w:trPr>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80" w:type="dxa"/>
            <w:vAlign w:val="bottom"/>
            <w:shd w:val="clear" w:color="auto" w:fill="CFF0FC"/>
          </w:tcPr>
          <w:p>
            <w:pPr>
              <w:spacing w:after="0"/>
              <w:rPr>
                <w:sz w:val="19"/>
                <w:szCs w:val="19"/>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51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June 30, 2025</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FPAUM increased by $2.6 million to $28.9 million for the three months ended June 30, 2025, due primarily to an increase in capital raised and capital deployed from our private equity and private credit as well as the FPAUM acquired in the Qualitas acquisition, which was offset by a decline of fees related to scheduled fee stepdowns and expirations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strategic alliance noncontrolling interests expense, less actual cash paid for interest and federal and state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FRE, we adjust our GAAP net income for certain items, including the following:</w:t>
      </w:r>
    </w:p>
    <w:p>
      <w:pPr>
        <w:spacing w:after="0" w:line="117" w:lineRule="exact"/>
        <w:rPr>
          <w:sz w:val="20"/>
          <w:szCs w:val="20"/>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out related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one-time technical accounting matters;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Non-fee related income.</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during the three months ended June 30, 2025 and June 30, 2024 as well as during the six months ended June 30, 2025 and June 30, 2024 differ significantly from the net income tax expense, which is primarily comprised of deferred tax expense as described in the results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Non-recurring expenses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Non-fee related income</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(1,934)</w:t>
            </w:r>
          </w:p>
        </w:tc>
      </w:tr>
      <w:tr>
        <w:trPr>
          <w:trHeight w:val="20"/>
        </w:trPr>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3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35,378</w:t>
            </w: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33,565</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shd w:val="clear" w:color="auto" w:fill="CFF0FC"/>
          </w:tcPr>
          <w:p>
            <w:pPr>
              <w:spacing w:after="0"/>
              <w:rPr>
                <w:sz w:val="21"/>
                <w:szCs w:val="21"/>
                <w:color w:val="auto"/>
              </w:rPr>
            </w:pPr>
          </w:p>
        </w:tc>
      </w:tr>
      <w:tr>
        <w:trPr>
          <w:trHeight w:val="197"/>
        </w:trPr>
        <w:tc>
          <w:tcPr>
            <w:tcW w:w="4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Plus:</w:t>
            </w:r>
          </w:p>
        </w:tc>
        <w:tc>
          <w:tcPr>
            <w:tcW w:w="5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Non-fee related income</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Strategic alliance noncontrolling interests expense</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interest expense</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r>
      <w:tr>
        <w:trPr>
          <w:trHeight w:val="20"/>
        </w:trPr>
        <w:tc>
          <w:tcPr>
            <w:tcW w:w="45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3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1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3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140,371</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Non-Fee Related Revenue</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(3,875)</w:t>
            </w:r>
          </w:p>
        </w:tc>
      </w:tr>
      <w:tr>
        <w:trPr>
          <w:trHeight w:val="20"/>
        </w:trPr>
        <w:tc>
          <w:tcPr>
            <w:tcW w:w="45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13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72,704</w:t>
            </w:r>
          </w:p>
        </w:tc>
        <w:tc>
          <w:tcPr>
            <w:tcW w:w="1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140,332</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133,316</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4540" w:type="dxa"/>
            <w:vAlign w:val="bottom"/>
          </w:tcPr>
          <w:p>
            <w:pPr>
              <w:spacing w:after="0"/>
              <w:rPr>
                <w:sz w:val="24"/>
                <w:szCs w:val="24"/>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-2716530</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-2699385</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-2716530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-2699385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-2716530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-2699385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-1868170</wp:posOffset>
            </wp:positionV>
            <wp:extent cx="768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-1868170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-1868170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-1148080</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-1148080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-1148080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2"/>
                <w:szCs w:val="1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4"/>
          </w:tcPr>
          <w:p>
            <w:pPr>
              <w:jc w:val="center"/>
              <w:ind w:right="9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34,214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68,115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(33,901)</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6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677,649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603,627</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74,022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932,165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869,275</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62,890</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53,289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69,544</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(16,255)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373,021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319,783</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53,238</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388,941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386,890</w:t>
            </w:r>
          </w:p>
        </w:tc>
        <w:tc>
          <w:tcPr>
            <w:tcW w:w="2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There was a decrease in cash and cash equivalents of $33.9 million from December 31, 2024 to $34.3 million as of June 30, 2025 primarily due to the share repurchases in the open market and the Qualitas acquisition. There was an increase in goodwill and intangible assets of $74.1 million due to the Qualitas acquisition. Remaining total assets increased in the same period by $15.2 million. The increase is driven by an increase in accounts receivable from related parties which is primarily due to ECG's Advisory Agreement with Enhanced PC. Additionally, there was an increase in right of use assets related to new office leases as well as an increase in prepaid expenses and other assets associated with the purchase of allocable state tax credits. Debt obligations increased by $53.2 million which is driven by revolver activity due to the Qualitas acquisition that closed in April 2025 and open market Class A share repurchases.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$125.0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New Credit Facilities are to be used to refinance and replace the credit facilities under the Credit Agreement and for general corporate purposes, including acquisitions.</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Term Loan with a balance of $325.0 million is incurring interest at a weighted average SOFR rate of 6.85%. As of June 30, 2025, the New Revolving Facility is split into four tranches. The total principal outstanding is $52.5 million and the weighted-average SOFR rate amongst the tranches is 6.92%. The tranches are all incurring interest at a set rate for one or three month periods and are subsequently reset at the current SOFR rate. Refer to Note 12 of our consolidated financial statements for further details provided on the debt and associated interest periods.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FPAUM of the sum of $16.7 million plus 70% of the aggregate amount of FPAUM acquired or not constituted as organic growth as well as a minimum leverage ratio of less than or equal to 3.50. As of June 30, 2025, P10 was in compliance with its financial and other covenants required under the facility. The Company has incurred $12.5 million in interest expense for the six months ended June 30, 2025.</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to the Six Months Ended June 30,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six months ended June 30,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(37,129)</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(44,506)</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44,812</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in cash, cash equivalents and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6"/>
                <w:szCs w:val="16"/>
                <w:color w:val="auto"/>
              </w:rPr>
            </w:pP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(34,117)</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-282575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-282575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-282575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June 30, 2024</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decreased by $37.1 million, or 81%, to $8.7 million for the six months ended June 30, 2025 compared to the six months ended June 30, 2024. For the six months ended June 30, 2025 and 2024, our net cash provided by operating activities was driven primarily by receipts of management fees and advisory fees, offset by a purchase of allocable state tax credits and payment of operating expenses, which includes professional fees, compensation and benefits, as well as general, administrative and other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June 30, 2024</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$41.8 million to $42.9 million, for the six months ended June 30, 2025 as compared to the six months ended June 30, 2024. This increase in cash used in investing activities was due to Qualitas acquisition and the purchases of additional property and equipment during the six months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June 30, 2024</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from financing activities for the six months ended June 30, 2025 was $0.4 million, as compared to cash used in financing activities of $44.5 million for the six months ended June 30, 2024. The change is driven by net borrowing activity on the Company's credit facilities and the proceeds from the SAA 5% purchase option exercise of equity interests in Bonaccord during the six months ended June 30, 2025 compared to the six months ended June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As of June 30, 2025, the Board has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$132.0 million since inception of the program, of which $40 million was approved for the six months ended June 30, 2025, for repurchase under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These shares may be repurchased from time to time in the open market at prevailing market prices, in privately negotiated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block trades, in accordance with Rule 10b5-1 trading plans and/or through other legally permissible means. The timing and amount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pursuant to the program will depend on various factors including, the market price of our Class A common stock, trading volume, ongoing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our working capital needs, general market conditions, and other factors. As of June 30,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$129.7 million has been spent to buy back shares since the inception of the program and there was $2.3 million remaining for authorized repurchases under this program. On August 5, 2025, the Board of Directors authorized an additional $25.0 million for repurchases under the Share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for Due from Related Parties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Advisory Fees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4" w:name="page55"/>
    <w:bookmarkEnd w:id="54"/>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0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performance condition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Benefits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estimate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8"/>
          <w:szCs w:val="18"/>
          <w:color w:val="auto"/>
        </w:rPr>
        <w:t>$20.0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had determined that only the first two of three EBITDA hurdles are probable of being achieved. As of June 30, 2025, the first EBITDA hurdle was achieved and the Company does not expect that the second and third EBITDA hurdle will be achieved. No payments have been made on the earnout but payment for the achievement of the first hurdle is expected to be made in September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Share and Repurchase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became exercisable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14 to the Consolidated Financial Statements for further discussion.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spacing w:after="0" w:line="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These non-recurring fair value measurement are based on unobservable (Level 3) inputs.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we had $325.0 million in outstanding principal in Term Loans under our Term Loan and $52.5 million under our Revolving Credit Facility. The annual interest rate on the Term Loan is based on SOFR plus 2.6%. The Company remains exposed to interest rate risk if there is a shift in the environment. We estimate that a 100-basis point increase in the interest rate would result in an approximately $3.3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are denominated in foreign currencies that may be affected by movements in the rate of exchange between currencies. We estimate that a hypothetical 10% decline in the rate of exchange of the Euro against the U.S. dollar as of June 30, 2025 would not result in a material change to management fees or investments, and would be largely offset by the currency conversions of the expenses denominated in foreign currencies.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April 4, 2025, we completed our acquisition of Qualitas (See Note 3 for more information). We are currently integrating Qualitas into our internal control framework and processes and, pursuant to the SEC's guidance that an assessment of a recently acquired business may be omitted from the scope of an assessment in the year of acquisition, the scope of our assessment of the effectiveness of our internal control over financial reporting as of December 31, 2025 will not include the operating results of Qualitas.</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Except for the preceding changes, there have been no changes in our internal control over financial reporting (as such term is defined in Rules 13a-15(f) and 15d-15(f) under the Exchange Act) during our most recent quarter ended June 30, 2025 that have materially affected, or are reasonably likely to materially affect, our internal control over financial reporting.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"Risk Factors" included in our annual report on Form 10-K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 Number of Shares Purchased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Maximum Approximate Dollar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Number of Shares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Value of 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9"/>
              </w:rPr>
              <w:t>Price Paid per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as Part of Publicly Announced Plan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or Program (1)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April 1 - 30, 2025</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28,524,163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May 1 - 31, 2025</w:t>
            </w: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1,194,000</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11.50</w:t>
            </w:r>
          </w:p>
        </w:tc>
        <w:tc>
          <w:tcPr>
            <w:tcW w:w="2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1,194,000</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tcPr>
          <w:p>
            <w:pPr>
              <w:jc w:val="right"/>
              <w:spacing w:after="0" w:line="135" w:lineRule="exact"/>
              <w:rPr>
                <w:sz w:val="20"/>
                <w:szCs w:val="20"/>
                <w:color w:val="auto"/>
              </w:rPr>
            </w:pPr>
            <w:r>
              <w:rPr>
                <w:rFonts w:ascii="Arial" w:cs="Arial" w:eastAsia="Arial" w:hAnsi="Arial"/>
                <w:sz w:val="13"/>
                <w:szCs w:val="13"/>
                <w:color w:val="auto"/>
              </w:rPr>
              <w:t>14,792,833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June 1 - 30, 2025</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1,307,083</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9.57</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1,307,083</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2,278,317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60" w:type="dxa"/>
            <w:vAlign w:val="bottom"/>
            <w:tcBorders>
              <w:top w:val="single" w:sz="8" w:color="CFF0FC"/>
              <w:bottom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2,501,083</w:t>
            </w:r>
          </w:p>
        </w:tc>
        <w:tc>
          <w:tcPr>
            <w:tcW w:w="220" w:type="dxa"/>
            <w:vAlign w:val="bottom"/>
            <w:tcBorders>
              <w:top w:val="single" w:sz="8" w:color="CFF0FC"/>
              <w:bottom w:val="single" w:sz="8" w:color="CFF0FC"/>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FF0FC"/>
              <w:bottom w:val="single" w:sz="8" w:color="CFF0FC"/>
            </w:tcBorders>
          </w:tcPr>
          <w:p>
            <w:pPr>
              <w:jc w:val="right"/>
              <w:spacing w:after="0" w:line="129" w:lineRule="exact"/>
              <w:rPr>
                <w:sz w:val="20"/>
                <w:szCs w:val="20"/>
                <w:color w:val="auto"/>
              </w:rPr>
            </w:pPr>
            <w:r>
              <w:rPr>
                <w:rFonts w:ascii="Arial" w:cs="Arial" w:eastAsia="Arial" w:hAnsi="Arial"/>
                <w:sz w:val="13"/>
                <w:szCs w:val="13"/>
                <w:b w:val="1"/>
                <w:bCs w:val="1"/>
                <w:color w:val="auto"/>
              </w:rPr>
              <w:t>10.49</w:t>
            </w:r>
          </w:p>
        </w:tc>
        <w:tc>
          <w:tcPr>
            <w:tcW w:w="100" w:type="dxa"/>
            <w:vAlign w:val="bottom"/>
            <w:tcBorders>
              <w:top w:val="single" w:sz="8" w:color="CFF0FC"/>
              <w:bottom w:val="single" w:sz="8" w:color="CFF0FC"/>
            </w:tcBorders>
          </w:tcPr>
          <w:p>
            <w:pPr>
              <w:spacing w:after="0"/>
              <w:rPr>
                <w:sz w:val="11"/>
                <w:szCs w:val="11"/>
                <w:color w:val="auto"/>
              </w:rPr>
            </w:pPr>
          </w:p>
        </w:tc>
        <w:tc>
          <w:tcPr>
            <w:tcW w:w="2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2,501,083</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9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-119380</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-119380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20" w:hanging="512"/>
        <w:spacing w:after="0" w:line="254"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Board approved a program to repurchase shares of our Class A and Class B common stock. As of June 30, 2025, the Board has approved $132.0 million since inception of the program, of which $40.0 million was approved during the six months ended June 30, 2025,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2025, $129.7 million has been spent to buy back shares since the inception of the program and there was $2.3 million remaining for authorized repurchases under this program. On August 5, 2025, the Board of Directors authorized an additional $25.0 million for repurchases under the Share Repurchase Program.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880" w:type="dxa"/>
            <w:vAlign w:val="bottom"/>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00" w:type="dxa"/>
            <w:vAlign w:val="bottom"/>
            <w:gridSpan w:val="9"/>
          </w:tcPr>
          <w:p>
            <w:pPr>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Employment Agreement , made and entered into effective aas of April 3, 2025, by and between P10 Intermediate Holdings, LLC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Amanda Coussens (incorporated by reference to Exhibit 10.1 to the Company's Current Report on form 8-K filed on April 7,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200" w:type="dxa"/>
            <w:vAlign w:val="bottom"/>
            <w:gridSpan w:val="9"/>
          </w:tcPr>
          <w:p>
            <w:pPr>
              <w:spacing w:after="0"/>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Employment Agreement, made and entered into effective as of April 3, 2025, by and betwen P10 Intermediate Holdings, LLC and Mark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Hood (incorporated by reference to Exhibit 10.2 to the Company's Current Report on form 8-K filed on April 7,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8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4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40" w:right="3820" w:hanging="5532"/>
        <w:spacing w:after="0" w:line="572" w:lineRule="auto"/>
        <w:tabs>
          <w:tab w:leader="none" w:pos="516"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exhibit should not be deemed to be "filed" for purposes of Section 18 of the Exchange Act.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Chief Executive Officer and Director (Principal Executive</w:t>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7"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9" w:right="6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2025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486" Type="http://schemas.openxmlformats.org/officeDocument/2006/relationships/hyperlink" Target="https://www.sec.gov/Archives/edgar/data/1841968/000119312525073584/d894210dex101.htm" TargetMode="External"/><Relationship Id="rId487" Type="http://schemas.openxmlformats.org/officeDocument/2006/relationships/hyperlink" Target="https://www.sec.gov/Archives/edgar/data/1841968/000119312525073584/d8942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2025-08-08T11:50:29Z</dcterms:created>
  <dcterms:modified xsi:type="dcterms:W3CDTF">2025-08-08T11:50:29Z</dcterms:modified>
</cp:coreProperties>
</file>