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OMB APPROVAL</w:t>
      </w:r>
    </w:p>
    <w:p>
      <w:pPr>
        <w:jc w:val="right"/>
        <w:spacing w:after="0" w:line="238" w:lineRule="auto"/>
        <w:rPr>
          <w:sz w:val="20"/>
          <w:szCs w:val="20"/>
          <w:color w:val="auto"/>
        </w:rPr>
      </w:pPr>
      <w:r>
        <w:rPr>
          <w:rFonts w:ascii="Arial" w:cs="Arial" w:eastAsia="Arial" w:hAnsi="Arial"/>
          <w:sz w:val="22"/>
          <w:szCs w:val="22"/>
          <w:color w:val="auto"/>
        </w:rPr>
        <w:t>OMB Number: 3235-0145</w:t>
      </w:r>
    </w:p>
    <w:p>
      <w:pPr>
        <w:ind w:left="6800"/>
        <w:spacing w:after="0"/>
        <w:rPr>
          <w:sz w:val="20"/>
          <w:szCs w:val="20"/>
          <w:color w:val="auto"/>
        </w:rPr>
      </w:pPr>
      <w:r>
        <w:rPr>
          <w:rFonts w:ascii="Arial" w:cs="Arial" w:eastAsia="Arial" w:hAnsi="Arial"/>
          <w:sz w:val="19"/>
          <w:szCs w:val="19"/>
          <w:color w:val="auto"/>
        </w:rPr>
        <w:t>Estimated average burden hours per response ….11</w:t>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(Amendment No. 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P10, Inc.</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69376K106</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October 31, 2021</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2020" w:right="8020" w:hanging="927"/>
        <w:spacing w:after="0" w:line="431" w:lineRule="auto"/>
        <w:tabs>
          <w:tab w:leader="none" w:pos="202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-47625</wp:posOffset>
            </wp:positionV>
            <wp:extent cx="58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-278765</wp:posOffset>
            </wp:positionV>
            <wp:extent cx="58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-510540</wp:posOffset>
            </wp:positionV>
            <wp:extent cx="582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4" w:lineRule="exact"/>
        <w:rPr>
          <w:sz w:val="24"/>
          <w:szCs w:val="24"/>
          <w:color w:val="auto"/>
        </w:rPr>
      </w:pPr>
    </w:p>
    <w:p>
      <w:pPr>
        <w:ind w:right="12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4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2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69376K106</w:t>
      </w:r>
    </w:p>
    <w:p>
      <w:pPr>
        <w:spacing w:after="0" w:line="220" w:lineRule="exact"/>
        <w:rPr>
          <w:sz w:val="20"/>
          <w:szCs w:val="20"/>
          <w:color w:val="auto"/>
        </w:rPr>
      </w:pP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640" w:right="361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Federated Hermes, Inc.</w:t>
      </w: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-2255520</wp:posOffset>
            </wp:positionV>
            <wp:extent cx="538353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 2,776,503</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 2,776,503</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1640" w:hanging="93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2,776,503</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640" w:hanging="93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Percent of Class Represented by Amount in Row (9): 13.88%</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of Reporting Person (See Instructions):HC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-1055370</wp:posOffset>
            </wp:positionV>
            <wp:extent cx="5511800" cy="1208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640" w:right="34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Voting Shares Irrevocable Trust</w:t>
      </w: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-2255520</wp:posOffset>
            </wp:positionV>
            <wp:extent cx="5383530" cy="240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 2,776,503</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 2,776,503</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0139"/>
          </w:cols>
          <w:pgMar w:left="320" w:top="712" w:right="1440" w:bottom="0" w:gutter="0" w:footer="0" w:header="0"/>
        </w:sectPr>
      </w:pPr>
    </w:p>
    <w:bookmarkStart w:id="2" w:name="page3"/>
    <w:bookmarkEnd w:id="2"/>
    <w:p>
      <w:pPr>
        <w:spacing w:after="0" w:line="62" w:lineRule="exact"/>
        <w:rPr>
          <w:sz w:val="20"/>
          <w:szCs w:val="20"/>
          <w:color w:val="auto"/>
        </w:rPr>
      </w:pPr>
    </w:p>
    <w:p>
      <w:pPr>
        <w:ind w:left="1540" w:hanging="938"/>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2,776,503</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5"/>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540" w:hanging="938"/>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13.88%</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-1055370</wp:posOffset>
            </wp:positionV>
            <wp:extent cx="5511800" cy="1208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540" w:right="34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Thomas R. Donahue</w:t>
      </w: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-2255520</wp:posOffset>
            </wp:positionV>
            <wp:extent cx="5383530" cy="2408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 2,776,503</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 2,776,503</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1540" w:hanging="938"/>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2,776,503</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540" w:hanging="938"/>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13.88%</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-1055370</wp:posOffset>
            </wp:positionV>
            <wp:extent cx="5511800" cy="1208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540" w:right="349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Rhodora J. Donahue</w:t>
      </w: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540" w:hanging="938"/>
        <w:spacing w:after="0"/>
        <w:tabs>
          <w:tab w:leader="none" w:pos="1540" w:val="left"/>
        </w:tabs>
        <w:numPr>
          <w:ilvl w:val="0"/>
          <w:numId w:val="8"/>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-2255520</wp:posOffset>
            </wp:positionV>
            <wp:extent cx="5383530" cy="2408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 2,776,503</w:t>
            </w:r>
          </w:p>
        </w:tc>
      </w:tr>
      <w:tr>
        <w:trPr>
          <w:trHeight w:val="226"/>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5822315</wp:posOffset>
            </wp:positionH>
            <wp:positionV relativeFrom="paragraph">
              <wp:posOffset>-13970</wp:posOffset>
            </wp:positionV>
            <wp:extent cx="825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460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-13970</wp:posOffset>
            </wp:positionV>
            <wp:extent cx="889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460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-13970</wp:posOffset>
            </wp:positionV>
            <wp:extent cx="889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4605"/>
                    </a:xfrm>
                    <a:prstGeom prst="rect">
                      <a:avLst/>
                    </a:prstGeom>
                    <a:noFill/>
                  </pic:spPr>
                </pic:pic>
              </a:graphicData>
            </a:graphic>
          </wp:anchor>
        </w:drawing>
      </w:r>
    </w:p>
    <w:p>
      <w:pPr>
        <w:sectPr>
          <w:pgSz w:w="11900" w:h="16900" w:orient="portrait"/>
          <w:cols w:equalWidth="0" w:num="1">
            <w:col w:w="10039"/>
          </w:cols>
          <w:pgMar w:left="420" w:top="132" w:right="1440" w:bottom="0" w:gutter="0" w:footer="0" w:header="0"/>
        </w:sectPr>
      </w:pPr>
    </w:p>
    <w:bookmarkStart w:id="3" w:name="page4"/>
    <w:bookmarkEnd w:id="3"/>
    <w:p>
      <w:pPr>
        <w:spacing w:after="0" w:line="68" w:lineRule="exact"/>
        <w:rPr>
          <w:sz w:val="20"/>
          <w:szCs w:val="20"/>
          <w:color w:val="auto"/>
        </w:rPr>
      </w:pPr>
    </w:p>
    <w:p>
      <w:pPr>
        <w:ind w:left="3300" w:hanging="938"/>
        <w:spacing w:after="0"/>
        <w:tabs>
          <w:tab w:leader="none" w:pos="3300" w:val="left"/>
        </w:tabs>
        <w:numPr>
          <w:ilvl w:val="1"/>
          <w:numId w:val="9"/>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220" w:lineRule="exact"/>
        <w:rPr>
          <w:rFonts w:ascii="Arial" w:cs="Arial" w:eastAsia="Arial" w:hAnsi="Arial"/>
          <w:sz w:val="22"/>
          <w:szCs w:val="22"/>
          <w:color w:val="auto"/>
        </w:rPr>
      </w:pPr>
    </w:p>
    <w:p>
      <w:pPr>
        <w:ind w:left="3300" w:hanging="938"/>
        <w:spacing w:after="0"/>
        <w:tabs>
          <w:tab w:leader="none" w:pos="3300" w:val="left"/>
        </w:tabs>
        <w:numPr>
          <w:ilvl w:val="1"/>
          <w:numId w:val="9"/>
        </w:numPr>
        <w:rPr>
          <w:rFonts w:ascii="Arial" w:cs="Arial" w:eastAsia="Arial" w:hAnsi="Arial"/>
          <w:sz w:val="22"/>
          <w:szCs w:val="22"/>
          <w:color w:val="auto"/>
        </w:rPr>
      </w:pPr>
      <w:r>
        <w:rPr>
          <w:rFonts w:ascii="Arial" w:cs="Arial" w:eastAsia="Arial" w:hAnsi="Arial"/>
          <w:sz w:val="22"/>
          <w:szCs w:val="22"/>
          <w:color w:val="auto"/>
        </w:rPr>
        <w:t>Shared Dispositive Power: 2,776,503</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640" w:hanging="938"/>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2,776,503</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640" w:hanging="938"/>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Percent of Class Represented by Amount in Row (9): 13.88%</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-1946910</wp:posOffset>
            </wp:positionV>
            <wp:extent cx="582930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0" cy="60007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-1055370</wp:posOffset>
            </wp:positionV>
            <wp:extent cx="5511800" cy="1208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640" w:right="355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J. Christopher Donahue</w:t>
      </w: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19"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-2255520</wp:posOffset>
            </wp:positionV>
            <wp:extent cx="5383530" cy="2408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10" w:type="dxa"/>
        <w:tblCellMar>
          <w:top w:w="0" w:type="dxa"/>
          <w:left w:w="0" w:type="dxa"/>
          <w:bottom w:w="0" w:type="dxa"/>
          <w:right w:w="0" w:type="dxa"/>
        </w:tblCellMar>
      </w:tblPr>
      <w:tr>
        <w:trPr>
          <w:trHeight w:val="235"/>
        </w:trPr>
        <w:tc>
          <w:tcPr>
            <w:tcW w:w="216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34" w:lineRule="exact"/>
              <w:rPr>
                <w:sz w:val="20"/>
                <w:szCs w:val="20"/>
                <w:color w:val="auto"/>
              </w:rPr>
            </w:pPr>
            <w:r>
              <w:rPr>
                <w:rFonts w:ascii="Arial" w:cs="Arial" w:eastAsia="Arial" w:hAnsi="Arial"/>
                <w:sz w:val="22"/>
                <w:szCs w:val="22"/>
                <w:color w:val="auto"/>
              </w:rPr>
              <w:t>5.</w:t>
            </w:r>
          </w:p>
        </w:tc>
        <w:tc>
          <w:tcPr>
            <w:tcW w:w="6080" w:type="dxa"/>
            <w:vAlign w:val="bottom"/>
            <w:tcBorders>
              <w:top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Sole Voting Power:</w:t>
            </w:r>
          </w:p>
        </w:tc>
      </w:tr>
      <w:tr>
        <w:trPr>
          <w:trHeight w:val="237"/>
        </w:trPr>
        <w:tc>
          <w:tcPr>
            <w:tcW w:w="2160" w:type="dxa"/>
            <w:vAlign w:val="bottom"/>
            <w:tcBorders>
              <w:left w:val="single" w:sz="8" w:color="auto"/>
              <w:right w:val="single" w:sz="8" w:color="auto"/>
            </w:tcBorders>
          </w:tcPr>
          <w:p>
            <w:pPr>
              <w:ind w:left="120"/>
              <w:spacing w:after="0" w:line="238" w:lineRule="exact"/>
              <w:rPr>
                <w:sz w:val="20"/>
                <w:szCs w:val="20"/>
                <w:color w:val="auto"/>
              </w:rPr>
            </w:pPr>
            <w:r>
              <w:rPr>
                <w:rFonts w:ascii="Arial" w:cs="Arial" w:eastAsia="Arial" w:hAnsi="Arial"/>
                <w:sz w:val="22"/>
                <w:szCs w:val="22"/>
                <w:color w:val="auto"/>
              </w:rPr>
              <w:t>Beneficially Owned</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r>
        <w:trPr>
          <w:trHeight w:val="229"/>
        </w:trPr>
        <w:tc>
          <w:tcPr>
            <w:tcW w:w="216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by Each Reporting</w:t>
            </w:r>
          </w:p>
        </w:tc>
        <w:tc>
          <w:tcPr>
            <w:tcW w:w="940" w:type="dxa"/>
            <w:vAlign w:val="bottom"/>
            <w:tcBorders>
              <w:right w:val="single" w:sz="8" w:color="auto"/>
            </w:tcBorders>
          </w:tcPr>
          <w:p>
            <w:pPr>
              <w:jc w:val="right"/>
              <w:ind w:right="572"/>
              <w:spacing w:after="0" w:line="228" w:lineRule="exact"/>
              <w:rPr>
                <w:sz w:val="20"/>
                <w:szCs w:val="20"/>
                <w:color w:val="auto"/>
              </w:rPr>
            </w:pPr>
            <w:r>
              <w:rPr>
                <w:rFonts w:ascii="Arial" w:cs="Arial" w:eastAsia="Arial" w:hAnsi="Arial"/>
                <w:sz w:val="22"/>
                <w:szCs w:val="22"/>
                <w:color w:val="auto"/>
              </w:rPr>
              <w:t>6.</w:t>
            </w:r>
          </w:p>
        </w:tc>
        <w:tc>
          <w:tcPr>
            <w:tcW w:w="60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2"/>
                <w:szCs w:val="22"/>
                <w:color w:val="auto"/>
              </w:rPr>
              <w:t>Shared Voting Power: 2,776,503</w:t>
            </w:r>
          </w:p>
        </w:tc>
      </w:tr>
      <w:tr>
        <w:trPr>
          <w:trHeight w:val="224"/>
        </w:trPr>
        <w:tc>
          <w:tcPr>
            <w:tcW w:w="2160" w:type="dxa"/>
            <w:vAlign w:val="bottom"/>
            <w:tcBorders>
              <w:left w:val="single" w:sz="8" w:color="auto"/>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Sole Dispositive Power</w:t>
            </w:r>
          </w:p>
        </w:tc>
      </w:tr>
      <w:tr>
        <w:trPr>
          <w:trHeight w:val="185"/>
        </w:trPr>
        <w:tc>
          <w:tcPr>
            <w:tcW w:w="2160" w:type="dxa"/>
            <w:vAlign w:val="bottom"/>
            <w:tcBorders>
              <w:left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r>
        <w:trPr>
          <w:trHeight w:val="268"/>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Arial" w:cs="Arial" w:eastAsia="Arial" w:hAnsi="Arial"/>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Shared Dispositive Power: 2,776,503</w:t>
            </w:r>
          </w:p>
        </w:tc>
      </w:tr>
      <w:tr>
        <w:trPr>
          <w:trHeight w:val="185"/>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60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1640" w:hanging="938"/>
        <w:spacing w:after="0"/>
        <w:tabs>
          <w:tab w:leader="none" w:pos="1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2,776,503</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640" w:hanging="938"/>
        <w:spacing w:after="0"/>
        <w:tabs>
          <w:tab w:leader="none" w:pos="1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Represented by Amount in Row (9): 13.88%</w:t>
      </w:r>
    </w:p>
    <w:p>
      <w:pPr>
        <w:spacing w:after="0" w:line="219" w:lineRule="exact"/>
        <w:rPr>
          <w:rFonts w:ascii="Arial" w:cs="Arial" w:eastAsia="Arial" w:hAnsi="Arial"/>
          <w:sz w:val="22"/>
          <w:szCs w:val="22"/>
          <w:color w:val="auto"/>
        </w:rPr>
      </w:pPr>
    </w:p>
    <w:p>
      <w:pPr>
        <w:ind w:left="1640" w:hanging="938"/>
        <w:spacing w:after="0"/>
        <w:tabs>
          <w:tab w:leader="none" w:pos="1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-1055370</wp:posOffset>
            </wp:positionV>
            <wp:extent cx="5511800" cy="1209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1800" cy="12090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20" w:lineRule="exact"/>
        <w:rPr>
          <w:sz w:val="20"/>
          <w:szCs w:val="20"/>
          <w:color w:val="auto"/>
        </w:rPr>
      </w:pPr>
    </w:p>
    <w:p>
      <w:pPr>
        <w:ind w:left="1800" w:right="7019" w:hanging="1098"/>
        <w:spacing w:after="0" w:line="519" w:lineRule="auto"/>
        <w:tabs>
          <w:tab w:leader="none" w:pos="18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Name of Issuer P10, INC.</w:t>
      </w:r>
    </w:p>
    <w:p>
      <w:pPr>
        <w:ind w:left="1800" w:right="4179" w:hanging="1098"/>
        <w:spacing w:after="0" w:line="448" w:lineRule="auto"/>
        <w:tabs>
          <w:tab w:leader="none" w:pos="1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Address of Issuer’s Principal Executive Offices. 4514 Cole Avenue, Suite 1600</w:t>
      </w:r>
    </w:p>
    <w:p>
      <w:pPr>
        <w:ind w:left="1800"/>
        <w:spacing w:after="0"/>
        <w:rPr>
          <w:rFonts w:ascii="Arial" w:cs="Arial" w:eastAsia="Arial" w:hAnsi="Arial"/>
          <w:sz w:val="22"/>
          <w:szCs w:val="22"/>
          <w:color w:val="auto"/>
        </w:rPr>
      </w:pPr>
      <w:r>
        <w:rPr>
          <w:rFonts w:ascii="Arial" w:cs="Arial" w:eastAsia="Arial" w:hAnsi="Arial"/>
          <w:sz w:val="22"/>
          <w:szCs w:val="22"/>
          <w:color w:val="auto"/>
        </w:rPr>
        <w:t>Dallas, TX 75205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-1355090</wp:posOffset>
            </wp:positionV>
            <wp:extent cx="5383530" cy="1508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83530" cy="150876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112" w:lineRule="exact"/>
        <w:rPr>
          <w:sz w:val="20"/>
          <w:szCs w:val="20"/>
          <w:color w:val="auto"/>
        </w:rPr>
      </w:pPr>
    </w:p>
    <w:p>
      <w:pPr>
        <w:ind w:left="1800" w:hanging="1098"/>
        <w:spacing w:after="0"/>
        <w:tabs>
          <w:tab w:leader="none" w:pos="1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19" w:lineRule="exact"/>
        <w:rPr>
          <w:rFonts w:ascii="Arial" w:cs="Arial" w:eastAsia="Arial" w:hAnsi="Arial"/>
          <w:sz w:val="22"/>
          <w:szCs w:val="22"/>
          <w:color w:val="auto"/>
        </w:rPr>
      </w:pPr>
    </w:p>
    <w:p>
      <w:pPr>
        <w:ind w:left="1800" w:hanging="1098"/>
        <w:spacing w:after="0"/>
        <w:tabs>
          <w:tab w:leader="none" w:pos="1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-455295</wp:posOffset>
            </wp:positionV>
            <wp:extent cx="5383530" cy="451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83530" cy="451485"/>
                    </a:xfrm>
                    <a:prstGeom prst="rect">
                      <a:avLst/>
                    </a:prstGeom>
                    <a:noFill/>
                  </pic:spPr>
                </pic:pic>
              </a:graphicData>
            </a:graphic>
          </wp:anchor>
        </w:drawing>
      </w:r>
    </w:p>
    <w:p>
      <w:pPr>
        <w:sectPr>
          <w:pgSz w:w="11900" w:h="16907" w:orient="portrait"/>
          <w:cols w:equalWidth="0" w:num="1">
            <w:col w:w="10139"/>
          </w:cols>
          <w:pgMar w:left="320" w:top="118" w:right="1440" w:bottom="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88900</wp:posOffset>
            </wp:positionV>
            <wp:extent cx="5383530" cy="1645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83530" cy="164592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22"/>
          <w:szCs w:val="22"/>
          <w:color w:val="auto"/>
        </w:rPr>
        <w:t>1001 Liberty Avenue, Pittsburgh, PA 15222-3779</w:t>
      </w:r>
    </w:p>
    <w:p>
      <w:pPr>
        <w:spacing w:after="0" w:line="220" w:lineRule="exact"/>
        <w:rPr>
          <w:sz w:val="20"/>
          <w:szCs w:val="20"/>
          <w:color w:val="auto"/>
        </w:rPr>
      </w:pPr>
    </w:p>
    <w:p>
      <w:pPr>
        <w:ind w:left="1800" w:hanging="1098"/>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Citizenship</w:t>
      </w:r>
    </w:p>
    <w:p>
      <w:pPr>
        <w:spacing w:after="0" w:line="219" w:lineRule="exact"/>
        <w:rPr>
          <w:rFonts w:ascii="Arial" w:cs="Arial" w:eastAsia="Arial" w:hAnsi="Arial"/>
          <w:sz w:val="22"/>
          <w:szCs w:val="22"/>
          <w:color w:val="auto"/>
        </w:rPr>
      </w:pPr>
    </w:p>
    <w:p>
      <w:pPr>
        <w:ind w:left="1800" w:hanging="1098"/>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1800" w:hanging="1098"/>
        <w:spacing w:after="0"/>
        <w:tabs>
          <w:tab w:leader="none" w:pos="18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CUSIP Number: 69376K106</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If this statement is filed pursuant to §§240.113d-1(b) or 240.13d-2(b) or (c), check whether the person filing is 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600" w:type="dxa"/>
            <w:vAlign w:val="bottom"/>
            <w:tcBorders>
              <w:right w:val="single" w:sz="8" w:color="auto"/>
            </w:tcBorders>
          </w:tcPr>
          <w:p>
            <w:pPr>
              <w:spacing w:after="0"/>
              <w:rPr>
                <w:sz w:val="24"/>
                <w:szCs w:val="24"/>
                <w:color w:val="auto"/>
              </w:rPr>
            </w:pP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22"/>
                <w:szCs w:val="22"/>
                <w:color w:val="auto"/>
                <w:w w:val="89"/>
              </w:rPr>
              <w:t>(a)</w:t>
            </w:r>
          </w:p>
        </w:tc>
        <w:tc>
          <w:tcPr>
            <w:tcW w:w="74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86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Broker or dealer registered under section 15 of the Act (15 U.S.C. 78o).</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89"/>
              </w:rPr>
              <w:t>(b)</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Bank as defined in section 3(a)(6) of the Act (15 U.S.C. 78c).</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93"/>
              </w:rPr>
              <w:t>(c)</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Insurance company as defined in section 3(a)(19) of the Act (15 U.S.C. 78c).</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w w:val="89"/>
              </w:rPr>
              <w:t>(d)</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5"/>
              </w:rPr>
              <w:t>Investment company registered under section 8 of the Investment Company Act of 1940 (15</w:t>
            </w:r>
          </w:p>
        </w:tc>
      </w:tr>
      <w:tr>
        <w:trPr>
          <w:trHeight w:val="274"/>
        </w:trPr>
        <w:tc>
          <w:tcPr>
            <w:tcW w:w="6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U.S.C. 80a-8).</w:t>
            </w:r>
          </w:p>
        </w:tc>
      </w:tr>
      <w:tr>
        <w:trPr>
          <w:trHeight w:val="206"/>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89"/>
              </w:rPr>
              <w:t>(e)</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An investment adviser in accordance with §204.13d-1(b)(1)(ii)(E);</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rPr>
              <w:t>(f)</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8"/>
              </w:rPr>
              <w:t>An employee benefit plan or endowment fund in accordance with §240.13d-19b)(1)(ii)(F);</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w w:val="89"/>
              </w:rPr>
              <w:t>(g)</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X</w:t>
            </w: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 parent holding company or control person in accordance with §240.13d-1(b)(1)(ii)(G);</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w w:val="89"/>
              </w:rPr>
              <w:t>(h)</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0"/>
              </w:rPr>
              <w:t>A savings associations as defined in Section 3(b) of the Federal Deposit Insurance Act (12 U.S.C.</w:t>
            </w:r>
          </w:p>
        </w:tc>
      </w:tr>
      <w:tr>
        <w:trPr>
          <w:trHeight w:val="274"/>
        </w:trPr>
        <w:tc>
          <w:tcPr>
            <w:tcW w:w="6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1813);</w:t>
            </w:r>
          </w:p>
        </w:tc>
      </w:tr>
      <w:tr>
        <w:trPr>
          <w:trHeight w:val="206"/>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15"/>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rPr>
              <w:t>(i)</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A church plan that is excluded from the definition of an investment company under section 3(c)</w:t>
            </w:r>
          </w:p>
        </w:tc>
      </w:tr>
      <w:tr>
        <w:trPr>
          <w:trHeight w:val="274"/>
        </w:trPr>
        <w:tc>
          <w:tcPr>
            <w:tcW w:w="60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(14) of the Investment Company Act of 1940 (15 U.S.C. 80a-3);</w:t>
            </w:r>
          </w:p>
        </w:tc>
      </w:tr>
      <w:tr>
        <w:trPr>
          <w:trHeight w:val="206"/>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68"/>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Arial" w:cs="Arial" w:eastAsia="Arial" w:hAnsi="Arial"/>
                <w:sz w:val="22"/>
                <w:szCs w:val="22"/>
                <w:color w:val="auto"/>
              </w:rPr>
              <w:t>(j)</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Group, in accordance with §240.13d-1(b)(1)(ii)(J).</w:t>
            </w:r>
          </w:p>
        </w:tc>
      </w:tr>
      <w:tr>
        <w:trPr>
          <w:trHeight w:val="185"/>
        </w:trPr>
        <w:tc>
          <w:tcPr>
            <w:tcW w:w="600" w:type="dxa"/>
            <w:vAlign w:val="bottom"/>
            <w:tcBorders>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680" w:type="dxa"/>
            <w:vAlign w:val="bottom"/>
            <w:tcBorders>
              <w:bottom w:val="single" w:sz="8" w:color="auto"/>
              <w:right w:val="single" w:sz="8" w:color="auto"/>
            </w:tcBorders>
          </w:tcPr>
          <w:p>
            <w:pPr>
              <w:spacing w:after="0"/>
              <w:rPr>
                <w:sz w:val="16"/>
                <w:szCs w:val="16"/>
                <w:color w:val="auto"/>
              </w:rPr>
            </w:pPr>
          </w:p>
        </w:tc>
      </w:tr>
      <w:tr>
        <w:trPr>
          <w:trHeight w:val="355"/>
        </w:trPr>
        <w:tc>
          <w:tcPr>
            <w:tcW w:w="960" w:type="dxa"/>
            <w:vAlign w:val="bottom"/>
            <w:gridSpan w:val="2"/>
          </w:tcPr>
          <w:p>
            <w:pPr>
              <w:spacing w:after="0"/>
              <w:rPr>
                <w:sz w:val="20"/>
                <w:szCs w:val="20"/>
                <w:color w:val="auto"/>
              </w:rPr>
            </w:pPr>
            <w:r>
              <w:rPr>
                <w:rFonts w:ascii="Arial" w:cs="Arial" w:eastAsia="Arial" w:hAnsi="Arial"/>
                <w:sz w:val="22"/>
                <w:szCs w:val="22"/>
                <w:color w:val="auto"/>
              </w:rPr>
              <w:t>Item 4.</w:t>
            </w:r>
          </w:p>
        </w:tc>
        <w:tc>
          <w:tcPr>
            <w:tcW w:w="1600" w:type="dxa"/>
            <w:vAlign w:val="bottom"/>
            <w:gridSpan w:val="2"/>
          </w:tcPr>
          <w:p>
            <w:pPr>
              <w:ind w:left="20"/>
              <w:spacing w:after="0"/>
              <w:rPr>
                <w:sz w:val="20"/>
                <w:szCs w:val="20"/>
                <w:color w:val="auto"/>
              </w:rPr>
            </w:pPr>
            <w:r>
              <w:rPr>
                <w:rFonts w:ascii="Arial" w:cs="Arial" w:eastAsia="Arial" w:hAnsi="Arial"/>
                <w:sz w:val="22"/>
                <w:szCs w:val="22"/>
                <w:color w:val="auto"/>
              </w:rPr>
              <w:t>Ownership</w:t>
            </w:r>
          </w:p>
        </w:tc>
        <w:tc>
          <w:tcPr>
            <w:tcW w:w="8680" w:type="dxa"/>
            <w:vAlign w:val="bottom"/>
          </w:tcPr>
          <w:p>
            <w:pPr>
              <w:spacing w:after="0"/>
              <w:rPr>
                <w:sz w:val="24"/>
                <w:szCs w:val="24"/>
                <w:color w:val="auto"/>
              </w:rPr>
            </w:pPr>
          </w:p>
        </w:tc>
      </w:tr>
    </w:tbl>
    <w:p>
      <w:pPr>
        <w:spacing w:after="0" w:line="77"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8" w:lineRule="exact"/>
        <w:rPr>
          <w:sz w:val="20"/>
          <w:szCs w:val="20"/>
          <w:color w:val="auto"/>
        </w:rPr>
      </w:pPr>
    </w:p>
    <w:tbl>
      <w:tblPr>
        <w:tblLayout w:type="fixed"/>
        <w:tblInd w:w="590" w:type="dxa"/>
        <w:tblCellMar>
          <w:top w:w="0" w:type="dxa"/>
          <w:left w:w="0" w:type="dxa"/>
          <w:bottom w:w="0" w:type="dxa"/>
          <w:right w:w="0" w:type="dxa"/>
        </w:tblCellMar>
      </w:tblPr>
      <w:tr>
        <w:trPr>
          <w:trHeight w:val="288"/>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Federated Hermes, Inc.</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2,776,503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13.88%</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 2,776,503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 2,776,503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Voting Shares Irrevocable Trust</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2,776,503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13.88%</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 2,776,503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vote-0-</w:t>
            </w:r>
          </w:p>
        </w:tc>
      </w:tr>
      <w:tr>
        <w:trPr>
          <w:trHeight w:val="86"/>
        </w:trPr>
        <w:tc>
          <w:tcPr>
            <w:tcW w:w="1120" w:type="dxa"/>
            <w:vAlign w:val="bottom"/>
            <w:tcBorders>
              <w:left w:val="single" w:sz="8" w:color="auto"/>
              <w:right w:val="single" w:sz="8" w:color="auto"/>
            </w:tcBorders>
          </w:tcPr>
          <w:p>
            <w:pPr>
              <w:spacing w:after="0"/>
              <w:rPr>
                <w:sz w:val="7"/>
                <w:szCs w:val="7"/>
                <w:color w:val="auto"/>
              </w:rPr>
            </w:pPr>
          </w:p>
        </w:tc>
        <w:tc>
          <w:tcPr>
            <w:tcW w:w="7380" w:type="dxa"/>
            <w:vAlign w:val="bottom"/>
            <w:tcBorders>
              <w:right w:val="single" w:sz="8" w:color="auto"/>
            </w:tcBorders>
          </w:tcPr>
          <w:p>
            <w:pPr>
              <w:spacing w:after="0"/>
              <w:rPr>
                <w:sz w:val="7"/>
                <w:szCs w:val="7"/>
                <w:color w:val="auto"/>
              </w:rPr>
            </w:pPr>
          </w:p>
        </w:tc>
      </w:tr>
    </w:tbl>
    <w:p>
      <w:pPr>
        <w:sectPr>
          <w:pgSz w:w="11900" w:h="16900" w:orient="portrait"/>
          <w:cols w:equalWidth="0" w:num="1">
            <w:col w:w="11220"/>
          </w:cols>
          <w:pgMar w:left="320" w:top="348" w:right="359" w:bottom="0" w:gutter="0" w:footer="0" w:header="0"/>
        </w:sectPr>
      </w:pPr>
    </w:p>
    <w:bookmarkStart w:id="5" w:name="page6"/>
    <w:bookmarkEnd w:id="5"/>
    <w:p>
      <w:pPr>
        <w:spacing w:after="0" w:line="1" w:lineRule="exact"/>
        <w:rPr>
          <w:sz w:val="20"/>
          <w:szCs w:val="20"/>
          <w:color w:val="auto"/>
        </w:rPr>
      </w:pPr>
    </w:p>
    <w:tbl>
      <w:tblPr>
        <w:tblLayout w:type="fixed"/>
        <w:tblInd w:w="590" w:type="dxa"/>
        <w:tblCellMar>
          <w:top w:w="0" w:type="dxa"/>
          <w:left w:w="0" w:type="dxa"/>
          <w:bottom w:w="0" w:type="dxa"/>
          <w:right w:w="0" w:type="dxa"/>
        </w:tblCellMar>
      </w:tblPr>
      <w:tr>
        <w:trPr>
          <w:trHeight w:val="81"/>
        </w:trPr>
        <w:tc>
          <w:tcPr>
            <w:tcW w:w="1120" w:type="dxa"/>
            <w:vAlign w:val="bottom"/>
            <w:tcBorders>
              <w:left w:val="single" w:sz="8" w:color="auto"/>
              <w:bottom w:val="single" w:sz="8" w:color="auto"/>
              <w:right w:val="single" w:sz="8" w:color="auto"/>
            </w:tcBorders>
          </w:tcPr>
          <w:p>
            <w:pPr>
              <w:spacing w:after="0"/>
              <w:rPr>
                <w:sz w:val="7"/>
                <w:szCs w:val="7"/>
                <w:color w:val="auto"/>
              </w:rPr>
            </w:pPr>
          </w:p>
        </w:tc>
        <w:tc>
          <w:tcPr>
            <w:tcW w:w="7380" w:type="dxa"/>
            <w:vAlign w:val="bottom"/>
            <w:tcBorders>
              <w:bottom w:val="single" w:sz="8" w:color="auto"/>
              <w:right w:val="single" w:sz="8" w:color="auto"/>
            </w:tcBorders>
          </w:tcPr>
          <w:p>
            <w:pPr>
              <w:spacing w:after="0"/>
              <w:rPr>
                <w:sz w:val="7"/>
                <w:szCs w:val="7"/>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 2,776,503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80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2,776,503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13.88%</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2,776,503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2,776,503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Rhodora J. Donahue</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2,776,503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13.88%</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2,776,503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2,776,503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Amount beneficially owned: 2,776,503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Percent of class: 13.88%</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 Shared power to vote or to direct the vote: 2,776,503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r>
        <w:trPr>
          <w:trHeight w:val="268"/>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(iv) Shared power to dispose or to direct the disposition of: 2,776,503</w:t>
            </w:r>
          </w:p>
        </w:tc>
      </w:tr>
      <w:tr>
        <w:trPr>
          <w:trHeight w:val="18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738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Instruction</w:t>
      </w:r>
      <w:r>
        <w:rPr>
          <w:rFonts w:ascii="Arial" w:cs="Arial" w:eastAsia="Arial" w:hAnsi="Arial"/>
          <w:sz w:val="22"/>
          <w:szCs w:val="22"/>
          <w:color w:val="auto"/>
        </w:rPr>
        <w:t>: Dissolution of a group requires a response to this item.</w:t>
      </w:r>
    </w:p>
    <w:p>
      <w:pPr>
        <w:spacing w:after="0" w:line="9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9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Instruction: Dissolution of a group requires a response to this item.</w:t>
      </w:r>
    </w:p>
    <w:p>
      <w:pPr>
        <w:sectPr>
          <w:pgSz w:w="11900" w:h="16838" w:orient="portrait"/>
          <w:cols w:equalWidth="0" w:num="1">
            <w:col w:w="10460"/>
          </w:cols>
          <w:pgMar w:left="320" w:top="140" w:right="1119" w:bottom="0" w:gutter="0" w:footer="0" w:header="0"/>
        </w:sectPr>
      </w:pPr>
    </w:p>
    <w:bookmarkStart w:id="6" w:name="page7"/>
    <w:bookmarkEnd w:id="6"/>
    <w:p>
      <w:pPr>
        <w:spacing w:after="0" w:line="77"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 NOT APPLICABLE</w:t>
      </w:r>
    </w:p>
    <w:p>
      <w:pPr>
        <w:spacing w:after="0" w:line="207" w:lineRule="exact"/>
        <w:rPr>
          <w:sz w:val="20"/>
          <w:szCs w:val="20"/>
          <w:color w:val="auto"/>
        </w:rPr>
      </w:pPr>
    </w:p>
    <w:p>
      <w:pPr>
        <w:ind w:left="980" w:right="440" w:hanging="971"/>
        <w:spacing w:after="0" w:line="250" w:lineRule="auto"/>
        <w:tabs>
          <w:tab w:leader="none" w:pos="96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color w:val="auto"/>
        </w:rPr>
        <w:t>Identification and Classification of the Subsidiary Which Acquired the Security Being Reported on By the Parent Holding Company. See Exhibit “1” Attached</w:t>
      </w:r>
    </w:p>
    <w:p>
      <w:pPr>
        <w:spacing w:after="0" w:line="175" w:lineRule="exact"/>
        <w:rPr>
          <w:sz w:val="20"/>
          <w:szCs w:val="20"/>
          <w:color w:val="auto"/>
        </w:rPr>
      </w:pPr>
    </w:p>
    <w:p>
      <w:pPr>
        <w:ind w:right="3280"/>
        <w:spacing w:after="0" w:line="439" w:lineRule="auto"/>
        <w:rPr>
          <w:sz w:val="20"/>
          <w:szCs w:val="20"/>
          <w:color w:val="auto"/>
        </w:rPr>
      </w:pPr>
      <w:r>
        <w:rPr>
          <w:rFonts w:ascii="Arial" w:cs="Arial" w:eastAsia="Arial" w:hAnsi="Arial"/>
          <w:sz w:val="22"/>
          <w:szCs w:val="22"/>
          <w:color w:val="auto"/>
        </w:rPr>
        <w:t>Item 8. Identification and Classification of Members of the Group: NOT APPLICABLE Item 9. Notice of Dissolution of Group: NOT APPLICABLE Item 10. Certification</w:t>
      </w:r>
    </w:p>
    <w:p>
      <w:pPr>
        <w:spacing w:after="0" w:line="2" w:lineRule="exact"/>
        <w:rPr>
          <w:sz w:val="20"/>
          <w:szCs w:val="20"/>
          <w:color w:val="auto"/>
        </w:rPr>
      </w:pPr>
    </w:p>
    <w:p>
      <w:pPr>
        <w:ind w:left="1800" w:hanging="1098"/>
        <w:spacing w:after="0"/>
        <w:tabs>
          <w:tab w:leader="none" w:pos="18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§240.13d-1(b);</w:t>
      </w:r>
    </w:p>
    <w:p>
      <w:pPr>
        <w:spacing w:after="0" w:line="219" w:lineRule="exact"/>
        <w:rPr>
          <w:rFonts w:ascii="Arial" w:cs="Arial" w:eastAsia="Arial" w:hAnsi="Arial"/>
          <w:sz w:val="22"/>
          <w:szCs w:val="22"/>
          <w:color w:val="auto"/>
        </w:rPr>
      </w:pPr>
    </w:p>
    <w:p>
      <w:pPr>
        <w:ind w:left="1800" w:right="100"/>
        <w:spacing w:after="0" w:line="236" w:lineRule="auto"/>
        <w:rPr>
          <w:rFonts w:ascii="Arial" w:cs="Arial" w:eastAsia="Arial" w:hAnsi="Arial"/>
          <w:sz w:val="22"/>
          <w:szCs w:val="22"/>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200" w:lineRule="exact"/>
        <w:rPr>
          <w:rFonts w:ascii="Arial" w:cs="Arial" w:eastAsia="Arial" w:hAnsi="Arial"/>
          <w:sz w:val="22"/>
          <w:szCs w:val="22"/>
          <w:color w:val="auto"/>
        </w:rPr>
      </w:pPr>
    </w:p>
    <w:p>
      <w:pPr>
        <w:ind w:left="1800" w:hanging="1098"/>
        <w:spacing w:after="0"/>
        <w:tabs>
          <w:tab w:leader="none" w:pos="18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§204.13d-1(c):</w:t>
      </w:r>
    </w:p>
    <w:p>
      <w:pPr>
        <w:spacing w:after="0" w:line="219" w:lineRule="exact"/>
        <w:rPr>
          <w:rFonts w:ascii="Arial" w:cs="Arial" w:eastAsia="Arial" w:hAnsi="Arial"/>
          <w:sz w:val="22"/>
          <w:szCs w:val="22"/>
          <w:color w:val="auto"/>
        </w:rPr>
      </w:pPr>
    </w:p>
    <w:p>
      <w:pPr>
        <w:ind w:left="1800" w:right="540"/>
        <w:spacing w:after="0" w:line="252" w:lineRule="auto"/>
        <w:rPr>
          <w:rFonts w:ascii="Arial" w:cs="Arial" w:eastAsia="Arial" w:hAnsi="Arial"/>
          <w:sz w:val="22"/>
          <w:szCs w:val="22"/>
          <w:color w:val="auto"/>
        </w:rPr>
      </w:pPr>
      <w:r>
        <w:rPr>
          <w:rFonts w:ascii="Arial" w:cs="Arial" w:eastAsia="Arial" w:hAnsi="Arial"/>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-2155825</wp:posOffset>
            </wp:positionV>
            <wp:extent cx="6755130" cy="2288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55130" cy="2288540"/>
                    </a:xfrm>
                    <a:prstGeom prst="rect">
                      <a:avLst/>
                    </a:prstGeom>
                    <a:noFill/>
                  </pic:spPr>
                </pic:pic>
              </a:graphicData>
            </a:graphic>
          </wp:anchor>
        </w:drawing>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tbl>
      <w:tblPr>
        <w:tblLayout w:type="fixed"/>
        <w:tblInd w:w="110" w:type="dxa"/>
        <w:tblCellMar>
          <w:top w:w="0" w:type="dxa"/>
          <w:left w:w="0" w:type="dxa"/>
          <w:bottom w:w="0" w:type="dxa"/>
          <w:right w:w="0" w:type="dxa"/>
        </w:tblCellMar>
      </w:tblPr>
      <w:tr>
        <w:trPr>
          <w:trHeight w:val="288"/>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November 10, 2021</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November 10, 2021</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November 10, 2021</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15"/>
        </w:trPr>
        <w:tc>
          <w:tcPr>
            <w:tcW w:w="16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6"/>
              </w:rPr>
              <w:t>Rhodora J. Donahue, individually and as Trust of Voting Shares Irrevocable Trust, by J. Christopher</w:t>
            </w:r>
          </w:p>
        </w:tc>
      </w:tr>
      <w:tr>
        <w:trPr>
          <w:trHeight w:val="274"/>
        </w:trPr>
        <w:tc>
          <w:tcPr>
            <w:tcW w:w="1600" w:type="dxa"/>
            <w:vAlign w:val="bottom"/>
            <w:tcBorders>
              <w:left w:val="single" w:sz="8" w:color="auto"/>
              <w:right w:val="single" w:sz="8" w:color="auto"/>
            </w:tcBorders>
          </w:tcPr>
          <w:p>
            <w:pPr>
              <w:spacing w:after="0"/>
              <w:rPr>
                <w:sz w:val="23"/>
                <w:szCs w:val="23"/>
                <w:color w:val="auto"/>
              </w:rPr>
            </w:pP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right w:val="single" w:sz="8" w:color="auto"/>
            </w:tcBorders>
          </w:tcPr>
          <w:p>
            <w:pPr>
              <w:spacing w:after="0"/>
              <w:rPr>
                <w:sz w:val="17"/>
                <w:szCs w:val="17"/>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November 10, 2021</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916" w:orient="portrait"/>
          <w:cols w:equalWidth="0" w:num="1">
            <w:col w:w="11220"/>
          </w:cols>
          <w:pgMar w:left="320" w:top="118" w:right="359" w:bottom="0" w:gutter="0" w:footer="0" w:header="0"/>
        </w:sectPr>
      </w:pPr>
    </w:p>
    <w:bookmarkStart w:id="7" w:name="page8"/>
    <w:bookmarkEnd w:id="7"/>
    <w:p>
      <w:pPr>
        <w:ind w:right="200"/>
        <w:spacing w:after="0" w:line="251" w:lineRule="auto"/>
        <w:rPr>
          <w:sz w:val="20"/>
          <w:szCs w:val="20"/>
          <w:color w:val="auto"/>
        </w:rPr>
      </w:pPr>
      <w:r>
        <w:rPr>
          <w:rFonts w:ascii="Arial" w:cs="Arial" w:eastAsia="Arial" w:hAnsi="Arial"/>
          <w:sz w:val="22"/>
          <w:szCs w:val="22"/>
          <w:color w:val="auto"/>
        </w:rPr>
        <w:t>incorporated by reference. The name and any title of each person who signs the statement shall be typed or printed beneath his signature.</w:t>
      </w:r>
    </w:p>
    <w:p>
      <w:pPr>
        <w:spacing w:after="0" w:line="17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§240.13d-7 for other parties for whom copies are to be sent.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U.S.C. 1001)</w:t>
      </w:r>
    </w:p>
    <w:p>
      <w:pPr>
        <w:sectPr>
          <w:pgSz w:w="11900" w:h="16838" w:orient="portrait"/>
          <w:cols w:equalWidth="0" w:num="1">
            <w:col w:w="11140"/>
          </w:cols>
          <w:pgMar w:left="320" w:top="118"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Identity and Classification of Each Reporting Person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3920" w:type="dxa"/>
            <w:vAlign w:val="bottom"/>
            <w:tcBorders>
              <w:top w:val="single" w:sz="8" w:color="auto"/>
              <w:left w:val="single" w:sz="8" w:color="auto"/>
              <w:right w:val="single" w:sz="8" w:color="auto"/>
            </w:tcBorders>
          </w:tcPr>
          <w:p>
            <w:pPr>
              <w:ind w:left="1460"/>
              <w:spacing w:after="0"/>
              <w:rPr>
                <w:sz w:val="20"/>
                <w:szCs w:val="20"/>
                <w:color w:val="auto"/>
              </w:rPr>
            </w:pPr>
            <w:r>
              <w:rPr>
                <w:rFonts w:ascii="Arial" w:cs="Arial" w:eastAsia="Arial" w:hAnsi="Arial"/>
                <w:sz w:val="22"/>
                <w:szCs w:val="22"/>
                <w:color w:val="auto"/>
              </w:rPr>
              <w:t>IDENTITY</w:t>
            </w:r>
          </w:p>
        </w:tc>
        <w:tc>
          <w:tcPr>
            <w:tcW w:w="732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22"/>
                <w:szCs w:val="22"/>
                <w:color w:val="auto"/>
              </w:rPr>
              <w:t>CLASSIFICATION UNDER ITEM 3</w:t>
            </w:r>
          </w:p>
        </w:tc>
      </w:tr>
      <w:tr>
        <w:trPr>
          <w:trHeight w:val="185"/>
        </w:trPr>
        <w:tc>
          <w:tcPr>
            <w:tcW w:w="3920" w:type="dxa"/>
            <w:vAlign w:val="bottom"/>
            <w:tcBorders>
              <w:left w:val="single" w:sz="8" w:color="auto"/>
              <w:bottom w:val="single" w:sz="8" w:color="auto"/>
              <w:right w:val="single" w:sz="8" w:color="auto"/>
            </w:tcBorders>
          </w:tcPr>
          <w:p>
            <w:pPr>
              <w:spacing w:after="0"/>
              <w:rPr>
                <w:sz w:val="16"/>
                <w:szCs w:val="16"/>
                <w:color w:val="auto"/>
              </w:rPr>
            </w:pPr>
          </w:p>
        </w:tc>
        <w:tc>
          <w:tcPr>
            <w:tcW w:w="7320" w:type="dxa"/>
            <w:vAlign w:val="bottom"/>
            <w:tcBorders>
              <w:bottom w:val="single" w:sz="8" w:color="auto"/>
              <w:right w:val="single" w:sz="8" w:color="auto"/>
            </w:tcBorders>
          </w:tcPr>
          <w:p>
            <w:pPr>
              <w:spacing w:after="0"/>
              <w:rPr>
                <w:sz w:val="16"/>
                <w:szCs w:val="16"/>
                <w:color w:val="auto"/>
              </w:rPr>
            </w:pPr>
          </w:p>
        </w:tc>
      </w:tr>
      <w:tr>
        <w:trPr>
          <w:trHeight w:val="215"/>
        </w:trPr>
        <w:tc>
          <w:tcPr>
            <w:tcW w:w="39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Hermes Equity Funds</w:t>
            </w:r>
          </w:p>
        </w:tc>
        <w:tc>
          <w:tcPr>
            <w:tcW w:w="73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2"/>
              </w:rPr>
              <w:t>(d) Investment company registered under Section 8 of the Investment Company</w:t>
            </w:r>
          </w:p>
        </w:tc>
      </w:tr>
      <w:tr>
        <w:trPr>
          <w:trHeight w:val="274"/>
        </w:trPr>
        <w:tc>
          <w:tcPr>
            <w:tcW w:w="3920" w:type="dxa"/>
            <w:vAlign w:val="bottom"/>
            <w:tcBorders>
              <w:left w:val="single" w:sz="8" w:color="auto"/>
              <w:right w:val="single" w:sz="8" w:color="auto"/>
            </w:tcBorders>
          </w:tcPr>
          <w:p>
            <w:pPr>
              <w:spacing w:after="0"/>
              <w:rPr>
                <w:sz w:val="23"/>
                <w:szCs w:val="23"/>
                <w:color w:val="auto"/>
              </w:rPr>
            </w:pPr>
          </w:p>
        </w:tc>
        <w:tc>
          <w:tcPr>
            <w:tcW w:w="73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Act of 1940 (15 U.S.C. 80a-8)</w:t>
            </w:r>
          </w:p>
        </w:tc>
      </w:tr>
      <w:tr>
        <w:trPr>
          <w:trHeight w:val="206"/>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15"/>
        </w:trPr>
        <w:tc>
          <w:tcPr>
            <w:tcW w:w="39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93"/>
              </w:rPr>
              <w:t>Federated Equity Management Company</w:t>
            </w:r>
          </w:p>
        </w:tc>
        <w:tc>
          <w:tcPr>
            <w:tcW w:w="73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(e) Investment Adviser registered under Section 203 of the Investment Advisers</w:t>
            </w:r>
          </w:p>
        </w:tc>
      </w:tr>
      <w:tr>
        <w:trPr>
          <w:trHeight w:val="274"/>
        </w:trPr>
        <w:tc>
          <w:tcPr>
            <w:tcW w:w="3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of Pennsylvania</w:t>
            </w:r>
          </w:p>
        </w:tc>
        <w:tc>
          <w:tcPr>
            <w:tcW w:w="73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Act of 1940</w:t>
            </w:r>
          </w:p>
        </w:tc>
      </w:tr>
      <w:tr>
        <w:trPr>
          <w:trHeight w:val="206"/>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68"/>
        </w:trPr>
        <w:tc>
          <w:tcPr>
            <w:tcW w:w="3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Federated Hermes, Inc.</w:t>
            </w:r>
          </w:p>
        </w:tc>
        <w:tc>
          <w:tcPr>
            <w:tcW w:w="73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920" w:type="dxa"/>
            <w:vAlign w:val="bottom"/>
            <w:tcBorders>
              <w:left w:val="single" w:sz="8" w:color="auto"/>
              <w:bottom w:val="single" w:sz="8" w:color="auto"/>
              <w:right w:val="single" w:sz="8" w:color="auto"/>
            </w:tcBorders>
          </w:tcPr>
          <w:p>
            <w:pPr>
              <w:spacing w:after="0"/>
              <w:rPr>
                <w:sz w:val="16"/>
                <w:szCs w:val="16"/>
                <w:color w:val="auto"/>
              </w:rPr>
            </w:pPr>
          </w:p>
        </w:tc>
        <w:tc>
          <w:tcPr>
            <w:tcW w:w="7320" w:type="dxa"/>
            <w:vAlign w:val="bottom"/>
            <w:tcBorders>
              <w:bottom w:val="single" w:sz="8" w:color="auto"/>
              <w:right w:val="single" w:sz="8" w:color="auto"/>
            </w:tcBorders>
          </w:tcPr>
          <w:p>
            <w:pPr>
              <w:spacing w:after="0"/>
              <w:rPr>
                <w:sz w:val="16"/>
                <w:szCs w:val="16"/>
                <w:color w:val="auto"/>
              </w:rPr>
            </w:pPr>
          </w:p>
        </w:tc>
      </w:tr>
      <w:tr>
        <w:trPr>
          <w:trHeight w:val="268"/>
        </w:trPr>
        <w:tc>
          <w:tcPr>
            <w:tcW w:w="3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FII Holdings, Inc.</w:t>
            </w:r>
          </w:p>
        </w:tc>
        <w:tc>
          <w:tcPr>
            <w:tcW w:w="73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920" w:type="dxa"/>
            <w:vAlign w:val="bottom"/>
            <w:tcBorders>
              <w:left w:val="single" w:sz="8" w:color="auto"/>
              <w:bottom w:val="single" w:sz="8" w:color="auto"/>
              <w:right w:val="single" w:sz="8" w:color="auto"/>
            </w:tcBorders>
          </w:tcPr>
          <w:p>
            <w:pPr>
              <w:spacing w:after="0"/>
              <w:rPr>
                <w:sz w:val="16"/>
                <w:szCs w:val="16"/>
                <w:color w:val="auto"/>
              </w:rPr>
            </w:pPr>
          </w:p>
        </w:tc>
        <w:tc>
          <w:tcPr>
            <w:tcW w:w="7320" w:type="dxa"/>
            <w:vAlign w:val="bottom"/>
            <w:tcBorders>
              <w:bottom w:val="single" w:sz="8" w:color="auto"/>
              <w:right w:val="single" w:sz="8" w:color="auto"/>
            </w:tcBorders>
          </w:tcPr>
          <w:p>
            <w:pPr>
              <w:spacing w:after="0"/>
              <w:rPr>
                <w:sz w:val="16"/>
                <w:szCs w:val="16"/>
                <w:color w:val="auto"/>
              </w:rPr>
            </w:pPr>
          </w:p>
        </w:tc>
      </w:tr>
      <w:tr>
        <w:trPr>
          <w:trHeight w:val="268"/>
        </w:trPr>
        <w:tc>
          <w:tcPr>
            <w:tcW w:w="3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Voting Shares Irrevocable Trust</w:t>
            </w:r>
          </w:p>
        </w:tc>
        <w:tc>
          <w:tcPr>
            <w:tcW w:w="73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920" w:type="dxa"/>
            <w:vAlign w:val="bottom"/>
            <w:tcBorders>
              <w:left w:val="single" w:sz="8" w:color="auto"/>
              <w:bottom w:val="single" w:sz="8" w:color="auto"/>
              <w:right w:val="single" w:sz="8" w:color="auto"/>
            </w:tcBorders>
          </w:tcPr>
          <w:p>
            <w:pPr>
              <w:spacing w:after="0"/>
              <w:rPr>
                <w:sz w:val="16"/>
                <w:szCs w:val="16"/>
                <w:color w:val="auto"/>
              </w:rPr>
            </w:pPr>
          </w:p>
        </w:tc>
        <w:tc>
          <w:tcPr>
            <w:tcW w:w="7320" w:type="dxa"/>
            <w:vAlign w:val="bottom"/>
            <w:tcBorders>
              <w:bottom w:val="single" w:sz="8" w:color="auto"/>
              <w:right w:val="single" w:sz="8" w:color="auto"/>
            </w:tcBorders>
          </w:tcPr>
          <w:p>
            <w:pPr>
              <w:spacing w:after="0"/>
              <w:rPr>
                <w:sz w:val="16"/>
                <w:szCs w:val="16"/>
                <w:color w:val="auto"/>
              </w:rPr>
            </w:pPr>
          </w:p>
        </w:tc>
      </w:tr>
      <w:tr>
        <w:trPr>
          <w:trHeight w:val="268"/>
        </w:trPr>
        <w:tc>
          <w:tcPr>
            <w:tcW w:w="3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Thomas R. Donahue</w:t>
            </w:r>
          </w:p>
        </w:tc>
        <w:tc>
          <w:tcPr>
            <w:tcW w:w="73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920" w:type="dxa"/>
            <w:vAlign w:val="bottom"/>
            <w:tcBorders>
              <w:left w:val="single" w:sz="8" w:color="auto"/>
              <w:bottom w:val="single" w:sz="8" w:color="auto"/>
              <w:right w:val="single" w:sz="8" w:color="auto"/>
            </w:tcBorders>
          </w:tcPr>
          <w:p>
            <w:pPr>
              <w:spacing w:after="0"/>
              <w:rPr>
                <w:sz w:val="16"/>
                <w:szCs w:val="16"/>
                <w:color w:val="auto"/>
              </w:rPr>
            </w:pPr>
          </w:p>
        </w:tc>
        <w:tc>
          <w:tcPr>
            <w:tcW w:w="7320" w:type="dxa"/>
            <w:vAlign w:val="bottom"/>
            <w:tcBorders>
              <w:bottom w:val="single" w:sz="8" w:color="auto"/>
              <w:right w:val="single" w:sz="8" w:color="auto"/>
            </w:tcBorders>
          </w:tcPr>
          <w:p>
            <w:pPr>
              <w:spacing w:after="0"/>
              <w:rPr>
                <w:sz w:val="16"/>
                <w:szCs w:val="16"/>
                <w:color w:val="auto"/>
              </w:rPr>
            </w:pPr>
          </w:p>
        </w:tc>
      </w:tr>
      <w:tr>
        <w:trPr>
          <w:trHeight w:val="268"/>
        </w:trPr>
        <w:tc>
          <w:tcPr>
            <w:tcW w:w="3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Rhodora J. Donahue</w:t>
            </w:r>
          </w:p>
        </w:tc>
        <w:tc>
          <w:tcPr>
            <w:tcW w:w="73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920" w:type="dxa"/>
            <w:vAlign w:val="bottom"/>
            <w:tcBorders>
              <w:left w:val="single" w:sz="8" w:color="auto"/>
              <w:bottom w:val="single" w:sz="8" w:color="auto"/>
              <w:right w:val="single" w:sz="8" w:color="auto"/>
            </w:tcBorders>
          </w:tcPr>
          <w:p>
            <w:pPr>
              <w:spacing w:after="0"/>
              <w:rPr>
                <w:sz w:val="16"/>
                <w:szCs w:val="16"/>
                <w:color w:val="auto"/>
              </w:rPr>
            </w:pPr>
          </w:p>
        </w:tc>
        <w:tc>
          <w:tcPr>
            <w:tcW w:w="7320" w:type="dxa"/>
            <w:vAlign w:val="bottom"/>
            <w:tcBorders>
              <w:bottom w:val="single" w:sz="8" w:color="auto"/>
              <w:right w:val="single" w:sz="8" w:color="auto"/>
            </w:tcBorders>
          </w:tcPr>
          <w:p>
            <w:pPr>
              <w:spacing w:after="0"/>
              <w:rPr>
                <w:sz w:val="16"/>
                <w:szCs w:val="16"/>
                <w:color w:val="auto"/>
              </w:rPr>
            </w:pPr>
          </w:p>
        </w:tc>
      </w:tr>
      <w:tr>
        <w:trPr>
          <w:trHeight w:val="268"/>
        </w:trPr>
        <w:tc>
          <w:tcPr>
            <w:tcW w:w="39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J. Christopher Donahue</w:t>
            </w:r>
          </w:p>
        </w:tc>
        <w:tc>
          <w:tcPr>
            <w:tcW w:w="732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7"/>
              </w:rPr>
              <w:t>(g) parent Holding Company, in accordance with Section 240.13d-1(b)(ii)(G)</w:t>
            </w:r>
          </w:p>
        </w:tc>
      </w:tr>
      <w:tr>
        <w:trPr>
          <w:trHeight w:val="185"/>
        </w:trPr>
        <w:tc>
          <w:tcPr>
            <w:tcW w:w="3920" w:type="dxa"/>
            <w:vAlign w:val="bottom"/>
            <w:tcBorders>
              <w:left w:val="single" w:sz="8" w:color="auto"/>
              <w:bottom w:val="single" w:sz="8" w:color="auto"/>
              <w:right w:val="single" w:sz="8" w:color="auto"/>
            </w:tcBorders>
          </w:tcPr>
          <w:p>
            <w:pPr>
              <w:spacing w:after="0"/>
              <w:rPr>
                <w:sz w:val="16"/>
                <w:szCs w:val="16"/>
                <w:color w:val="auto"/>
              </w:rPr>
            </w:pPr>
          </w:p>
        </w:tc>
        <w:tc>
          <w:tcPr>
            <w:tcW w:w="732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Federated Hermes, Inc. (the “Parent”) is filing this schedule 13G because it is the parent holding company of Federated Equity Management Company of Pennsylvania (the “Investment Advisers”), which act as investment advisers to registered investment companies and separate accounts that own shares of common stock in P10, Inc.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Rhodora J.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12"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2"/>
          <w:szCs w:val="22"/>
          <w:color w:val="auto"/>
        </w:rPr>
        <w:t>EXHIBIT “2”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AGREEMENT FOR JOINT FILING 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13G</w:t>
      </w:r>
    </w:p>
    <w:p>
      <w:pPr>
        <w:spacing w:after="0" w:line="206"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86" w:lineRule="exact"/>
        <w:rPr>
          <w:sz w:val="20"/>
          <w:szCs w:val="20"/>
          <w:color w:val="auto"/>
        </w:rPr>
      </w:pPr>
    </w:p>
    <w:p>
      <w:pPr>
        <w:ind w:right="200" w:firstLine="656"/>
        <w:spacing w:after="0" w:line="250" w:lineRule="auto"/>
        <w:tabs>
          <w:tab w:leader="none" w:pos="1188" w:val="left"/>
        </w:tabs>
        <w:numPr>
          <w:ilvl w:val="0"/>
          <w:numId w:val="17"/>
        </w:numPr>
        <w:rPr>
          <w:rFonts w:ascii="Arial" w:cs="Arial" w:eastAsia="Arial" w:hAnsi="Arial"/>
          <w:sz w:val="22"/>
          <w:szCs w:val="22"/>
          <w:color w:val="auto"/>
        </w:rPr>
      </w:pPr>
      <w:r>
        <w:rPr>
          <w:rFonts w:ascii="Arial" w:cs="Arial" w:eastAsia="Arial" w:hAnsi="Arial"/>
          <w:sz w:val="22"/>
          <w:szCs w:val="22"/>
          <w:color w:val="auto"/>
        </w:rPr>
        <w:t>Federated Hermes, Inc. as parent holding company of the investment advisers to registered investment companies that beneficially own the securities.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Thoms R.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Rhodora J.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 Christopher Donahue, individually and as Trustee</w:t>
      </w:r>
    </w:p>
    <w:p>
      <w:pPr>
        <w:spacing w:after="0" w:line="206" w:lineRule="exact"/>
        <w:rPr>
          <w:sz w:val="20"/>
          <w:szCs w:val="20"/>
          <w:color w:val="auto"/>
        </w:rPr>
      </w:pPr>
    </w:p>
    <w:p>
      <w:pPr>
        <w:ind w:right="40" w:firstLine="648"/>
        <w:spacing w:after="0" w:line="252" w:lineRule="auto"/>
        <w:rPr>
          <w:sz w:val="20"/>
          <w:szCs w:val="20"/>
          <w:color w:val="auto"/>
        </w:rPr>
      </w:pPr>
      <w:r>
        <w:rPr>
          <w:rFonts w:ascii="Arial" w:cs="Arial" w:eastAsia="Arial" w:hAnsi="Arial"/>
          <w:sz w:val="21"/>
          <w:szCs w:val="21"/>
          <w:color w:val="auto"/>
        </w:rPr>
        <w:t>It is understood and agreed that each of the 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74"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 November 10, 2021</w:t>
      </w:r>
    </w:p>
    <w:p>
      <w:pPr>
        <w:spacing w:after="0" w:line="207" w:lineRule="exact"/>
        <w:rPr>
          <w:sz w:val="20"/>
          <w:szCs w:val="20"/>
          <w:color w:val="auto"/>
        </w:rPr>
      </w:pPr>
    </w:p>
    <w:tbl>
      <w:tblPr>
        <w:tblLayout w:type="fixed"/>
        <w:tblInd w:w="110" w:type="dxa"/>
        <w:tblCellMar>
          <w:top w:w="0" w:type="dxa"/>
          <w:left w:w="0" w:type="dxa"/>
          <w:bottom w:w="0" w:type="dxa"/>
          <w:right w:w="0" w:type="dxa"/>
        </w:tblCellMar>
      </w:tblPr>
      <w:tr>
        <w:trPr>
          <w:trHeight w:val="288"/>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Trustee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15"/>
        </w:trPr>
        <w:tc>
          <w:tcPr>
            <w:tcW w:w="16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4"/>
              </w:rPr>
              <w:t>Rhodora J. Donahue, individually and as Trustee as Voting Shares Irrevocable Trust, by J. Christopher</w:t>
            </w:r>
          </w:p>
        </w:tc>
      </w:tr>
      <w:tr>
        <w:trPr>
          <w:trHeight w:val="274"/>
        </w:trPr>
        <w:tc>
          <w:tcPr>
            <w:tcW w:w="1600" w:type="dxa"/>
            <w:vAlign w:val="bottom"/>
            <w:tcBorders>
              <w:left w:val="single" w:sz="8" w:color="auto"/>
              <w:right w:val="single" w:sz="8" w:color="auto"/>
            </w:tcBorders>
          </w:tcPr>
          <w:p>
            <w:pPr>
              <w:spacing w:after="0"/>
              <w:rPr>
                <w:sz w:val="23"/>
                <w:szCs w:val="23"/>
                <w:color w:val="auto"/>
              </w:rPr>
            </w:pP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right w:val="single" w:sz="8" w:color="auto"/>
            </w:tcBorders>
          </w:tcPr>
          <w:p>
            <w:pPr>
              <w:spacing w:after="0"/>
              <w:rPr>
                <w:sz w:val="17"/>
                <w:szCs w:val="17"/>
                <w:color w:val="auto"/>
              </w:rPr>
            </w:pPr>
          </w:p>
        </w:tc>
      </w:tr>
      <w:tr>
        <w:trPr>
          <w:trHeight w:val="452"/>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r>
        <w:trPr>
          <w:trHeight w:val="268"/>
        </w:trPr>
        <w:tc>
          <w:tcPr>
            <w:tcW w:w="1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Trustee of Voting Shares Irrevocable Trust</w:t>
            </w:r>
          </w:p>
        </w:tc>
      </w:tr>
      <w:tr>
        <w:trPr>
          <w:trHeight w:val="18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954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ind w:right="20" w:firstLine="8"/>
        <w:spacing w:after="0" w:line="274" w:lineRule="auto"/>
        <w:tabs>
          <w:tab w:leader="none" w:pos="536"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Rhodora J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20"/>
          </w:cols>
          <w:pgMar w:left="320" w:top="685" w:right="359" w:bottom="221"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5391785" cy="7071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91785" cy="707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“3”</w:t>
      </w:r>
    </w:p>
    <w:p>
      <w:pPr>
        <w:sectPr>
          <w:pgSz w:w="11900" w:h="16838" w:orient="portrait"/>
          <w:cols w:equalWidth="0" w:num="1">
            <w:col w:w="9019"/>
          </w:cols>
          <w:pgMar w:left="1440" w:top="928"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6900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9"/>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9"/>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lvl w:ilvl="1">
      <w:lvlJc w:val="left"/>
      <w:lvlText w:val="%2."/>
      <w:numFmt w:val="decimal"/>
      <w:start w:val="7"/>
    </w:lvl>
  </w:abstractNum>
  <w:abstractNum w:abstractNumId="9">
    <w:nsid w:val="DED7263"/>
    <w:multiLevelType w:val="hybridMultilevel"/>
    <w:lvl w:ilvl="0">
      <w:lvlJc w:val="left"/>
      <w:lvlText w:val="%1."/>
      <w:numFmt w:val="decimal"/>
      <w:start w:val="9"/>
    </w:lvl>
    <w:lvl w:ilvl="1">
      <w:lvlJc w:val="left"/>
      <w:lvlText w:val="%2"/>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9"/>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2021-11-10T12:32:26Z</dcterms:created>
  <dcterms:modified xsi:type="dcterms:W3CDTF">2021-11-10T12:32:26Z</dcterms:modified>
</cp:coreProperties>
</file>