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Adam W. Finerman,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BakerHostetler, 45 Rockefeller Plaza</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10111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589-4233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210 Capital,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4.7 %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 These shares include only shares of Class A common stock, all of which may be deemed to be beneficially</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owned by each Reporting Person. (2) The percentage is based on 69,128,856 shares of Class A common stock</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outstanding as of January 13, 2025, as reported on the Issuer's Post-Effective Amendment No. 1 to Form S-1 on</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Form S-3, filed on January 22,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210/P10 Acquisition Partners,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338"/>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4.7 %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 These shares include only shares of Class A common stock, all of which may be deemed to be beneficially</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owned by each Reporting Person. (2) The percentage is based on 69,128,856 shares of Class A common stock</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outstanding as of January 13, 2025, as reported on the Issuer's Post-Effective Amendment No. 1 to Form S-1 on</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Form S-3, filed on January 22,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CCW/LAW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100" w:type="dxa"/>
            <w:vAlign w:val="bottom"/>
            <w:vMerge w:val="continue"/>
          </w:tcPr>
          <w:p>
            <w:pPr>
              <w:spacing w:after="0"/>
              <w:rPr>
                <w:sz w:val="16"/>
                <w:szCs w:val="16"/>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-1652905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4.7 %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 These shares include only shares of Class A common stock, all of which may be deemed to be beneficially</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owned by each Reporting Person. (2) The percentage is based on 69,128,856 shares of Class A common stock</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20"/>
              <w:spacing w:after="0" w:line="240" w:lineRule="exact"/>
              <w:rPr>
                <w:sz w:val="20"/>
                <w:szCs w:val="20"/>
                <w:color w:val="auto"/>
              </w:rPr>
            </w:pPr>
            <w:r>
              <w:rPr>
                <w:rFonts w:ascii="Times New Roman" w:cs="Times New Roman" w:eastAsia="Times New Roman" w:hAnsi="Times New Roman"/>
                <w:sz w:val="22"/>
                <w:szCs w:val="22"/>
                <w:color w:val="auto"/>
              </w:rPr>
              <w:t>outstanding as of January 13, 2025, as reported on the Issuer's Post-Effective Amendment No. 1 to Form S-1 on</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S-3, filed on January 22,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Covenant RHA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3,241,537.00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3,241,537.00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3,241,537.00</w:t>
      </w:r>
    </w:p>
    <w:p>
      <w:pPr>
        <w:spacing w:after="0" w:line="44" w:lineRule="exact"/>
        <w:rPr>
          <w:sz w:val="20"/>
          <w:szCs w:val="20"/>
          <w:color w:val="auto"/>
        </w:rPr>
      </w:pPr>
    </w:p>
    <w:p>
      <w:pPr>
        <w:sectPr>
          <w:pgSz w:w="11900" w:h="16838" w:orient="portrait"/>
          <w:cols w:equalWidth="0" w:num="2">
            <w:col w:w="1100" w:space="60"/>
            <w:col w:w="10080"/>
          </w:cols>
          <w:pgMar w:left="320" w:top="102" w:right="33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1">
            <w:col w:w="11240"/>
          </w:cols>
          <w:pgMar w:left="320" w:top="10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tbl>
      <w:tblPr>
        <w:tblLayout w:type="fixed"/>
        <w:tblInd w:w="0" w:type="dxa"/>
        <w:tblCellMar>
          <w:top w:w="0" w:type="dxa"/>
          <w:left w:w="0" w:type="dxa"/>
          <w:bottom w:w="0" w:type="dxa"/>
          <w:right w:w="0" w:type="dxa"/>
        </w:tblCellMar>
      </w:tblPr>
      <w:tr>
        <w:trPr>
          <w:trHeight w:val="273"/>
        </w:trPr>
        <w:tc>
          <w:tcPr>
            <w:tcW w:w="1020" w:type="dxa"/>
            <w:vAlign w:val="bottom"/>
          </w:tcPr>
          <w:p>
            <w:pPr>
              <w:spacing w:after="0"/>
              <w:rPr>
                <w:sz w:val="23"/>
                <w:szCs w:val="23"/>
                <w:color w:val="auto"/>
              </w:rPr>
            </w:pP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4.7 %</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 These shares include only shares of Class A common stock, all of which may be deemed to be beneficially</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owned by each Reporting Person. (2) The percentage is based on 69,128,856 shares of Class A common stock</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120"/>
              <w:spacing w:after="0" w:line="240" w:lineRule="exact"/>
              <w:rPr>
                <w:sz w:val="20"/>
                <w:szCs w:val="20"/>
                <w:color w:val="auto"/>
              </w:rPr>
            </w:pPr>
            <w:r>
              <w:rPr>
                <w:rFonts w:ascii="Times New Roman" w:cs="Times New Roman" w:eastAsia="Times New Roman" w:hAnsi="Times New Roman"/>
                <w:sz w:val="22"/>
                <w:szCs w:val="22"/>
                <w:color w:val="auto"/>
              </w:rPr>
              <w:t>outstanding as of January 13, 2025, as reported on the Issuer's Post-Effective Amendment No. 1 to Form S-1 on</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Form S-3, filed on January 22,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RHA Investments,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612" w:right="339" w:bottom="46"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3,241,537.00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3,241,537.00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3,241,537.00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10080"/>
          </w:cols>
          <w:pgMar w:left="320" w:top="612" w:right="339" w:bottom="46" w:gutter="0" w:footer="0" w:header="0"/>
          <w:type w:val="continuous"/>
        </w:sectPr>
      </w:pPr>
    </w:p>
    <w:bookmarkStart w:id="5" w:name="page6"/>
    <w:bookmarkEnd w:id="5"/>
    <w:p>
      <w:pPr>
        <w:spacing w:after="0" w:line="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jc w:val="both"/>
        <w:ind w:left="6" w:hanging="6"/>
        <w:spacing w:after="0"/>
        <w:tabs>
          <w:tab w:leader="none" w:pos="34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shares include only shares of Class A common stock, all of which may be deemed to be beneficially owned by each Reporting Person. (2) The percentage is based on 69,128,856 shares of Class A common stock outstanding as of January 13, 2025, as reported on the Issuer's Post-Effective Amendment No. 1 to Form S-1 on Form S-3, filed on January 22, 2025.</w:t>
      </w:r>
    </w:p>
    <w:p>
      <w:pPr>
        <w:spacing w:after="0" w:line="200" w:lineRule="exact"/>
        <w:rPr>
          <w:sz w:val="20"/>
          <w:szCs w:val="20"/>
          <w:color w:val="auto"/>
        </w:rPr>
      </w:pPr>
    </w:p>
    <w:p>
      <w:pPr>
        <w:sectPr>
          <w:pgSz w:w="11900" w:h="16838" w:orient="portrait"/>
          <w:cols w:equalWidth="0" w:num="2">
            <w:col w:w="920" w:space="214"/>
            <w:col w:w="10106"/>
          </w:cols>
          <w:pgMar w:left="320" w:top="111" w:right="339" w:bottom="0" w:gutter="0" w:footer="0" w:header="0"/>
        </w:sect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Robert Alpert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425,093.00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425,093.00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3,666,630.00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sole amounts include 425,093 shares of Class A common stock underlying stock options held by the Reporting</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Person that are exercisable within 60 days of the date hereof. (2) The shared amounts include only shares of Class A</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common stock, all of which may be deemed to be beneficially owned by each Reporting Person. (3) The percentage is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based on 69,128,856 shares of Class A common stock outstanding as of January 13, 2025, as reported on the Issuer's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Post-Effective Amendment No. 1 to Form S-1 on Form S-3, filed on January 22, 2025.</w:t>
      </w:r>
    </w:p>
    <w:p>
      <w:pPr>
        <w:sectPr>
          <w:pgSz w:w="11900" w:h="16838" w:orient="portrait"/>
          <w:cols w:equalWidth="0" w:num="1">
            <w:col w:w="11240"/>
          </w:cols>
          <w:pgMar w:left="320" w:top="111" w:right="339" w:bottom="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1" w:right="339" w:bottom="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69376K106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 Clark Webb</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425,093.00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425,093.00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3,241,537.00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3,666,630.00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-3496310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The sole amounts include 425,093 shares of Class A common stock underlying stock options held by the Reporting</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Person that are exercisable within 60 days of the date hereof. (2) The shared amounts include only shares of Class A</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common stock, all of which may be deemed to be beneficially owned by each Reporting Person. (3) The percentage is</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based on 69,128,856 shares of Class A common stock outstanding as of January 13, 2025, as reported on the Issuer's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Post-Effective Amendment No. 1 to Form S-1 on Form S-3, filed on January 22, 2025.</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P10, Inc.</w:t>
      </w:r>
    </w:p>
    <w:p>
      <w:pPr>
        <w:spacing w:after="0" w:line="20" w:lineRule="exact"/>
        <w:rPr>
          <w:sz w:val="20"/>
          <w:szCs w:val="20"/>
          <w:color w:val="auto"/>
        </w:rPr>
      </w:pPr>
    </w:p>
    <w:p>
      <w:pPr>
        <w:ind w:left="960" w:hanging="912"/>
        <w:spacing w:after="0"/>
        <w:tabs>
          <w:tab w:leader="none" w:pos="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240"/>
          </w:cols>
          <w:pgMar w:left="320" w:top="176" w:right="339" w:bottom="0" w:gutter="0" w:footer="0" w:header="0"/>
        </w:sectPr>
      </w:pPr>
    </w:p>
    <w:bookmarkStart w:id="7" w:name="page8"/>
    <w:bookmarkEnd w:id="7"/>
    <w:p>
      <w:pPr>
        <w:ind w:left="920"/>
        <w:spacing w:after="0"/>
        <w:rPr>
          <w:sz w:val="20"/>
          <w:szCs w:val="20"/>
          <w:color w:val="auto"/>
        </w:rPr>
      </w:pPr>
      <w:r>
        <w:rPr>
          <w:rFonts w:ascii="Times New Roman" w:cs="Times New Roman" w:eastAsia="Times New Roman" w:hAnsi="Times New Roman"/>
          <w:sz w:val="22"/>
          <w:szCs w:val="22"/>
          <w:color w:val="auto"/>
        </w:rPr>
        <w:t>4514 Cole Avenue, Suite 1600, Dallas, TEXAS , 75205.</w:t>
      </w:r>
    </w:p>
    <w:p>
      <w:pPr>
        <w:spacing w:after="0" w:line="44"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9 to Schedule 13D (this "Amendment") amends the items included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herein that were contained in the Schedule 13D filed on December 20, 2023, as amended by Amendment No. 1 filed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October 8, 2024, Amendment No. 2 filed November 12, 2024, Amendment No. 3 filed November 22, 2024, Amendment No. 4 filed November 27, 2024, Amendment No. 5 filed December 5, 2024, Amendment No. 6 filed December 13, 2024, Amendment No. 7 filed December 20, 2024, and Amendment No. 8 filed on January 10, 2025 (the "Original Schedule 13D", and together with this Amendment, this "Schedule 13D") relating to shares of Class A common stock, par value $0.001 per shares, and shares of Class B common stock, par value $0.001 per shares, of P10, Inc., a Delaware corporation (the "Issuer"), filed by: (i) 210/P10 Acquisition Partners, LLC, a Texas limited liability company ("210/P10"); (ii) 210 Capital, LLC, a Delaware limited liability company ("210 Capital"); (iii)</w:t>
      </w:r>
    </w:p>
    <w:p>
      <w:pPr>
        <w:spacing w:after="0" w:line="1" w:lineRule="exact"/>
        <w:rPr>
          <w:sz w:val="20"/>
          <w:szCs w:val="20"/>
          <w:color w:val="auto"/>
        </w:rPr>
      </w:pPr>
    </w:p>
    <w:p>
      <w:pPr>
        <w:jc w:val="both"/>
        <w:ind w:left="960"/>
        <w:spacing w:after="0" w:line="232" w:lineRule="auto"/>
        <w:rPr>
          <w:sz w:val="20"/>
          <w:szCs w:val="20"/>
          <w:color w:val="auto"/>
        </w:rPr>
      </w:pPr>
      <w:r>
        <w:rPr>
          <w:rFonts w:ascii="Times New Roman" w:cs="Times New Roman" w:eastAsia="Times New Roman" w:hAnsi="Times New Roman"/>
          <w:sz w:val="22"/>
          <w:szCs w:val="22"/>
          <w:color w:val="auto"/>
        </w:rPr>
        <w:t>Covenant RHA Partners, L.P., a Texas limited partnership ("RHA Partners"); (iv) CCW/LAW Holdings, LLC, a Texas limited liability company ("CCW Holdings"); (v) RHA Investments, Inc., a Texas corporation ("RHA Investments"); (vi) Robert Alpert; and (vii) C. Clark Webb (each, a "Reporting Person" and collectively, the "Reporting Persons"). On January 21, 2025, the Reporting Persons effected transactions that, in the aggregate, resulted in the disposition of beneficial ownership of an amount equal to one percent or more of the outstanding shares Class A common stock of the Issuer. This Amendment is being filed to, among other things, update the information regarding the beneficial ownership of the shares of Class A common stock of the Issuer held by the Reporting Persons. Except as specifically provided herein, this Amendment does not modify any of the information previously reported in the Original Schedule 13D. Capitalized terms used but not defined in this Amendment shall have the same meanings ascribed to them in the Original Schedule 13D.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45" w:lineRule="auto"/>
        <w:rPr>
          <w:sz w:val="20"/>
          <w:szCs w:val="20"/>
          <w:color w:val="auto"/>
        </w:rPr>
      </w:pPr>
      <w:r>
        <w:rPr>
          <w:rFonts w:ascii="Times New Roman" w:cs="Times New Roman" w:eastAsia="Times New Roman" w:hAnsi="Times New Roman"/>
          <w:sz w:val="21"/>
          <w:szCs w:val="21"/>
          <w:color w:val="auto"/>
        </w:rPr>
        <w:t>The information contained in rows 7, 8, 9, 10, 11 and 13 on the cover pages of this Schedule 13D (including the footnotes thereto) is incorporated by reference herein. 210/P10 is the direct beneficial holder of 3,214,537 shares of Class A common stock that may be deemed to be beneficially owned by each Reporting Person. 210/P10 is managed by its sole member, 210 Capital, which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w:t>
      </w:r>
    </w:p>
    <w:p>
      <w:pPr>
        <w:spacing w:after="0" w:line="3" w:lineRule="exact"/>
        <w:rPr>
          <w:sz w:val="20"/>
          <w:szCs w:val="20"/>
          <w:color w:val="auto"/>
        </w:rPr>
      </w:pPr>
    </w:p>
    <w:p>
      <w:pPr>
        <w:ind w:left="920" w:right="120" w:hanging="912"/>
        <w:spacing w:after="0" w:line="216" w:lineRule="auto"/>
        <w:tabs>
          <w:tab w:leader="none" w:pos="920" w:val="left"/>
        </w:tabs>
        <w:numPr>
          <w:ilvl w:val="0"/>
          <w:numId w:val="16"/>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President and sole shareholder. Accordingly, each of 210 Capital, RHA Partners, CCW Holdings, RHA Investments, Mr. Alpert and Mr. Webb may be deemed to beneficially own such shares of common stock held by 210/P10. In addition, (i) Mr. Alpert may be deemed to beneficially own 425,093 shares of Class A common stock issuable upon exercise of exercisable stock options; and (ii) Mr. Webb may be deemed to beneficially own 425,093 shares of Class A common stock issuable upon exercise of exercisable stock options. However, each Reporting Person declares that neither the filing of this Schedule 13D nor anything herein shall be construed as an admission that such person is, for the purposes of Section 13(d) or 13(g) of the Exchange Act of 1934, as amended, the beneficial owner of any securities or rights to acquire securities directly held by any other Reporting Person covered by this Schedule 13D.</w:t>
      </w:r>
    </w:p>
    <w:p>
      <w:pPr>
        <w:spacing w:after="0" w:line="17"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subsection (a) of this Item 5 is incorporated by reference herein.</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herein and on Appendix A attached as Exhibit 9 to this Schedule 13D, none of the Reporting</w:t>
      </w:r>
    </w:p>
    <w:p>
      <w:pPr>
        <w:spacing w:after="0" w:line="14" w:lineRule="exact"/>
        <w:rPr>
          <w:rFonts w:ascii="Times New Roman" w:cs="Times New Roman" w:eastAsia="Times New Roman" w:hAnsi="Times New Roman"/>
          <w:sz w:val="22"/>
          <w:szCs w:val="22"/>
          <w:color w:val="auto"/>
        </w:rPr>
      </w:pPr>
    </w:p>
    <w:p>
      <w:pPr>
        <w:ind w:left="920" w:right="180" w:hanging="912"/>
        <w:spacing w:after="0" w:line="237"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have effected any transactions with respect to shares of Class A common stock or Class B common stock of the Issuer during the past 60 days or since the filing of the Original Schedule 13D, whichever is less.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 person other than the Reporting Persons is known to have the right to receive, or the power to direct the receipt of</w:t>
      </w:r>
    </w:p>
    <w:p>
      <w:pPr>
        <w:spacing w:after="0" w:line="25" w:lineRule="exact"/>
        <w:rPr>
          <w:rFonts w:ascii="Times New Roman" w:cs="Times New Roman" w:eastAsia="Times New Roman" w:hAnsi="Times New Roman"/>
          <w:sz w:val="22"/>
          <w:szCs w:val="22"/>
          <w:color w:val="auto"/>
        </w:rPr>
      </w:pPr>
    </w:p>
    <w:p>
      <w:pPr>
        <w:ind w:left="920" w:right="680" w:hanging="912"/>
        <w:spacing w:after="0" w:line="237" w:lineRule="auto"/>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from, or proceeds from the sale of, the shares of the Class A common stock of the Issuer held by the Reporting Persons.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40"/>
        <w:spacing w:after="0" w:line="258" w:lineRule="auto"/>
        <w:rPr>
          <w:sz w:val="20"/>
          <w:szCs w:val="20"/>
          <w:color w:val="auto"/>
        </w:rPr>
      </w:pPr>
      <w:r>
        <w:rPr>
          <w:rFonts w:ascii="Times New Roman" w:cs="Times New Roman" w:eastAsia="Times New Roman" w:hAnsi="Times New Roman"/>
          <w:sz w:val="22"/>
          <w:szCs w:val="22"/>
          <w:color w:val="auto"/>
        </w:rPr>
        <w:t>Item 7 of the Original Schedule 13D is hereby amended as follows: Exhibit No. Name 9. Appendix A - Schedule of Transactions for Item 5(c)</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210 Capital,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210/P10 Acquisition Partners,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5"/>
          <w:szCs w:val="35"/>
          <w:color w:val="auto"/>
          <w:vertAlign w:val="subscript"/>
        </w:rPr>
        <w:t>Name/Title:</w:t>
      </w:r>
      <w:r>
        <w:rPr>
          <w:rFonts w:ascii="Times New Roman" w:cs="Times New Roman" w:eastAsia="Times New Roman" w:hAnsi="Times New Roman"/>
          <w:sz w:val="19"/>
          <w:szCs w:val="19"/>
          <w:color w:val="auto"/>
        </w:rPr>
        <w:t xml:space="preserve"> Authorized</w:t>
      </w:r>
      <w:r>
        <w:rPr>
          <w:rFonts w:ascii="Times New Roman" w:cs="Times New Roman" w:eastAsia="Times New Roman" w:hAnsi="Times New Roman"/>
          <w:sz w:val="35"/>
          <w:szCs w:val="35"/>
          <w:color w:val="auto"/>
          <w:vertAlign w:val="subscript"/>
        </w:rPr>
        <w:t>Member</w:t>
      </w:r>
      <w:r>
        <w:rPr>
          <w:rFonts w:ascii="Times New Roman" w:cs="Times New Roman" w:eastAsia="Times New Roman" w:hAnsi="Times New Roman"/>
          <w:sz w:val="19"/>
          <w:szCs w:val="19"/>
          <w:color w:val="auto"/>
        </w:rPr>
        <w:t xml:space="preserve"> Signatory of 210 Capital, LLC, its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ectPr>
          <w:pgSz w:w="11900" w:h="16838" w:orient="portrait"/>
          <w:cols w:equalWidth="0" w:num="1">
            <w:col w:w="11160"/>
          </w:cols>
          <w:pgMar w:left="360" w:top="355" w:right="379" w:bottom="0" w:gutter="0" w:footer="0" w:header="0"/>
        </w:sectPr>
      </w:pPr>
    </w:p>
    <w:bookmarkStart w:id="8" w:name="page9"/>
    <w:bookmarkEnd w:id="8"/>
    <w:p>
      <w:pPr>
        <w:ind w:left="1500"/>
        <w:spacing w:after="0"/>
        <w:rPr>
          <w:sz w:val="20"/>
          <w:szCs w:val="20"/>
          <w:color w:val="auto"/>
        </w:rPr>
      </w:pPr>
      <w:r>
        <w:rPr>
          <w:rFonts w:ascii="Times New Roman" w:cs="Times New Roman" w:eastAsia="Times New Roman" w:hAnsi="Times New Roman"/>
          <w:sz w:val="22"/>
          <w:szCs w:val="22"/>
          <w:color w:val="auto"/>
        </w:rPr>
        <w:t>CCW/LAW Holdings, LLC</w:t>
      </w:r>
    </w:p>
    <w:p>
      <w:pPr>
        <w:spacing w:after="0" w:line="153"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 Clark Webb</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Covenant RHA Partners,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29" w:lineRule="exact"/>
        <w:rPr>
          <w:sz w:val="20"/>
          <w:szCs w:val="20"/>
          <w:color w:val="auto"/>
        </w:rPr>
      </w:pPr>
    </w:p>
    <w:p>
      <w:pPr>
        <w:ind w:left="56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Authorized Signatory of RHA Investments, Inc., its Member</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RHA Investments, Inc.</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Robert Alpert</w:t>
      </w:r>
    </w:p>
    <w:p>
      <w:pPr>
        <w:spacing w:after="0" w:line="152" w:lineRule="exact"/>
        <w:rPr>
          <w:sz w:val="20"/>
          <w:szCs w:val="20"/>
          <w:color w:val="auto"/>
        </w:rPr>
      </w:pPr>
    </w:p>
    <w:p>
      <w:pPr>
        <w:ind w:left="1660"/>
        <w:spacing w:after="0"/>
        <w:tabs>
          <w:tab w:leader="none" w:pos="2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Alpert</w:t>
      </w:r>
    </w:p>
    <w:p>
      <w:pPr>
        <w:spacing w:after="0" w:line="4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Name/Title: Robert Alpert</w:t>
      </w:r>
    </w:p>
    <w:p>
      <w:pPr>
        <w:spacing w:after="0" w:line="44" w:lineRule="exact"/>
        <w:rPr>
          <w:sz w:val="20"/>
          <w:szCs w:val="20"/>
          <w:color w:val="auto"/>
        </w:rPr>
      </w:pPr>
    </w:p>
    <w:p>
      <w:pPr>
        <w:ind w:left="1660"/>
        <w:spacing w:after="0"/>
        <w:tabs>
          <w:tab w:leader="none" w:pos="2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C. Clark Webb</w:t>
      </w:r>
    </w:p>
    <w:p>
      <w:pPr>
        <w:spacing w:after="0" w:line="152"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 Clark Webb</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Name/Title: C. Clark Webb</w:t>
      </w:r>
    </w:p>
    <w:p>
      <w:pPr>
        <w:spacing w:after="0" w:line="44" w:lineRule="exact"/>
        <w:rPr>
          <w:sz w:val="20"/>
          <w:szCs w:val="20"/>
          <w:color w:val="auto"/>
        </w:rPr>
      </w:pPr>
    </w:p>
    <w:p>
      <w:pPr>
        <w:ind w:left="1760"/>
        <w:spacing w:after="0"/>
        <w:tabs>
          <w:tab w:leader="none" w:pos="2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sectPr>
      <w:pgSz w:w="11900" w:h="16838" w:orient="portrait"/>
      <w:cols w:equalWidth="0" w:num="1">
        <w:col w:w="9860"/>
      </w:cols>
      <w:pgMar w:left="1440" w:top="11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6"/>
      <w:numFmt w:val="bullet"/>
      <w:start w:val="1"/>
    </w:lvl>
  </w:abstractNum>
  <w:abstractNum w:abstractNumId="5">
    <w:nsid w:val="1F16E9E8"/>
    <w:multiLevelType w:val="hybridMultilevel"/>
    <w:lvl w:ilvl="0">
      <w:lvlJc w:val="left"/>
      <w:lvlText w:val="2"/>
      <w:numFmt w:val="bullet"/>
      <w:start w:val="1"/>
    </w:lvl>
  </w:abstractNum>
  <w:abstractNum w:abstractNumId="6">
    <w:nsid w:val="1190CDE7"/>
    <w:multiLevelType w:val="hybridMultilevel"/>
    <w:lvl w:ilvl="0">
      <w:lvlJc w:val="left"/>
      <w:lvlText w:val="3"/>
      <w:numFmt w:val="bullet"/>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2"/>
      <w:numFmt w:val="bullet"/>
      <w:start w:val="1"/>
    </w:lvl>
  </w:abstractNum>
  <w:abstractNum w:abstractNumId="11">
    <w:nsid w:val="DED7263"/>
    <w:multiLevelType w:val="hybridMultilevel"/>
    <w:lvl w:ilvl="0">
      <w:lvlJc w:val="left"/>
      <w:lvlText w:val="3"/>
      <w:numFmt w:val="bullet"/>
      <w:start w:val="1"/>
    </w:lvl>
  </w:abstractNum>
  <w:abstractNum w:abstractNumId="12">
    <w:nsid w:val="7FDCC233"/>
    <w:multiLevelType w:val="hybridMultilevel"/>
    <w:lvl w:ilvl="0">
      <w:lvlJc w:val="left"/>
      <w:lvlText w:val="2"/>
      <w:numFmt w:val="bullet"/>
      <w:start w:val="1"/>
    </w:lvl>
  </w:abstractNum>
  <w:abstractNum w:abstractNumId="13">
    <w:nsid w:val="1BEFD79F"/>
    <w:multiLevelType w:val="hybridMultilevel"/>
    <w:lvl w:ilvl="0">
      <w:lvlJc w:val="left"/>
      <w:lvlText w:val="3"/>
      <w:numFmt w:val="bullet"/>
      <w:start w:val="1"/>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2025-01-23T16:49:55Z</dcterms:created>
  <dcterms:modified xsi:type="dcterms:W3CDTF">2025-01-23T16:49:55Z</dcterms:modified>
</cp:coreProperties>
</file>