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Active Power, Inc.</w:t>
      </w:r>
    </w:p>
    <w:p>
      <w:pPr>
        <w:jc w:val="center"/>
        <w:ind w:right="15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779" w:hanging="5"/>
        <w:spacing w:after="0" w:line="235" w:lineRule="auto"/>
        <w:tabs>
          <w:tab w:leader="none" w:pos="7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 /X/ Rule 13d-1(c)</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4"/>
          <w:szCs w:val="24"/>
          <w:color w:val="auto"/>
        </w:rPr>
      </w:pPr>
    </w:p>
    <w:p>
      <w:pPr>
        <w:ind w:right="7059" w:firstLine="8"/>
        <w:spacing w:after="0" w:line="470"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Investments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4"/>
          <w:szCs w:val="24"/>
          <w:color w:val="auto"/>
        </w:rPr>
      </w:pPr>
    </w:p>
    <w:p>
      <w:pPr>
        <w:ind w:left="1900" w:hanging="417"/>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3,283,173</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3,283,173</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3,283,173</w:t>
      </w:r>
    </w:p>
    <w:p>
      <w:pPr>
        <w:spacing w:after="0" w:line="6" w:lineRule="exact"/>
        <w:rPr>
          <w:sz w:val="24"/>
          <w:szCs w:val="24"/>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244"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Services LLC (1)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3,283,173</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3,283,173</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3,283,173</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87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HBK Investments L.P. has delegated discretion to vote and dispose of the Securities to HBK Services LLC ("Services"). Services may, from time to time, delegate discretion to vote and dispose of certain of the Securities to HBK New York LLC, a Delaware limited liability company, HBK Virginia LLC, a Delaware limited liability company, HBK Europe Management LLP, a limited liability partnership organized under the laws of the United Kingdom, and/or HBK Hong Kong Ltd., a corporation organized under the laws of Hong Kong (collectively, the "Subadvisors"). Each of Services</w:t>
      </w:r>
    </w:p>
    <w:p>
      <w:pPr>
        <w:spacing w:after="0" w:line="1" w:lineRule="exact"/>
        <w:rPr>
          <w:rFonts w:ascii="Courier New" w:cs="Courier New" w:eastAsia="Courier New" w:hAnsi="Courier New"/>
          <w:sz w:val="16"/>
          <w:szCs w:val="16"/>
          <w:color w:val="auto"/>
        </w:rPr>
      </w:pPr>
    </w:p>
    <w:p>
      <w:pPr>
        <w:ind w:left="5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 Subadvisors is under common control with HBK Investments L.P. The Subadvisors expressly declare that the filing of this statement on Schedule 13G shall not be construed as an admission that they are, for the purpose of Section 13(d) or 13(g) of the Securities Exchange Act of 1934, beneficial owners of the Securities.</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Partners II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3,283,173</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3,283,173</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3,283,173</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Management LLC</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3,283,173</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3,283,173</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3,283,173</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00504W100</w:t>
      </w:r>
    </w:p>
    <w:p>
      <w:pPr>
        <w:spacing w:after="0" w:line="207" w:lineRule="exact"/>
        <w:rPr>
          <w:sz w:val="20"/>
          <w:szCs w:val="20"/>
          <w:color w:val="auto"/>
        </w:rPr>
      </w:pPr>
    </w:p>
    <w:p>
      <w:pPr>
        <w:ind w:right="7059" w:firstLine="8"/>
        <w:spacing w:after="0" w:line="470"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 HBK Master Fund L.P.</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sz w:val="20"/>
          <w:szCs w:val="20"/>
          <w:color w:val="auto"/>
        </w:rPr>
      </w:pPr>
    </w:p>
    <w:p>
      <w:pPr>
        <w:ind w:left="1900" w:hanging="417"/>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rPr>
          <w:sz w:val="20"/>
          <w:szCs w:val="20"/>
          <w:color w:val="auto"/>
        </w:rPr>
      </w:pPr>
      <w:r>
        <w:rPr>
          <w:rFonts w:ascii="Courier New" w:cs="Courier New" w:eastAsia="Courier New" w:hAnsi="Courier New"/>
          <w:sz w:val="18"/>
          <w:szCs w:val="18"/>
          <w:color w:val="auto"/>
        </w:rPr>
        <w:t>Shares</w:t>
      </w:r>
    </w:p>
    <w:p>
      <w:pPr>
        <w:spacing w:after="0"/>
        <w:tabs>
          <w:tab w:leader="none" w:pos="1460" w:val="left"/>
          <w:tab w:leader="none" w:pos="1880" w:val="left"/>
          <w:tab w:leader="none" w:pos="4200" w:val="left"/>
        </w:tabs>
        <w:rPr>
          <w:sz w:val="20"/>
          <w:szCs w:val="20"/>
          <w:color w:val="auto"/>
        </w:rPr>
      </w:pPr>
      <w:r>
        <w:rPr>
          <w:rFonts w:ascii="Courier New" w:cs="Courier New" w:eastAsia="Courier New" w:hAnsi="Courier New"/>
          <w:sz w:val="18"/>
          <w:szCs w:val="18"/>
          <w:color w:val="auto"/>
        </w:rPr>
        <w:t>Beneficially</w:t>
        <w:tab/>
        <w:t>6.</w:t>
        <w:tab/>
        <w:t>Shared Voting Power:</w:t>
      </w:r>
      <w:r>
        <w:rPr>
          <w:sz w:val="20"/>
          <w:szCs w:val="20"/>
          <w:color w:val="auto"/>
        </w:rPr>
        <w:tab/>
      </w:r>
      <w:r>
        <w:rPr>
          <w:rFonts w:ascii="Courier New" w:cs="Courier New" w:eastAsia="Courier New" w:hAnsi="Courier New"/>
          <w:sz w:val="16"/>
          <w:szCs w:val="16"/>
          <w:color w:val="auto"/>
        </w:rPr>
        <w:t>3,283,173</w:t>
      </w:r>
    </w:p>
    <w:p>
      <w:pPr>
        <w:spacing w:after="0" w:line="238" w:lineRule="auto"/>
        <w:rPr>
          <w:sz w:val="20"/>
          <w:szCs w:val="20"/>
          <w:color w:val="auto"/>
        </w:rPr>
      </w:pPr>
      <w:r>
        <w:rPr>
          <w:rFonts w:ascii="Courier New" w:cs="Courier New" w:eastAsia="Courier New" w:hAnsi="Courier New"/>
          <w:sz w:val="18"/>
          <w:szCs w:val="18"/>
          <w:color w:val="auto"/>
        </w:rPr>
        <w:t>Owned By</w:t>
      </w:r>
    </w:p>
    <w:p>
      <w:pPr>
        <w:spacing w:after="0"/>
        <w:rPr>
          <w:sz w:val="20"/>
          <w:szCs w:val="20"/>
          <w:color w:val="auto"/>
        </w:rPr>
      </w:pPr>
      <w:r>
        <w:rPr>
          <w:rFonts w:ascii="Courier New" w:cs="Courier New" w:eastAsia="Courier New" w:hAnsi="Courier New"/>
          <w:sz w:val="18"/>
          <w:szCs w:val="18"/>
          <w:color w:val="auto"/>
        </w:rPr>
        <w:t>Each</w:t>
      </w:r>
    </w:p>
    <w:p>
      <w:pPr>
        <w:spacing w:after="0"/>
        <w:tabs>
          <w:tab w:leader="none" w:pos="1460" w:val="left"/>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 0</w:t>
      </w:r>
    </w:p>
    <w:p>
      <w:pPr>
        <w:spacing w:after="0"/>
        <w:rPr>
          <w:sz w:val="20"/>
          <w:szCs w:val="20"/>
          <w:color w:val="auto"/>
        </w:rPr>
      </w:pPr>
      <w:r>
        <w:rPr>
          <w:rFonts w:ascii="Courier New" w:cs="Courier New" w:eastAsia="Courier New" w:hAnsi="Courier New"/>
          <w:sz w:val="18"/>
          <w:szCs w:val="18"/>
          <w:color w:val="auto"/>
        </w:rPr>
        <w:t>Person</w:t>
      </w:r>
    </w:p>
    <w:p>
      <w:pPr>
        <w:spacing w:after="0" w:line="237" w:lineRule="auto"/>
        <w:rPr>
          <w:sz w:val="20"/>
          <w:szCs w:val="20"/>
          <w:color w:val="auto"/>
        </w:rPr>
      </w:pPr>
      <w:r>
        <w:rPr>
          <w:rFonts w:ascii="Courier New" w:cs="Courier New" w:eastAsia="Courier New" w:hAnsi="Courier New"/>
          <w:sz w:val="18"/>
          <w:szCs w:val="18"/>
          <w:color w:val="auto"/>
        </w:rPr>
        <w:t>With:</w:t>
      </w:r>
    </w:p>
    <w:p>
      <w:pPr>
        <w:ind w:left="1900" w:hanging="417"/>
        <w:spacing w:after="0"/>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3,283,173</w:t>
      </w:r>
    </w:p>
    <w:p>
      <w:pPr>
        <w:spacing w:after="0" w:line="205" w:lineRule="exact"/>
        <w:rPr>
          <w:rFonts w:ascii="Courier New" w:cs="Courier New" w:eastAsia="Courier New" w:hAnsi="Courier New"/>
          <w:sz w:val="18"/>
          <w:szCs w:val="18"/>
          <w:color w:val="auto"/>
        </w:rPr>
      </w:pPr>
    </w:p>
    <w:p>
      <w:pPr>
        <w:ind w:right="3159" w:firstLine="8"/>
        <w:spacing w:after="0" w:line="470"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3,283,173</w:t>
      </w:r>
    </w:p>
    <w:p>
      <w:pPr>
        <w:spacing w:after="0" w:line="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ectPr>
          <w:pgSz w:w="11900" w:h="16838" w:orient="portrait"/>
          <w:cols w:equalWidth="0" w:num="1">
            <w:col w:w="10219"/>
          </w:cols>
          <w:pgMar w:left="240" w:top="1122" w:right="1440" w:bottom="1440" w:gutter="0" w:footer="0" w:header="0"/>
        </w:sectPr>
      </w:pPr>
    </w:p>
    <w:bookmarkStart w:id="5" w:name="page6"/>
    <w:bookmarkEnd w:id="5"/>
    <w:p>
      <w:pPr>
        <w:spacing w:after="0"/>
        <w:tabs>
          <w:tab w:leader="none" w:pos="15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name of the issuer is Active Power, Inc. (the "Issuer").</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principal executive offices of the Issuer are located at 2128 W. Braker Lane, BK12, Austin, Texas 78758</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Names of Persons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13G statement is hereby filed by the persons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w:t>
      </w:r>
    </w:p>
    <w:p>
      <w:pPr>
        <w:spacing w:after="0" w:line="238" w:lineRule="auto"/>
        <w:rPr>
          <w:sz w:val="20"/>
          <w:szCs w:val="20"/>
          <w:color w:val="auto"/>
        </w:rPr>
      </w:pPr>
      <w:r>
        <w:rPr>
          <w:rFonts w:ascii="Courier New" w:cs="Courier New" w:eastAsia="Courier New" w:hAnsi="Courier New"/>
          <w:sz w:val="18"/>
          <w:szCs w:val="18"/>
          <w:color w:val="auto"/>
        </w:rPr>
        <w:t>HBK Services LLC</w:t>
      </w:r>
    </w:p>
    <w:p>
      <w:pPr>
        <w:spacing w:after="0"/>
        <w:rPr>
          <w:sz w:val="20"/>
          <w:szCs w:val="20"/>
          <w:color w:val="auto"/>
        </w:rPr>
      </w:pPr>
      <w:r>
        <w:rPr>
          <w:rFonts w:ascii="Courier New" w:cs="Courier New" w:eastAsia="Courier New" w:hAnsi="Courier New"/>
          <w:sz w:val="18"/>
          <w:szCs w:val="18"/>
          <w:color w:val="auto"/>
        </w:rPr>
        <w:t>HBK Partners II L.P.</w:t>
      </w:r>
    </w:p>
    <w:p>
      <w:pPr>
        <w:spacing w:after="0" w:line="237" w:lineRule="auto"/>
        <w:rPr>
          <w:sz w:val="20"/>
          <w:szCs w:val="20"/>
          <w:color w:val="auto"/>
        </w:rPr>
      </w:pPr>
      <w:r>
        <w:rPr>
          <w:rFonts w:ascii="Courier New" w:cs="Courier New" w:eastAsia="Courier New" w:hAnsi="Courier New"/>
          <w:sz w:val="18"/>
          <w:szCs w:val="18"/>
          <w:color w:val="auto"/>
        </w:rPr>
        <w:t>HBK Management LLC</w:t>
      </w:r>
    </w:p>
    <w:p>
      <w:pPr>
        <w:spacing w:after="0" w:line="238" w:lineRule="auto"/>
        <w:rPr>
          <w:sz w:val="20"/>
          <w:szCs w:val="20"/>
          <w:color w:val="auto"/>
        </w:rPr>
      </w:pPr>
      <w:r>
        <w:rPr>
          <w:rFonts w:ascii="Courier New" w:cs="Courier New" w:eastAsia="Courier New" w:hAnsi="Courier New"/>
          <w:sz w:val="18"/>
          <w:szCs w:val="18"/>
          <w:color w:val="auto"/>
        </w:rPr>
        <w:t>HBK Master Fund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address of the principal business office for each Reporting Person is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300 Crescent Court, Suite 700, Dallas, Texas 75201.</w:t>
      </w:r>
    </w:p>
    <w:p>
      <w:pPr>
        <w:spacing w:after="0" w:line="238" w:lineRule="auto"/>
        <w:rPr>
          <w:sz w:val="20"/>
          <w:szCs w:val="20"/>
          <w:color w:val="auto"/>
        </w:rPr>
      </w:pPr>
      <w:r>
        <w:rPr>
          <w:rFonts w:ascii="Courier New" w:cs="Courier New" w:eastAsia="Courier New" w:hAnsi="Courier New"/>
          <w:sz w:val="18"/>
          <w:szCs w:val="18"/>
          <w:color w:val="auto"/>
        </w:rPr>
        <w:t>HBK Services LLC: 300 Crescent Court, Suite 700, Dallas, Texas 75201.</w:t>
      </w:r>
    </w:p>
    <w:p>
      <w:pPr>
        <w:spacing w:after="0"/>
        <w:rPr>
          <w:sz w:val="20"/>
          <w:szCs w:val="20"/>
          <w:color w:val="auto"/>
        </w:rPr>
      </w:pPr>
      <w:r>
        <w:rPr>
          <w:rFonts w:ascii="Courier New" w:cs="Courier New" w:eastAsia="Courier New" w:hAnsi="Courier New"/>
          <w:sz w:val="18"/>
          <w:szCs w:val="18"/>
          <w:color w:val="auto"/>
        </w:rPr>
        <w:t>HBK Partners II L.P.: 300 Crescent Court, Suite 700, Dallas, Texas 75201.</w:t>
      </w:r>
    </w:p>
    <w:p>
      <w:pPr>
        <w:spacing w:after="0" w:line="3"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HBK Management LLC: 300 Crescent Court, Suite 700, Dallas, Texas 75201. HBK Master Fund L.P.: c/o HBK Services LLC, 300 Crescent Court, Suite 700, Dallas, Texas 75201.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HBK Investments L.P. is a Delaware limited partnership.</w:t>
      </w:r>
    </w:p>
    <w:p>
      <w:pPr>
        <w:spacing w:after="0" w:line="238" w:lineRule="auto"/>
        <w:rPr>
          <w:sz w:val="20"/>
          <w:szCs w:val="20"/>
          <w:color w:val="auto"/>
        </w:rPr>
      </w:pPr>
      <w:r>
        <w:rPr>
          <w:rFonts w:ascii="Courier New" w:cs="Courier New" w:eastAsia="Courier New" w:hAnsi="Courier New"/>
          <w:sz w:val="18"/>
          <w:szCs w:val="18"/>
          <w:color w:val="auto"/>
        </w:rPr>
        <w:t>HBK Services LLC is a Delaware limited liability company.</w:t>
      </w:r>
    </w:p>
    <w:p>
      <w:pPr>
        <w:spacing w:after="0"/>
        <w:rPr>
          <w:sz w:val="20"/>
          <w:szCs w:val="20"/>
          <w:color w:val="auto"/>
        </w:rPr>
      </w:pPr>
      <w:r>
        <w:rPr>
          <w:rFonts w:ascii="Courier New" w:cs="Courier New" w:eastAsia="Courier New" w:hAnsi="Courier New"/>
          <w:sz w:val="18"/>
          <w:szCs w:val="18"/>
          <w:color w:val="auto"/>
        </w:rPr>
        <w:t>HBK Partners II L.P. is a Delaware limited partnership.</w:t>
      </w:r>
    </w:p>
    <w:p>
      <w:pPr>
        <w:spacing w:after="0" w:line="237" w:lineRule="auto"/>
        <w:rPr>
          <w:sz w:val="20"/>
          <w:szCs w:val="20"/>
          <w:color w:val="auto"/>
        </w:rPr>
      </w:pPr>
      <w:r>
        <w:rPr>
          <w:rFonts w:ascii="Courier New" w:cs="Courier New" w:eastAsia="Courier New" w:hAnsi="Courier New"/>
          <w:sz w:val="18"/>
          <w:szCs w:val="18"/>
          <w:color w:val="auto"/>
        </w:rPr>
        <w:t>HBK Management LLC is a Delaware limited liability company.</w:t>
      </w:r>
    </w:p>
    <w:p>
      <w:pPr>
        <w:spacing w:after="0" w:line="238" w:lineRule="auto"/>
        <w:rPr>
          <w:sz w:val="20"/>
          <w:szCs w:val="20"/>
          <w:color w:val="auto"/>
        </w:rPr>
      </w:pPr>
      <w:r>
        <w:rPr>
          <w:rFonts w:ascii="Courier New" w:cs="Courier New" w:eastAsia="Courier New" w:hAnsi="Courier New"/>
          <w:sz w:val="18"/>
          <w:szCs w:val="18"/>
          <w:color w:val="auto"/>
        </w:rPr>
        <w:t>HBK Master Fund L.P. is a Cayman Islands limited partnership.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statement relates to the Common Stock of the Issuer (the "Securities").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CUSIP number of the Securities is 00504W100.</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3. If this statement is filed pursuant to Sections 240.13d-1(b) or 240.13d-2(b) or (c),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78c).</w:t>
      </w:r>
    </w:p>
    <w:p>
      <w:pPr>
        <w:spacing w:after="0" w:line="207"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w:t>
      </w:r>
    </w:p>
    <w:p>
      <w:pPr>
        <w:spacing w:after="0" w:line="238" w:lineRule="auto"/>
        <w:rPr>
          <w:sz w:val="20"/>
          <w:szCs w:val="20"/>
          <w:color w:val="auto"/>
        </w:rPr>
      </w:pPr>
      <w:r>
        <w:rPr>
          <w:rFonts w:ascii="Courier New" w:cs="Courier New" w:eastAsia="Courier New" w:hAnsi="Courier New"/>
          <w:sz w:val="18"/>
          <w:szCs w:val="18"/>
          <w:color w:val="auto"/>
        </w:rPr>
        <w:t>1(b)(1)(ii)(E).</w:t>
      </w:r>
    </w:p>
    <w:p>
      <w:pPr>
        <w:spacing w:after="0" w:line="207"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240.13d-1(b)(1)(ii)(F).</w:t>
      </w:r>
    </w:p>
    <w:p>
      <w:pPr>
        <w:spacing w:after="0" w:line="207"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240.13d-1(b)(1)(ii)(G).</w:t>
      </w:r>
    </w:p>
    <w:p>
      <w:pPr>
        <w:spacing w:after="0" w:line="207" w:lineRule="exact"/>
        <w:rPr>
          <w:rFonts w:ascii="Courier New" w:cs="Courier New" w:eastAsia="Courier New" w:hAnsi="Courier New"/>
          <w:sz w:val="16"/>
          <w:szCs w:val="16"/>
          <w:color w:val="auto"/>
        </w:rPr>
      </w:pPr>
    </w:p>
    <w:p>
      <w:pPr>
        <w:ind w:right="2519" w:firstLine="8"/>
        <w:spacing w:after="0" w:line="235"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ectPr>
          <w:pgSz w:w="11900" w:h="16838" w:orient="portrait"/>
          <w:cols w:equalWidth="0" w:num="1">
            <w:col w:w="10219"/>
          </w:cols>
          <w:pgMar w:left="240" w:top="919" w:right="1440" w:bottom="0" w:gutter="0" w:footer="0" w:header="0"/>
        </w:sectPr>
      </w:pPr>
    </w:p>
    <w:bookmarkStart w:id="6" w:name="page7"/>
    <w:bookmarkEnd w:id="6"/>
    <w:p>
      <w:pPr>
        <w:ind w:right="3259" w:firstLine="8"/>
        <w:spacing w:after="0" w:line="470"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Item 4. Ownership.</w:t>
      </w:r>
    </w:p>
    <w:p>
      <w:pPr>
        <w:spacing w:after="0" w:line="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Ownership is incorporated by reference to items 5-9 and 11 of the cover page of each Reporting Person.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percentage disclosed in item 11 of the cover page of each Reporting Person is calculated based upon 60,371,311 shares of common stock issued and outstanding as reported in the Issuer's Form 10-Q filed with the Securities and Exchange Commission on October 29, 2007.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Jamiel A. Akhtar, Richard L. Booth, David C. Haley, Lawrence H. Lebowitz, and William E. Rose are each managing members (collectively, the "Members") of HBK Management LLC. The Members expressly declare that the filing of this statement on Schedule 13G shall not be construed as an admission that they are, for the purpose of Section 13(d) or 13(g) of the Securities Exchange Act of 1934, beneficial owners of the Securities.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7" w:name="page8"/>
    <w:bookmarkEnd w:id="7"/>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DATED: February 1, 2008</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INVESTMENTS L.P.</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SERVICES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PARTNERS II L.P.</w:t>
      </w:r>
    </w:p>
    <w:p>
      <w:pPr>
        <w:ind w:left="4640"/>
        <w:spacing w:after="0" w:line="238" w:lineRule="auto"/>
        <w:rPr>
          <w:sz w:val="20"/>
          <w:szCs w:val="20"/>
          <w:color w:val="auto"/>
        </w:rPr>
      </w:pPr>
      <w:r>
        <w:rPr>
          <w:rFonts w:ascii="Courier New" w:cs="Courier New" w:eastAsia="Courier New" w:hAnsi="Courier New"/>
          <w:sz w:val="18"/>
          <w:szCs w:val="18"/>
          <w:color w:val="auto"/>
        </w:rPr>
        <w:t>By: HBK Management LLC</w:t>
      </w:r>
    </w:p>
    <w:p>
      <w:pPr>
        <w:ind w:left="5060"/>
        <w:spacing w:after="0"/>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MANAGEMENT LLC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HBK MASTER FUND L.P.</w:t>
      </w:r>
    </w:p>
    <w:p>
      <w:pPr>
        <w:ind w:left="4640"/>
        <w:spacing w:after="0" w:line="238" w:lineRule="auto"/>
        <w:tabs>
          <w:tab w:leader="none" w:pos="5140" w:val="left"/>
        </w:tabs>
        <w:rPr>
          <w:sz w:val="20"/>
          <w:szCs w:val="20"/>
          <w:color w:val="auto"/>
        </w:rPr>
      </w:pPr>
      <w:r>
        <w:rPr>
          <w:rFonts w:ascii="Courier New" w:cs="Courier New" w:eastAsia="Courier New" w:hAnsi="Courier New"/>
          <w:sz w:val="18"/>
          <w:szCs w:val="18"/>
          <w:color w:val="auto"/>
        </w:rPr>
        <w:t>By:</w:t>
        <w:tab/>
        <w:t>HBK Services LLC</w:t>
      </w:r>
    </w:p>
    <w:p>
      <w:pPr>
        <w:ind w:left="5160"/>
        <w:spacing w:after="0"/>
        <w:rPr>
          <w:sz w:val="20"/>
          <w:szCs w:val="20"/>
          <w:color w:val="auto"/>
        </w:rPr>
      </w:pPr>
      <w:r>
        <w:rPr>
          <w:rFonts w:ascii="Courier New" w:cs="Courier New" w:eastAsia="Courier New" w:hAnsi="Courier New"/>
          <w:sz w:val="18"/>
          <w:szCs w:val="18"/>
          <w:color w:val="auto"/>
        </w:rPr>
        <w:t>Investment Advisor</w:t>
      </w:r>
    </w:p>
    <w:p>
      <w:pPr>
        <w:spacing w:after="0" w:line="200"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Jon L. Mosle</w:t>
      </w:r>
    </w:p>
    <w:p>
      <w:pPr>
        <w:ind w:left="5160"/>
        <w:spacing w:after="0" w:line="238" w:lineRule="auto"/>
        <w:rPr>
          <w:sz w:val="20"/>
          <w:szCs w:val="20"/>
          <w:color w:val="auto"/>
        </w:rPr>
      </w:pPr>
      <w:r>
        <w:rPr>
          <w:rFonts w:ascii="Courier New" w:cs="Courier New" w:eastAsia="Courier New" w:hAnsi="Courier New"/>
          <w:sz w:val="18"/>
          <w:szCs w:val="18"/>
          <w:color w:val="auto"/>
        </w:rPr>
        <w:t>Jon L. Mosle</w:t>
      </w:r>
    </w:p>
    <w:p>
      <w:pPr>
        <w:ind w:left="5160"/>
        <w:spacing w:after="0"/>
        <w:rPr>
          <w:sz w:val="20"/>
          <w:szCs w:val="20"/>
          <w:color w:val="auto"/>
        </w:rPr>
      </w:pPr>
      <w:r>
        <w:rPr>
          <w:rFonts w:ascii="Courier New" w:cs="Courier New" w:eastAsia="Courier New" w:hAnsi="Courier New"/>
          <w:sz w:val="18"/>
          <w:szCs w:val="18"/>
          <w:color w:val="auto"/>
        </w:rPr>
        <w:t>Authorized Signatory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8"/>
        <w:spacing w:after="0" w:line="235"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Authorization Certificate authorizing Jon L. Mosle to act on behalf of each Reporting Person was previously filed.</w:t>
      </w:r>
    </w:p>
    <w:p>
      <w:pPr>
        <w:sectPr>
          <w:pgSz w:w="11900" w:h="16838" w:orient="portrait"/>
          <w:cols w:equalWidth="0" w:num="1">
            <w:col w:w="10219"/>
          </w:cols>
          <w:pgMar w:left="240" w:top="1122"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abstractNum>
  <w:abstractNum w:abstractNumId="2">
    <w:nsid w:val="25E45D32"/>
    <w:multiLevelType w:val="hybridMultilevel"/>
    <w:lvl w:ilvl="0">
      <w:lvlJc w:val="left"/>
      <w:lvlText w:val="%1."/>
      <w:numFmt w:val="decimal"/>
      <w:start w:val="5"/>
    </w:lvl>
  </w:abstractNum>
  <w:abstractNum w:abstractNumId="3">
    <w:nsid w:val="519B500D"/>
    <w:multiLevelType w:val="hybridMultilevel"/>
    <w:lvl w:ilvl="0">
      <w:lvlJc w:val="left"/>
      <w:lvlText w:val="%1"/>
      <w:numFmt w:val="decimal"/>
      <w:start w:val="1"/>
    </w:lvl>
    <w:lvl w:ilvl="1">
      <w:lvlJc w:val="left"/>
      <w:lvlText w:val="%2."/>
      <w:numFmt w:val="decimal"/>
      <w:start w:val="8"/>
    </w:lvl>
  </w:abstractNum>
  <w:abstractNum w:abstractNumId="4">
    <w:nsid w:val="431BD7B7"/>
    <w:multiLevelType w:val="hybridMultilevel"/>
    <w:lvl w:ilvl="0">
      <w:lvlJc w:val="left"/>
      <w:lvlText w:val="%1."/>
      <w:numFmt w:val="decimal"/>
      <w:start w:val="9"/>
    </w:lvl>
    <w:lvl w:ilvl="1">
      <w:lvlJc w:val="left"/>
      <w:lvlText w:val="%2"/>
      <w:numFmt w:val="decimal"/>
      <w:start w:val="1"/>
    </w:lvl>
  </w:abstractNum>
  <w:abstractNum w:abstractNumId="5">
    <w:nsid w:val="3F2DBA31"/>
    <w:multiLevelType w:val="hybridMultilevel"/>
    <w:lvl w:ilvl="0">
      <w:lvlJc w:val="left"/>
      <w:lvlText w:val="%1."/>
      <w:numFmt w:val="decimal"/>
      <w:start w:val="11"/>
    </w:lvl>
  </w:abstractNum>
  <w:abstractNum w:abstractNumId="6">
    <w:nsid w:val="7C83E458"/>
    <w:multiLevelType w:val="hybridMultilevel"/>
    <w:lvl w:ilvl="0">
      <w:lvlJc w:val="left"/>
      <w:lvlText w:val="%1."/>
      <w:numFmt w:val="decimal"/>
      <w:start w:val="1"/>
    </w:lvl>
    <w:lvl w:ilvl="1">
      <w:lvlJc w:val="left"/>
      <w:lvlText w:val="(%2)"/>
      <w:numFmt w:val="lowerLetter"/>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decimal"/>
      <w:start w:val="1"/>
    </w:lvl>
    <w:lvl w:ilvl="1">
      <w:lvlJc w:val="left"/>
      <w:lvlText w:val="%2."/>
      <w:numFmt w:val="decimal"/>
      <w:start w:val="8"/>
    </w:lvl>
  </w:abstractNum>
  <w:abstractNum w:abstractNumId="9">
    <w:nsid w:val="436C6125"/>
    <w:multiLevelType w:val="hybridMultilevel"/>
    <w:lvl w:ilvl="0">
      <w:lvlJc w:val="left"/>
      <w:lvlText w:val="%1."/>
      <w:numFmt w:val="decimal"/>
      <w:start w:val="9"/>
    </w:lvl>
    <w:lvl w:ilvl="1">
      <w:lvlJc w:val="left"/>
      <w:lvlText w:val="%2"/>
      <w:numFmt w:val="decimal"/>
      <w:start w:val="1"/>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lvl w:ilvl="1">
      <w:lvlJc w:val="left"/>
      <w:lvlText w:val="(%2)"/>
      <w:numFmt w:val="lowerLetter"/>
      <w:start w:val="1"/>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1"/>
      <w:numFmt w:val="decimal"/>
      <w:start w:val="1"/>
    </w:lvl>
    <w:lvl w:ilvl="1">
      <w:lvlJc w:val="left"/>
      <w:lvlText w:val="%2."/>
      <w:numFmt w:val="decimal"/>
      <w:start w:val="8"/>
    </w:lvl>
  </w:abstractNum>
  <w:abstractNum w:abstractNumId="15">
    <w:nsid w:val="6763845E"/>
    <w:multiLevelType w:val="hybridMultilevel"/>
    <w:lvl w:ilvl="0">
      <w:lvlJc w:val="left"/>
      <w:lvlText w:val="%1."/>
      <w:numFmt w:val="decimal"/>
      <w:start w:val="9"/>
    </w:lvl>
    <w:lvl w:ilvl="1">
      <w:lvlJc w:val="left"/>
      <w:lvlText w:val="%2"/>
      <w:numFmt w:val="decimal"/>
      <w:start w:val="1"/>
    </w:lvl>
  </w:abstractNum>
  <w:abstractNum w:abstractNumId="16">
    <w:nsid w:val="75A2A8D4"/>
    <w:multiLevelType w:val="hybridMultilevel"/>
    <w:lvl w:ilvl="0">
      <w:lvlJc w:val="left"/>
      <w:lvlText w:val="%1."/>
      <w:numFmt w:val="decimal"/>
      <w:start w:val="11"/>
    </w:lvl>
  </w:abstractNum>
  <w:abstractNum w:abstractNumId="17">
    <w:nsid w:val="8EDBDAB"/>
    <w:multiLevelType w:val="hybridMultilevel"/>
    <w:lvl w:ilvl="0">
      <w:lvlJc w:val="left"/>
      <w:lvlText w:val="%1."/>
      <w:numFmt w:val="decimal"/>
      <w:start w:val="1"/>
    </w:lvl>
    <w:lvl w:ilvl="1">
      <w:lvlJc w:val="left"/>
      <w:lvlText w:val="(%2)"/>
      <w:numFmt w:val="lowerLetter"/>
      <w:start w:val="1"/>
    </w:lvl>
  </w:abstractNum>
  <w:abstractNum w:abstractNumId="18">
    <w:nsid w:val="79838CB2"/>
    <w:multiLevelType w:val="hybridMultilevel"/>
    <w:lvl w:ilvl="0">
      <w:lvlJc w:val="left"/>
      <w:lvlText w:val="%1."/>
      <w:numFmt w:val="decimal"/>
      <w:start w:val="5"/>
    </w:lvl>
  </w:abstractNum>
  <w:abstractNum w:abstractNumId="19">
    <w:nsid w:val="4353D0CD"/>
    <w:multiLevelType w:val="hybridMultilevel"/>
    <w:lvl w:ilvl="0">
      <w:lvlJc w:val="left"/>
      <w:lvlText w:val="%1"/>
      <w:numFmt w:val="decimal"/>
      <w:start w:val="1"/>
    </w:lvl>
    <w:lvl w:ilvl="1">
      <w:lvlJc w:val="left"/>
      <w:lvlText w:val="%2."/>
      <w:numFmt w:val="decimal"/>
      <w:start w:val="8"/>
    </w:lvl>
  </w:abstractNum>
  <w:abstractNum w:abstractNumId="20">
    <w:nsid w:val="B03E0C6"/>
    <w:multiLevelType w:val="hybridMultilevel"/>
    <w:lvl w:ilvl="0">
      <w:lvlJc w:val="left"/>
      <w:lvlText w:val="%1."/>
      <w:numFmt w:val="decimal"/>
      <w:start w:val="9"/>
    </w:lvl>
    <w:lvl w:ilvl="1">
      <w:lvlJc w:val="left"/>
      <w:lvlText w:val="%2"/>
      <w:numFmt w:val="decimal"/>
      <w:start w:val="1"/>
    </w:lvl>
  </w:abstractNum>
  <w:abstractNum w:abstractNumId="21">
    <w:nsid w:val="189A769B"/>
    <w:multiLevelType w:val="hybridMultilevel"/>
    <w:lvl w:ilvl="0">
      <w:lvlJc w:val="left"/>
      <w:lvlText w:val="%1."/>
      <w:numFmt w:val="decimal"/>
      <w:start w:val="1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decimal"/>
      <w:start w:val="1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6"/>
    </w:lvl>
  </w:abstractNum>
  <w:abstractNum w:abstractNumId="29">
    <w:nsid w:val="1E7FF521"/>
    <w:multiLevelType w:val="hybridMultilevel"/>
    <w:lvl w:ilvl="0">
      <w:lvlJc w:val="left"/>
      <w:lvlText w:val="(%1)"/>
      <w:numFmt w:val="lowerLetter"/>
      <w:start w:val="10"/>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2019-12-14T17:57:49Z</dcterms:created>
  <dcterms:modified xsi:type="dcterms:W3CDTF">2019-12-14T17:57:49Z</dcterms:modified>
</cp:coreProperties>
</file>