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December 6, 2007</w:t>
      </w:r>
    </w:p>
    <w:p>
      <w:pPr>
        <w:spacing w:after="0" w:line="1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09"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409" w:right="639" w:bottom="1440" w:gutter="0" w:footer="0" w:header="0"/>
          <w:type w:val="continuous"/>
        </w:sectPr>
      </w:pPr>
    </w:p>
    <w:p>
      <w:pPr>
        <w:spacing w:after="0" w:line="9" w:lineRule="exact"/>
        <w:rPr>
          <w:sz w:val="24"/>
          <w:szCs w:val="24"/>
          <w:color w:val="auto"/>
        </w:r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299720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3">
            <w:col w:w="4340" w:space="720"/>
            <w:col w:w="3280" w:space="720"/>
            <w:col w:w="1960"/>
          </w:cols>
          <w:pgMar w:left="240" w:top="409" w:right="639" w:bottom="1440" w:gutter="0" w:footer="0" w:header="0"/>
          <w:type w:val="continuous"/>
        </w:sectPr>
      </w:pPr>
    </w:p>
    <w:p>
      <w:pPr>
        <w:spacing w:after="0" w:line="28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5.03. Amendments to Articles of Incorporation or Bylaws; Change in Fiscal Year</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a meeting held on December 6, 2007, Active Power, Inc.’s Board of Directors approved the amendment of Article VII, Sections 7.1 and 7.3(a) of Active Power’s Second Amended and Restated Bylaws in order to enable Active Power to comply with Nasdaq Stock Market Marketplace Rule 4350(1) (the “Direct Registration Rule”). The Direct Registration Rule requires Nasdaq-listed securities to be eligible for a direct registration program operated by a clearing agency registered under Section 17A of the Exchange Act on and after January 1, 2008. A direct registration program is a system for book-entry ownership of stock or other securities, in which shares are owned, recorded and transferred electronically without issuance of a physical share certificate. Because Active Power’s Bylaws previously required that each Active Power shareholder was entitled to a physical share certificate, Active Power’s Board of Directors determined that, in order for Active Power to be able to comply with the Direct Registration Rule, it was necessary and appropriate to amend Active Power’s Second Amended and Restated Bylaws to provide Active Power the authority to have uncertificated shares.</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Article VII, Section 7.1 of Active Power’s Second Amended and Restated Bylaws was amended and restated to provide that the Board of Directors may provide by resolution that some or all of any or all of classes or series of Active Power’s stock may be represented by uncertificated shares, and such a resolution would not apply to shares represented by a certificate until it is surrendered. Article VII, Section 7.3(a) was amended to provide that a transfer of stock will require physical surrender of a certificate only if such stock is certificated since in the future shares may be issued in uncertificated form.</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foregoing description is qualified in its entirety by the Amendment to Second Amended and Restated Bylaws, dated December 6, 2007, a copy of which is filed as Exhibit 3.01 to this report, and which is incorporated by reference into this description.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 December 7, 2007, Active Power issued a press release announcing that it had received notification from the United States Securities and Exchange Commission (the “SEC”) that the SEC had completed its investigation into our past stock option granting practices and is not recommending any enforcement action by the SEC against Active Power in connection with such investigation. A copy of the press release is attached hereto as Exhibit 99.1.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color w:val="auto"/>
        </w:rPr>
        <w:t>Amendment to Second Amended and Restated Bylaws, dated December 6, 2007</w:t>
      </w:r>
    </w:p>
    <w:p>
      <w:pPr>
        <w:spacing w:after="0" w:line="212"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7, 2007</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December 7,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3.01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Amendment to Second Amended and Restated Bylaws, dated December 6, 2007</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dated December 7, 2007</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BYLAWS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7.1 of Article VII of the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of Active Power, Inc. (the “</w:t>
      </w:r>
      <w:r>
        <w:rPr>
          <w:rFonts w:ascii="Arial" w:cs="Arial" w:eastAsia="Arial" w:hAnsi="Arial"/>
          <w:sz w:val="18"/>
          <w:szCs w:val="18"/>
          <w:u w:val="single" w:color="auto"/>
          <w:color w:val="auto"/>
        </w:rPr>
        <w:t>Company</w:t>
      </w:r>
      <w:r>
        <w:rPr>
          <w:rFonts w:ascii="Arial" w:cs="Arial" w:eastAsia="Arial" w:hAnsi="Arial"/>
          <w:sz w:val="18"/>
          <w:szCs w:val="18"/>
          <w:color w:val="auto"/>
        </w:rPr>
        <w:t>”), was amended and restated in its entirety by the Company’s Board of Directors on December 6, 2007 to read as follows:</w:t>
      </w:r>
    </w:p>
    <w:p>
      <w:pPr>
        <w:spacing w:after="0" w:line="12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 Section 7.1 Stock Certificates. </w:t>
      </w:r>
      <w:r>
        <w:rPr>
          <w:rFonts w:ascii="Arial" w:cs="Arial" w:eastAsia="Arial" w:hAnsi="Arial"/>
          <w:sz w:val="16"/>
          <w:szCs w:val="16"/>
          <w:color w:val="auto"/>
        </w:rPr>
        <w:t>The shares of the corporation shall be represented by certificates, provided that the Board of Directors may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signed by, or in the name of the corporation buy the Chairman or vice-chairperson of the Board of Directors, or the President or vice-president and by the Secretary or an assistant secretary of the corporation representing the number of shares registered in certificate form. Any or all of the signatures on the certificate may be by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1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7.3(a) of Article VII of the Company’s Bylaws was amended and restated in its entirety by the Company’s Board of Directors on December 6, 2007 to read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Section 7.3 Transfers.</w:t>
      </w:r>
    </w:p>
    <w:p>
      <w:pPr>
        <w:spacing w:after="0" w:line="96" w:lineRule="exact"/>
        <w:rPr>
          <w:sz w:val="20"/>
          <w:szCs w:val="20"/>
          <w:color w:val="auto"/>
        </w:rPr>
      </w:pPr>
    </w:p>
    <w:p>
      <w:pPr>
        <w:ind w:left="460" w:firstLine="969"/>
        <w:spacing w:after="0" w:line="255" w:lineRule="auto"/>
        <w:tabs>
          <w:tab w:leader="none" w:pos="1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Stock of the corporation shall be transferable in the manner prescribed by law and in these Bylaws. Transfers of stock shall be made on the books of the corporation only by the record holder of such stock or by his or her attorney lawfully constituted in writing and, if such stock is certificated, upon the surrender of the certificate therefor, which shall be canceled before a new certificate shall be issued. The Board of Directors shall have the power and authority to make all such other rules and regulations as they may deem expedient concerning the issue, transfer and registration or the replacement of certificates for shares of capital stock of the corporation.”</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58315" cy="36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8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Active Power Receives SEC Notification of Completion of Its Investigation Regarding Stock Option Practices</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8"/>
          <w:szCs w:val="18"/>
          <w:b w:val="1"/>
          <w:bCs w:val="1"/>
          <w:i w:val="1"/>
          <w:iCs w:val="1"/>
          <w:color w:val="auto"/>
        </w:rPr>
        <w:t>No Enforcement Action Recommended</w:t>
      </w:r>
    </w:p>
    <w:p>
      <w:pPr>
        <w:spacing w:after="0" w:line="16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b w:val="1"/>
          <w:bCs w:val="1"/>
          <w:color w:val="auto"/>
        </w:rPr>
        <w:t xml:space="preserve">AUSTIN, Texas (Dec. 7, 2007) </w:t>
      </w:r>
      <w:r>
        <w:rPr>
          <w:rFonts w:ascii="Arial" w:cs="Arial" w:eastAsia="Arial" w:hAnsi="Arial"/>
          <w:sz w:val="18"/>
          <w:szCs w:val="18"/>
          <w:color w:val="auto"/>
        </w:rPr>
        <w:t>– Active Power, Inc. (NASDAQ: ACPW) today announced it has received notification from the staff of the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(the “SEC”) it had completed its investigation into the company’s past stock option granting practices and is not recommending any enforcement action by the Commission.</w:t>
      </w:r>
    </w:p>
    <w:p>
      <w:pPr>
        <w:spacing w:after="0" w:line="13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Active Power announced a self-initiated review of its historical stock option granting practices on Jan. 10, 2007. At that time, the company voluntarily notified the SEC of this review. The investigation was completed and the company announced the results and conclusions in a press release issued on May 14, 2007.</w:t>
      </w:r>
    </w:p>
    <w:p>
      <w:pPr>
        <w:spacing w:after="0" w:line="8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are pleased to have this formal investigation behind us,” said Jim Clishem, president and CEO of Active Power. “We are enthusiastic about focusing our resources and energy on our continued success in growing the business.”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ectPr>
          <w:pgSz w:w="11900" w:h="16838" w:orient="portrait"/>
          <w:cols w:equalWidth="0" w:num="1">
            <w:col w:w="11420"/>
          </w:cols>
          <w:pgMar w:left="240" w:top="125" w:right="2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the Active Power logo, CleanSource and CoolAir are registered trademarks of Active Power, Inc. All other trademarks are the properties of their respective companies.</w:t>
      </w:r>
    </w:p>
    <w:p>
      <w:pPr>
        <w:sectPr>
          <w:pgSz w:w="11900" w:h="16838" w:orient="portrait"/>
          <w:cols w:equalWidth="0" w:num="1">
            <w:col w:w="11200"/>
          </w:cols>
          <w:pgMar w:left="240" w:top="280" w:right="4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5240" w:space="720"/>
        <w:col w:w="5240"/>
      </w:cols>
      <w:pgMar w:left="240" w:top="28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ldblquote"/>
      <w:numFmt w:val="bullet"/>
      <w:start w:val="1"/>
    </w:lvl>
  </w:abstractNum>
  <w:abstractNum w:abstractNumId="3">
    <w:nsid w:val="625558EC"/>
    <w:multiLevelType w:val="hybridMultilevel"/>
    <w:lvl w:ilvl="0">
      <w:lvlJc w:val="left"/>
      <w:lvlText w:val="\ldblquote"/>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2019-12-14T17:10:08Z</dcterms:created>
  <dcterms:modified xsi:type="dcterms:W3CDTF">2019-12-14T17:10:08Z</dcterms:modified>
</cp:coreProperties>
</file>