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9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580" w:right="200" w:hanging="572"/>
        <w:spacing w:after="0" w:line="237"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38"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June 30, 2006</w:t>
      </w:r>
    </w:p>
    <w:p>
      <w:pPr>
        <w:spacing w:after="0" w:line="171"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580" w:right="20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5" w:lineRule="exact"/>
        <w:rPr>
          <w:sz w:val="24"/>
          <w:szCs w:val="24"/>
          <w:color w:val="auto"/>
        </w:rPr>
      </w:pPr>
    </w:p>
    <w:tbl>
      <w:tblPr>
        <w:tblLayout w:type="fixed"/>
        <w:tblInd w:w="58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520" w:type="dxa"/>
            <w:vAlign w:val="bottom"/>
          </w:tcPr>
          <w:p>
            <w:pPr>
              <w:spacing w:after="0"/>
              <w:rPr>
                <w:sz w:val="17"/>
                <w:szCs w:val="17"/>
                <w:color w:val="auto"/>
              </w:rPr>
            </w:pPr>
          </w:p>
        </w:tc>
        <w:tc>
          <w:tcPr>
            <w:tcW w:w="2960" w:type="dxa"/>
            <w:vAlign w:val="bottom"/>
            <w:gridSpan w:val="3"/>
          </w:tcPr>
          <w:p>
            <w:pPr>
              <w:ind w:left="40"/>
              <w:spacing w:after="0"/>
              <w:rPr>
                <w:sz w:val="20"/>
                <w:szCs w:val="20"/>
                <w:color w:val="auto"/>
              </w:rPr>
            </w:pPr>
            <w:r>
              <w:rPr>
                <w:rFonts w:ascii="Arial" w:cs="Arial" w:eastAsia="Arial" w:hAnsi="Arial"/>
                <w:sz w:val="18"/>
                <w:szCs w:val="18"/>
                <w:b w:val="1"/>
                <w:bCs w:val="1"/>
                <w:color w:val="auto"/>
              </w:rPr>
              <w:t>to</w:t>
            </w:r>
          </w:p>
        </w:tc>
      </w:tr>
      <w:tr>
        <w:trPr>
          <w:trHeight w:val="397"/>
        </w:trPr>
        <w:tc>
          <w:tcPr>
            <w:tcW w:w="23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200" w:type="dxa"/>
            <w:vAlign w:val="bottom"/>
          </w:tcPr>
          <w:p>
            <w:pPr>
              <w:ind w:left="300"/>
              <w:spacing w:after="0"/>
              <w:rPr>
                <w:sz w:val="20"/>
                <w:szCs w:val="20"/>
                <w:color w:val="auto"/>
              </w:rPr>
            </w:pPr>
            <w:r>
              <w:rPr>
                <w:rFonts w:ascii="Arial" w:cs="Arial" w:eastAsia="Arial" w:hAnsi="Arial"/>
                <w:sz w:val="18"/>
                <w:szCs w:val="18"/>
                <w:b w:val="1"/>
                <w:bCs w:val="1"/>
                <w:color w:val="auto"/>
                <w:w w:val="86"/>
              </w:rPr>
              <w:t>Commission file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198755</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drawing>
          <wp:anchor simplePos="0" relativeHeight="251657728" behindDoc="1" locked="0" layoutInCell="0" allowOverlap="1">
            <wp:simplePos x="0" y="0"/>
            <wp:positionH relativeFrom="column">
              <wp:posOffset>4078605</wp:posOffset>
            </wp:positionH>
            <wp:positionV relativeFrom="paragraph">
              <wp:posOffset>-23495</wp:posOffset>
            </wp:positionV>
            <wp:extent cx="3346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ACTIVE POWER, INC.</w:t>
      </w:r>
    </w:p>
    <w:p>
      <w:pPr>
        <w:spacing w:after="0" w:line="49"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tbl>
      <w:tblPr>
        <w:tblLayout w:type="fixed"/>
        <w:tblInd w:w="1260" w:type="dxa"/>
        <w:tblCellMar>
          <w:top w:w="0" w:type="dxa"/>
          <w:left w:w="0" w:type="dxa"/>
          <w:bottom w:w="0" w:type="dxa"/>
          <w:right w:w="0" w:type="dxa"/>
        </w:tblCellMar>
      </w:tblPr>
      <w:tr>
        <w:trPr>
          <w:trHeight w:val="218"/>
        </w:trPr>
        <w:tc>
          <w:tcPr>
            <w:tcW w:w="6860" w:type="dxa"/>
            <w:vAlign w:val="bottom"/>
          </w:tcPr>
          <w:p>
            <w:pPr>
              <w:jc w:val="center"/>
              <w:ind w:right="3565"/>
              <w:spacing w:after="0"/>
              <w:rPr>
                <w:sz w:val="20"/>
                <w:szCs w:val="20"/>
                <w:color w:val="auto"/>
              </w:rPr>
            </w:pPr>
            <w:r>
              <w:rPr>
                <w:rFonts w:ascii="Arial" w:cs="Arial" w:eastAsia="Arial" w:hAnsi="Arial"/>
                <w:sz w:val="18"/>
                <w:szCs w:val="18"/>
                <w:b w:val="1"/>
                <w:bCs w:val="1"/>
                <w:color w:val="auto"/>
                <w:w w:val="88"/>
              </w:rPr>
              <w:t>Delaware</w:t>
            </w:r>
          </w:p>
        </w:tc>
        <w:tc>
          <w:tcPr>
            <w:tcW w:w="1100" w:type="dxa"/>
            <w:vAlign w:val="bottom"/>
          </w:tcPr>
          <w:p>
            <w:pPr>
              <w:jc w:val="right"/>
              <w:ind w:right="44"/>
              <w:spacing w:after="0"/>
              <w:rPr>
                <w:sz w:val="20"/>
                <w:szCs w:val="20"/>
                <w:color w:val="auto"/>
              </w:rPr>
            </w:pPr>
            <w:r>
              <w:rPr>
                <w:rFonts w:ascii="Arial" w:cs="Arial" w:eastAsia="Arial" w:hAnsi="Arial"/>
                <w:sz w:val="18"/>
                <w:szCs w:val="18"/>
                <w:b w:val="1"/>
                <w:bCs w:val="1"/>
                <w:color w:val="auto"/>
                <w:w w:val="99"/>
              </w:rPr>
              <w:t>74-2961657</w:t>
            </w:r>
          </w:p>
        </w:tc>
      </w:tr>
      <w:tr>
        <w:trPr>
          <w:trHeight w:val="149"/>
        </w:trPr>
        <w:tc>
          <w:tcPr>
            <w:tcW w:w="6860" w:type="dxa"/>
            <w:vAlign w:val="bottom"/>
          </w:tcPr>
          <w:p>
            <w:pPr>
              <w:jc w:val="center"/>
              <w:ind w:right="3585"/>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860" w:type="dxa"/>
            <w:vAlign w:val="bottom"/>
          </w:tcPr>
          <w:p>
            <w:pPr>
              <w:jc w:val="center"/>
              <w:ind w:right="3585"/>
              <w:spacing w:after="0"/>
              <w:rPr>
                <w:sz w:val="20"/>
                <w:szCs w:val="20"/>
                <w:color w:val="auto"/>
              </w:rPr>
            </w:pPr>
            <w:r>
              <w:rPr>
                <w:rFonts w:ascii="Arial" w:cs="Arial" w:eastAsia="Arial" w:hAnsi="Arial"/>
                <w:sz w:val="14"/>
                <w:szCs w:val="14"/>
                <w:b w:val="1"/>
                <w:bCs w:val="1"/>
                <w:color w:val="auto"/>
                <w:w w:val="88"/>
              </w:rPr>
              <w:t>incorporation or organization)</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6860" w:type="dxa"/>
            <w:vAlign w:val="bottom"/>
          </w:tcPr>
          <w:p>
            <w:pPr>
              <w:jc w:val="center"/>
              <w:ind w:right="3565"/>
              <w:spacing w:after="0"/>
              <w:rPr>
                <w:sz w:val="20"/>
                <w:szCs w:val="20"/>
                <w:color w:val="auto"/>
              </w:rPr>
            </w:pPr>
            <w:r>
              <w:rPr>
                <w:rFonts w:ascii="Arial" w:cs="Arial" w:eastAsia="Arial" w:hAnsi="Arial"/>
                <w:sz w:val="18"/>
                <w:szCs w:val="18"/>
                <w:b w:val="1"/>
                <w:bCs w:val="1"/>
                <w:color w:val="auto"/>
                <w:w w:val="89"/>
              </w:rPr>
              <w:t>2128 W. Braker Lane, BK12, Austin, Texas</w:t>
            </w:r>
          </w:p>
        </w:tc>
        <w:tc>
          <w:tcPr>
            <w:tcW w:w="1100" w:type="dxa"/>
            <w:vAlign w:val="bottom"/>
          </w:tcPr>
          <w:p>
            <w:pPr>
              <w:jc w:val="right"/>
              <w:ind w:right="244"/>
              <w:spacing w:after="0"/>
              <w:rPr>
                <w:sz w:val="20"/>
                <w:szCs w:val="20"/>
                <w:color w:val="auto"/>
              </w:rPr>
            </w:pPr>
            <w:r>
              <w:rPr>
                <w:rFonts w:ascii="Arial" w:cs="Arial" w:eastAsia="Arial" w:hAnsi="Arial"/>
                <w:sz w:val="18"/>
                <w:szCs w:val="18"/>
                <w:b w:val="1"/>
                <w:bCs w:val="1"/>
                <w:color w:val="auto"/>
              </w:rPr>
              <w:t>78758</w:t>
            </w:r>
          </w:p>
        </w:tc>
      </w:tr>
      <w:tr>
        <w:trPr>
          <w:trHeight w:val="174"/>
        </w:trPr>
        <w:tc>
          <w:tcPr>
            <w:tcW w:w="6860" w:type="dxa"/>
            <w:vAlign w:val="bottom"/>
          </w:tcPr>
          <w:p>
            <w:pPr>
              <w:jc w:val="center"/>
              <w:ind w:right="3585"/>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6860" w:type="dxa"/>
            <w:vAlign w:val="bottom"/>
          </w:tcPr>
          <w:p>
            <w:pPr>
              <w:jc w:val="center"/>
              <w:ind w:left="1965"/>
              <w:spacing w:after="0"/>
              <w:rPr>
                <w:sz w:val="20"/>
                <w:szCs w:val="20"/>
                <w:color w:val="auto"/>
              </w:rPr>
            </w:pPr>
            <w:r>
              <w:rPr>
                <w:rFonts w:ascii="Arial" w:cs="Arial" w:eastAsia="Arial" w:hAnsi="Arial"/>
                <w:sz w:val="18"/>
                <w:szCs w:val="18"/>
                <w:b w:val="1"/>
                <w:bCs w:val="1"/>
                <w:color w:val="auto"/>
                <w:w w:val="89"/>
              </w:rPr>
              <w:t>(512) 836-6464</w:t>
            </w:r>
          </w:p>
        </w:tc>
        <w:tc>
          <w:tcPr>
            <w:tcW w:w="1100" w:type="dxa"/>
            <w:vAlign w:val="bottom"/>
          </w:tcPr>
          <w:p>
            <w:pPr>
              <w:spacing w:after="0"/>
              <w:rPr>
                <w:sz w:val="24"/>
                <w:szCs w:val="24"/>
                <w:color w:val="auto"/>
              </w:rPr>
            </w:pPr>
          </w:p>
        </w:tc>
      </w:tr>
      <w:tr>
        <w:trPr>
          <w:trHeight w:val="174"/>
        </w:trPr>
        <w:tc>
          <w:tcPr>
            <w:tcW w:w="6860" w:type="dxa"/>
            <w:vAlign w:val="bottom"/>
          </w:tcPr>
          <w:p>
            <w:pPr>
              <w:jc w:val="center"/>
              <w:ind w:left="1965"/>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100" w:type="dxa"/>
            <w:vAlign w:val="bottom"/>
          </w:tcPr>
          <w:p>
            <w:pPr>
              <w:spacing w:after="0"/>
              <w:rPr>
                <w:sz w:val="15"/>
                <w:szCs w:val="15"/>
                <w:color w:val="auto"/>
              </w:rPr>
            </w:pPr>
          </w:p>
        </w:tc>
      </w:tr>
      <w:tr>
        <w:trPr>
          <w:trHeight w:val="513"/>
        </w:trPr>
        <w:tc>
          <w:tcPr>
            <w:tcW w:w="6860" w:type="dxa"/>
            <w:vAlign w:val="bottom"/>
          </w:tcPr>
          <w:p>
            <w:pPr>
              <w:jc w:val="center"/>
              <w:ind w:left="1965"/>
              <w:spacing w:after="0"/>
              <w:rPr>
                <w:sz w:val="20"/>
                <w:szCs w:val="20"/>
                <w:color w:val="auto"/>
              </w:rPr>
            </w:pPr>
            <w:r>
              <w:rPr>
                <w:rFonts w:ascii="Arial" w:cs="Arial" w:eastAsia="Arial" w:hAnsi="Arial"/>
                <w:sz w:val="14"/>
                <w:szCs w:val="14"/>
                <w:b w:val="1"/>
                <w:bCs w:val="1"/>
                <w:color w:val="auto"/>
                <w:w w:val="86"/>
              </w:rPr>
              <w:t>(Former name, former address and former fiscal year, if changed since last report)</w:t>
            </w:r>
          </w:p>
        </w:tc>
        <w:tc>
          <w:tcPr>
            <w:tcW w:w="11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ind w:right="10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8"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99" w:lineRule="exact"/>
        <w:rPr>
          <w:sz w:val="24"/>
          <w:szCs w:val="24"/>
          <w:color w:val="auto"/>
        </w:rPr>
      </w:pPr>
    </w:p>
    <w:p>
      <w:pPr>
        <w:spacing w:after="0" w:line="207" w:lineRule="exact"/>
        <w:tabs>
          <w:tab w:leader="none" w:pos="2060" w:val="left"/>
          <w:tab w:leader="none" w:pos="370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171" w:lineRule="exact"/>
        <w:rPr>
          <w:sz w:val="24"/>
          <w:szCs w:val="24"/>
          <w:color w:val="auto"/>
        </w:rPr>
      </w:pPr>
    </w:p>
    <w:p>
      <w:pPr>
        <w:ind w:left="460"/>
        <w:spacing w:after="0" w:line="207" w:lineRule="exact"/>
        <w:tabs>
          <w:tab w:leader="none" w:pos="860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204"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APPLICABLE ONLY TO CORPORATE ISSUERS:</w:t>
      </w:r>
    </w:p>
    <w:p>
      <w:pPr>
        <w:spacing w:after="0" w:line="171" w:lineRule="exact"/>
        <w:rPr>
          <w:sz w:val="24"/>
          <w:szCs w:val="24"/>
          <w:color w:val="auto"/>
        </w:rPr>
      </w:pPr>
    </w:p>
    <w:p>
      <w:pPr>
        <w:ind w:left="1420"/>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188" w:lineRule="exact"/>
        <w:rPr>
          <w:sz w:val="24"/>
          <w:szCs w:val="24"/>
          <w:color w:val="auto"/>
        </w:rPr>
      </w:pPr>
    </w:p>
    <w:p>
      <w:pPr>
        <w:ind w:left="1420"/>
        <w:spacing w:after="0"/>
        <w:rPr>
          <w:sz w:val="20"/>
          <w:szCs w:val="20"/>
          <w:color w:val="auto"/>
        </w:rPr>
      </w:pPr>
      <w:r>
        <w:rPr>
          <w:rFonts w:ascii="Arial" w:cs="Arial" w:eastAsia="Arial" w:hAnsi="Arial"/>
          <w:sz w:val="16"/>
          <w:szCs w:val="16"/>
          <w:b w:val="1"/>
          <w:bCs w:val="1"/>
          <w:color w:val="auto"/>
        </w:rPr>
        <w:t>The number of shares of common stock, par value of $0.001 per share, outstanding at July 24, 2006 was 49,773,380.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147320</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ACTIVE POWER,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60" w:type="dxa"/>
            <w:vAlign w:val="bottom"/>
            <w:gridSpan w:val="16"/>
          </w:tcPr>
          <w:p>
            <w:pPr>
              <w:spacing w:after="0"/>
              <w:rPr>
                <w:rFonts w:ascii="Arial" w:cs="Arial" w:eastAsia="Arial" w:hAnsi="Arial"/>
                <w:sz w:val="18"/>
                <w:szCs w:val="18"/>
                <w:color w:val="auto"/>
              </w:rPr>
            </w:pPr>
            <w:r>
              <w:rPr>
                <w:rFonts w:ascii="Arial" w:cs="Arial" w:eastAsia="Arial" w:hAnsi="Arial"/>
                <w:sz w:val="18"/>
                <w:szCs w:val="18"/>
                <w:color w:val="auto"/>
              </w:rPr>
              <w:t xml:space="preserve">PART I – </w:t>
            </w:r>
            <w:hyperlink w:anchor="page3">
              <w:r>
                <w:rPr>
                  <w:rFonts w:ascii="Arial" w:cs="Arial" w:eastAsia="Arial" w:hAnsi="Arial"/>
                  <w:sz w:val="18"/>
                  <w:szCs w:val="18"/>
                  <w:color w:val="0000EE"/>
                </w:rPr>
                <w:t>FINANCIAL INFORMATION</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680" w:type="dxa"/>
            <w:vAlign w:val="bottom"/>
            <w:gridSpan w:val="2"/>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304"/>
        </w:trPr>
        <w:tc>
          <w:tcPr>
            <w:tcW w:w="9060" w:type="dxa"/>
            <w:vAlign w:val="bottom"/>
            <w:gridSpan w:val="16"/>
          </w:tcPr>
          <w:p>
            <w:pPr>
              <w:spacing w:after="0"/>
              <w:rPr>
                <w:rFonts w:ascii="Arial" w:cs="Arial" w:eastAsia="Arial" w:hAnsi="Arial"/>
                <w:sz w:val="18"/>
                <w:szCs w:val="18"/>
                <w:color w:val="auto"/>
              </w:rPr>
            </w:pPr>
            <w:r>
              <w:rPr>
                <w:rFonts w:ascii="Arial" w:cs="Arial" w:eastAsia="Arial" w:hAnsi="Arial"/>
                <w:sz w:val="18"/>
                <w:szCs w:val="18"/>
                <w:color w:val="auto"/>
              </w:rPr>
              <w:t xml:space="preserve">Item 1. </w:t>
            </w:r>
            <w:hyperlink w:anchor="page3">
              <w:r>
                <w:rPr>
                  <w:rFonts w:ascii="Arial" w:cs="Arial" w:eastAsia="Arial" w:hAnsi="Arial"/>
                  <w:sz w:val="18"/>
                  <w:szCs w:val="18"/>
                  <w:color w:val="0000EE"/>
                </w:rPr>
                <w:t>Condensed Consolidated Financial Statements.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5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304"/>
        </w:trPr>
        <w:tc>
          <w:tcPr>
            <w:tcW w:w="9060" w:type="dxa"/>
            <w:vAlign w:val="bottom"/>
            <w:gridSpan w:val="16"/>
          </w:tcPr>
          <w:p>
            <w:pPr>
              <w:spacing w:after="0"/>
              <w:rPr>
                <w:rFonts w:ascii="Arial" w:cs="Arial" w:eastAsia="Arial" w:hAnsi="Arial"/>
                <w:sz w:val="18"/>
                <w:szCs w:val="18"/>
                <w:color w:val="auto"/>
              </w:rPr>
            </w:pPr>
            <w:r>
              <w:rPr>
                <w:rFonts w:ascii="Arial" w:cs="Arial" w:eastAsia="Arial" w:hAnsi="Arial"/>
                <w:sz w:val="18"/>
                <w:szCs w:val="18"/>
                <w:color w:val="auto"/>
              </w:rPr>
              <w:t xml:space="preserve">Item 2. </w:t>
            </w:r>
            <w:hyperlink w:anchor="page13">
              <w:r>
                <w:rPr>
                  <w:rFonts w:ascii="Arial" w:cs="Arial" w:eastAsia="Arial" w:hAnsi="Arial"/>
                  <w:sz w:val="18"/>
                  <w:szCs w:val="18"/>
                  <w:color w:val="0000EE"/>
                </w:rPr>
                <w:t>Management’s Discussion and Analysis of Financial Condition and Results of Operations.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5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0" w:type="dxa"/>
            <w:vAlign w:val="bottom"/>
            <w:tcBorders>
              <w:left w:val="single" w:sz="8" w:color="0000EE"/>
            </w:tcBorders>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304"/>
        </w:trPr>
        <w:tc>
          <w:tcPr>
            <w:tcW w:w="9060" w:type="dxa"/>
            <w:vAlign w:val="bottom"/>
            <w:gridSpan w:val="16"/>
          </w:tcPr>
          <w:p>
            <w:pPr>
              <w:spacing w:after="0"/>
              <w:rPr>
                <w:rFonts w:ascii="Arial" w:cs="Arial" w:eastAsia="Arial" w:hAnsi="Arial"/>
                <w:sz w:val="18"/>
                <w:szCs w:val="18"/>
                <w:color w:val="auto"/>
              </w:rPr>
            </w:pPr>
            <w:r>
              <w:rPr>
                <w:rFonts w:ascii="Arial" w:cs="Arial" w:eastAsia="Arial" w:hAnsi="Arial"/>
                <w:sz w:val="18"/>
                <w:szCs w:val="18"/>
                <w:color w:val="auto"/>
              </w:rPr>
              <w:t xml:space="preserve">Item 3. </w:t>
            </w:r>
            <w:hyperlink w:anchor="page25">
              <w:r>
                <w:rPr>
                  <w:rFonts w:ascii="Arial" w:cs="Arial" w:eastAsia="Arial" w:hAnsi="Arial"/>
                  <w:sz w:val="18"/>
                  <w:szCs w:val="18"/>
                  <w:color w:val="0000EE"/>
                </w:rPr>
                <w:t>Quantitative and Qualitative Disclosures about Market Risk</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5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0" w:type="dxa"/>
            <w:vAlign w:val="bottom"/>
            <w:tcBorders>
              <w:left w:val="single" w:sz="8" w:color="0000EE"/>
            </w:tcBorders>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304"/>
        </w:trPr>
        <w:tc>
          <w:tcPr>
            <w:tcW w:w="9060" w:type="dxa"/>
            <w:vAlign w:val="bottom"/>
            <w:gridSpan w:val="16"/>
          </w:tcPr>
          <w:p>
            <w:pPr>
              <w:spacing w:after="0"/>
              <w:rPr>
                <w:rFonts w:ascii="Arial" w:cs="Arial" w:eastAsia="Arial" w:hAnsi="Arial"/>
                <w:sz w:val="18"/>
                <w:szCs w:val="18"/>
                <w:color w:val="auto"/>
              </w:rPr>
            </w:pPr>
            <w:r>
              <w:rPr>
                <w:rFonts w:ascii="Arial" w:cs="Arial" w:eastAsia="Arial" w:hAnsi="Arial"/>
                <w:sz w:val="18"/>
                <w:szCs w:val="18"/>
                <w:color w:val="auto"/>
              </w:rPr>
              <w:t xml:space="preserve">Item 4. </w:t>
            </w:r>
            <w:hyperlink w:anchor="page25">
              <w:r>
                <w:rPr>
                  <w:rFonts w:ascii="Arial" w:cs="Arial" w:eastAsia="Arial" w:hAnsi="Arial"/>
                  <w:sz w:val="18"/>
                  <w:szCs w:val="18"/>
                  <w:color w:val="0000EE"/>
                </w:rPr>
                <w:t>Controls and Procedures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5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304"/>
        </w:trPr>
        <w:tc>
          <w:tcPr>
            <w:tcW w:w="9060" w:type="dxa"/>
            <w:vAlign w:val="bottom"/>
            <w:gridSpan w:val="16"/>
          </w:tcPr>
          <w:p>
            <w:pPr>
              <w:spacing w:after="0"/>
              <w:rPr>
                <w:rFonts w:ascii="Arial" w:cs="Arial" w:eastAsia="Arial" w:hAnsi="Arial"/>
                <w:sz w:val="18"/>
                <w:szCs w:val="18"/>
                <w:color w:val="auto"/>
              </w:rPr>
            </w:pPr>
            <w:r>
              <w:rPr>
                <w:rFonts w:ascii="Arial" w:cs="Arial" w:eastAsia="Arial" w:hAnsi="Arial"/>
                <w:sz w:val="18"/>
                <w:szCs w:val="18"/>
                <w:color w:val="auto"/>
              </w:rPr>
              <w:t xml:space="preserve">PART II – </w:t>
            </w:r>
            <w:hyperlink w:anchor="page26">
              <w:r>
                <w:rPr>
                  <w:rFonts w:ascii="Arial" w:cs="Arial" w:eastAsia="Arial" w:hAnsi="Arial"/>
                  <w:sz w:val="18"/>
                  <w:szCs w:val="18"/>
                  <w:color w:val="0000EE"/>
                </w:rPr>
                <w:t>OTHER INFORMATION</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304"/>
        </w:trPr>
        <w:tc>
          <w:tcPr>
            <w:tcW w:w="9060" w:type="dxa"/>
            <w:vAlign w:val="bottom"/>
            <w:gridSpan w:val="16"/>
          </w:tcPr>
          <w:p>
            <w:pPr>
              <w:spacing w:after="0"/>
              <w:rPr>
                <w:rFonts w:ascii="Arial" w:cs="Arial" w:eastAsia="Arial" w:hAnsi="Arial"/>
                <w:sz w:val="18"/>
                <w:szCs w:val="18"/>
                <w:color w:val="auto"/>
              </w:rPr>
            </w:pPr>
            <w:r>
              <w:rPr>
                <w:rFonts w:ascii="Arial" w:cs="Arial" w:eastAsia="Arial" w:hAnsi="Arial"/>
                <w:sz w:val="18"/>
                <w:szCs w:val="18"/>
                <w:color w:val="auto"/>
              </w:rPr>
              <w:t xml:space="preserve">Item 1. </w:t>
            </w:r>
            <w:hyperlink w:anchor="page26">
              <w:r>
                <w:rPr>
                  <w:rFonts w:ascii="Arial" w:cs="Arial" w:eastAsia="Arial" w:hAnsi="Arial"/>
                  <w:sz w:val="18"/>
                  <w:szCs w:val="18"/>
                  <w:color w:val="0000EE"/>
                </w:rPr>
                <w:t>Legal Proceedings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5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304"/>
        </w:trPr>
        <w:tc>
          <w:tcPr>
            <w:tcW w:w="9060" w:type="dxa"/>
            <w:vAlign w:val="bottom"/>
            <w:gridSpan w:val="16"/>
          </w:tcPr>
          <w:p>
            <w:pPr>
              <w:spacing w:after="0"/>
              <w:rPr>
                <w:rFonts w:ascii="Arial" w:cs="Arial" w:eastAsia="Arial" w:hAnsi="Arial"/>
                <w:sz w:val="18"/>
                <w:szCs w:val="18"/>
                <w:color w:val="auto"/>
              </w:rPr>
            </w:pPr>
            <w:r>
              <w:rPr>
                <w:rFonts w:ascii="Arial" w:cs="Arial" w:eastAsia="Arial" w:hAnsi="Arial"/>
                <w:sz w:val="18"/>
                <w:szCs w:val="18"/>
                <w:color w:val="auto"/>
              </w:rPr>
              <w:t xml:space="preserve">Item 1A. </w:t>
            </w:r>
            <w:hyperlink w:anchor="page26">
              <w:r>
                <w:rPr>
                  <w:rFonts w:ascii="Arial" w:cs="Arial" w:eastAsia="Arial" w:hAnsi="Arial"/>
                  <w:sz w:val="18"/>
                  <w:szCs w:val="18"/>
                  <w:color w:val="0000EE"/>
                </w:rPr>
                <w:t>Risk Factors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680" w:type="dxa"/>
            <w:vAlign w:val="bottom"/>
            <w:gridSpan w:val="2"/>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304"/>
        </w:trPr>
        <w:tc>
          <w:tcPr>
            <w:tcW w:w="9060" w:type="dxa"/>
            <w:vAlign w:val="bottom"/>
            <w:gridSpan w:val="16"/>
          </w:tcPr>
          <w:p>
            <w:pPr>
              <w:spacing w:after="0"/>
              <w:rPr>
                <w:rFonts w:ascii="Arial" w:cs="Arial" w:eastAsia="Arial" w:hAnsi="Arial"/>
                <w:sz w:val="18"/>
                <w:szCs w:val="18"/>
                <w:color w:val="auto"/>
              </w:rPr>
            </w:pPr>
            <w:r>
              <w:rPr>
                <w:rFonts w:ascii="Arial" w:cs="Arial" w:eastAsia="Arial" w:hAnsi="Arial"/>
                <w:sz w:val="18"/>
                <w:szCs w:val="18"/>
                <w:color w:val="auto"/>
              </w:rPr>
              <w:t xml:space="preserve">Item 2. </w:t>
            </w:r>
            <w:hyperlink w:anchor="page28">
              <w:r>
                <w:rPr>
                  <w:rFonts w:ascii="Arial" w:cs="Arial" w:eastAsia="Arial" w:hAnsi="Arial"/>
                  <w:sz w:val="18"/>
                  <w:szCs w:val="18"/>
                  <w:color w:val="0000EE"/>
                </w:rPr>
                <w:t>Unregistered Sales of Equity Securities and Use of Proceeds.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04"/>
        </w:trPr>
        <w:tc>
          <w:tcPr>
            <w:tcW w:w="540" w:type="dxa"/>
            <w:vAlign w:val="bottom"/>
          </w:tcPr>
          <w:p>
            <w:pPr>
              <w:spacing w:after="0"/>
              <w:rPr>
                <w:sz w:val="20"/>
                <w:szCs w:val="20"/>
                <w:color w:val="auto"/>
              </w:rPr>
            </w:pPr>
            <w:r>
              <w:rPr>
                <w:rFonts w:ascii="Arial" w:cs="Arial" w:eastAsia="Arial" w:hAnsi="Arial"/>
                <w:sz w:val="18"/>
                <w:szCs w:val="18"/>
                <w:color w:val="auto"/>
                <w:w w:val="94"/>
              </w:rPr>
              <w:t>Item 3.</w:t>
            </w:r>
          </w:p>
        </w:tc>
        <w:tc>
          <w:tcPr>
            <w:tcW w:w="4300" w:type="dxa"/>
            <w:vAlign w:val="bottom"/>
            <w:tcBorders>
              <w:top w:val="single" w:sz="8" w:color="0000EE"/>
            </w:tcBorders>
            <w:gridSpan w:val="13"/>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Defaults Upon Senior Securities.</w:t>
              </w:r>
            </w:hyperlink>
          </w:p>
        </w:tc>
        <w:tc>
          <w:tcPr>
            <w:tcW w:w="4220" w:type="dxa"/>
            <w:vAlign w:val="bottom"/>
            <w:gridSpan w:val="2"/>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54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4800" w:type="dxa"/>
            <w:vAlign w:val="bottom"/>
            <w:gridSpan w:val="4"/>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304"/>
        </w:trPr>
        <w:tc>
          <w:tcPr>
            <w:tcW w:w="540" w:type="dxa"/>
            <w:vAlign w:val="bottom"/>
          </w:tcPr>
          <w:p>
            <w:pPr>
              <w:spacing w:after="0"/>
              <w:rPr>
                <w:sz w:val="20"/>
                <w:szCs w:val="20"/>
                <w:color w:val="auto"/>
              </w:rPr>
            </w:pPr>
            <w:r>
              <w:rPr>
                <w:rFonts w:ascii="Arial" w:cs="Arial" w:eastAsia="Arial" w:hAnsi="Arial"/>
                <w:sz w:val="18"/>
                <w:szCs w:val="18"/>
                <w:color w:val="auto"/>
                <w:w w:val="94"/>
              </w:rPr>
              <w:t>Item 4.</w:t>
            </w:r>
          </w:p>
        </w:tc>
        <w:tc>
          <w:tcPr>
            <w:tcW w:w="8520" w:type="dxa"/>
            <w:vAlign w:val="bottom"/>
            <w:gridSpan w:val="15"/>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Submission of Matters to a Vote of Security Holders.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04"/>
        </w:trPr>
        <w:tc>
          <w:tcPr>
            <w:tcW w:w="540" w:type="dxa"/>
            <w:vAlign w:val="bottom"/>
          </w:tcPr>
          <w:p>
            <w:pPr>
              <w:spacing w:after="0"/>
              <w:rPr>
                <w:sz w:val="20"/>
                <w:szCs w:val="20"/>
                <w:color w:val="auto"/>
              </w:rPr>
            </w:pPr>
            <w:r>
              <w:rPr>
                <w:rFonts w:ascii="Arial" w:cs="Arial" w:eastAsia="Arial" w:hAnsi="Arial"/>
                <w:sz w:val="18"/>
                <w:szCs w:val="18"/>
                <w:color w:val="auto"/>
                <w:w w:val="94"/>
              </w:rPr>
              <w:t>Item 5.</w:t>
            </w:r>
          </w:p>
        </w:tc>
        <w:tc>
          <w:tcPr>
            <w:tcW w:w="134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Other Information.</w:t>
              </w:r>
            </w:hyperlink>
          </w:p>
        </w:tc>
        <w:tc>
          <w:tcPr>
            <w:tcW w:w="2380" w:type="dxa"/>
            <w:vAlign w:val="bottom"/>
            <w:tcBorders>
              <w:top w:val="single" w:sz="8" w:color="0000EE"/>
            </w:tcBorders>
            <w:gridSpan w:val="5"/>
          </w:tcPr>
          <w:p>
            <w:pPr>
              <w:spacing w:after="0"/>
              <w:rPr>
                <w:sz w:val="24"/>
                <w:szCs w:val="24"/>
                <w:color w:val="auto"/>
              </w:rPr>
            </w:pPr>
          </w:p>
        </w:tc>
        <w:tc>
          <w:tcPr>
            <w:tcW w:w="4800" w:type="dxa"/>
            <w:vAlign w:val="bottom"/>
            <w:gridSpan w:val="4"/>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04"/>
        </w:trPr>
        <w:tc>
          <w:tcPr>
            <w:tcW w:w="540" w:type="dxa"/>
            <w:vAlign w:val="bottom"/>
          </w:tcPr>
          <w:p>
            <w:pPr>
              <w:spacing w:after="0"/>
              <w:rPr>
                <w:sz w:val="20"/>
                <w:szCs w:val="20"/>
                <w:color w:val="auto"/>
              </w:rPr>
            </w:pPr>
            <w:r>
              <w:rPr>
                <w:rFonts w:ascii="Arial" w:cs="Arial" w:eastAsia="Arial" w:hAnsi="Arial"/>
                <w:sz w:val="18"/>
                <w:szCs w:val="18"/>
                <w:color w:val="auto"/>
                <w:w w:val="94"/>
              </w:rPr>
              <w:t>Item 6.</w:t>
            </w:r>
          </w:p>
        </w:tc>
        <w:tc>
          <w:tcPr>
            <w:tcW w:w="64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29">
              <w:r>
                <w:rPr>
                  <w:rFonts w:ascii="Arial" w:cs="Arial" w:eastAsia="Arial" w:hAnsi="Arial"/>
                  <w:sz w:val="18"/>
                  <w:szCs w:val="18"/>
                  <w:color w:val="0000EE"/>
                  <w:w w:val="91"/>
                </w:rPr>
                <w:t>Exhibits.</w:t>
              </w:r>
            </w:hyperlink>
          </w:p>
        </w:tc>
        <w:tc>
          <w:tcPr>
            <w:tcW w:w="7880" w:type="dxa"/>
            <w:vAlign w:val="bottom"/>
            <w:gridSpan w:val="12"/>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27</w:t>
            </w: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5"/>
              </w:rPr>
              <w:t>June 30,</w:t>
            </w:r>
          </w:p>
        </w:tc>
        <w:tc>
          <w:tcPr>
            <w:tcW w:w="2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3"/>
              </w:rPr>
              <w:t>2006</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00" w:type="dxa"/>
            <w:vAlign w:val="bottom"/>
          </w:tcPr>
          <w:p>
            <w:pPr>
              <w:spacing w:after="0"/>
              <w:rPr>
                <w:sz w:val="12"/>
                <w:szCs w:val="12"/>
                <w:color w:val="auto"/>
              </w:rPr>
            </w:pPr>
          </w:p>
        </w:tc>
        <w:tc>
          <w:tcPr>
            <w:tcW w:w="74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w w:val="86"/>
              </w:rPr>
              <w:t>(unaudited)</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3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14,585</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116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Short-term investments in marketable securities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16,380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4,083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8,002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43,573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7,848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investments in marketable securities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1,952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Deposits and other</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53,561</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20" w:type="dxa"/>
            <w:vAlign w:val="bottom"/>
            <w:gridSpan w:val="2"/>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3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2,952</w:t>
            </w:r>
          </w:p>
        </w:tc>
        <w:tc>
          <w:tcPr>
            <w:tcW w:w="260" w:type="dxa"/>
            <w:vAlign w:val="bottom"/>
          </w:tcPr>
          <w:p>
            <w:pPr>
              <w:spacing w:after="0"/>
              <w:rPr>
                <w:sz w:val="18"/>
                <w:szCs w:val="18"/>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2,264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3,982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7,299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Treasury stock</w:t>
            </w:r>
          </w:p>
        </w:tc>
        <w:tc>
          <w:tcPr>
            <w:tcW w:w="100" w:type="dxa"/>
            <w:vAlign w:val="bottom"/>
          </w:tcPr>
          <w:p>
            <w:pPr>
              <w:spacing w:after="0"/>
              <w:rPr>
                <w:sz w:val="18"/>
                <w:szCs w:val="18"/>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stock compensation</w:t>
            </w: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239,024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235,147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8"/>
              </w:rPr>
              <w:t>(192,733)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(180,689)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Other accumulated comprehensive loss</w:t>
            </w:r>
          </w:p>
        </w:tc>
        <w:tc>
          <w:tcPr>
            <w:tcW w:w="100" w:type="dxa"/>
            <w:vAlign w:val="bottom"/>
          </w:tcPr>
          <w:p>
            <w:pPr>
              <w:spacing w:after="0"/>
              <w:rPr>
                <w:sz w:val="19"/>
                <w:szCs w:val="19"/>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46,262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53,561</w:t>
            </w:r>
          </w:p>
        </w:tc>
        <w:tc>
          <w:tcPr>
            <w:tcW w:w="260" w:type="dxa"/>
            <w:vAlign w:val="bottom"/>
          </w:tcPr>
          <w:p>
            <w:pPr>
              <w:spacing w:after="0"/>
              <w:rPr>
                <w:sz w:val="19"/>
                <w:szCs w:val="19"/>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60,365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Unaudited</w:t>
      </w:r>
      <w:r>
        <w:rPr>
          <w:rFonts w:ascii="Arial" w:cs="Arial" w:eastAsia="Arial" w:hAnsi="Arial"/>
          <w:sz w:val="18"/>
          <w:szCs w:val="18"/>
          <w:color w:val="auto"/>
        </w:rPr>
        <w: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88"/>
              </w:rPr>
              <w:t>Three Months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8"/>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2006</w:t>
            </w: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2006</w:t>
            </w: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4,157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Service and spares revenue</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4,674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11,035</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080" w:type="dxa"/>
            <w:vAlign w:val="bottom"/>
            <w:gridSpan w:val="2"/>
          </w:tcPr>
          <w:p>
            <w:pPr>
              <w:spacing w:after="0"/>
              <w:rPr>
                <w:sz w:val="20"/>
                <w:szCs w:val="20"/>
                <w:color w:val="auto"/>
              </w:rPr>
            </w:pPr>
            <w:r>
              <w:rPr>
                <w:rFonts w:ascii="Arial" w:cs="Arial" w:eastAsia="Arial" w:hAnsi="Arial"/>
                <w:sz w:val="18"/>
                <w:szCs w:val="18"/>
                <w:color w:val="auto"/>
              </w:rPr>
              <w:t>Cost of product revenue</w:t>
            </w: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5,021</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4,119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10,158</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7,364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 and spares revenue</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60" w:type="dxa"/>
            <w:vAlign w:val="bottom"/>
          </w:tcPr>
          <w:p>
            <w:pPr>
              <w:ind w:left="860"/>
              <w:spacing w:after="0"/>
              <w:rPr>
                <w:sz w:val="20"/>
                <w:szCs w:val="20"/>
                <w:color w:val="auto"/>
              </w:rPr>
            </w:pPr>
            <w:r>
              <w:rPr>
                <w:rFonts w:ascii="Arial" w:cs="Arial" w:eastAsia="Arial" w:hAnsi="Arial"/>
                <w:sz w:val="18"/>
                <w:szCs w:val="18"/>
                <w:color w:val="auto"/>
              </w:rPr>
              <w:t>Total cost of revenue</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5,588</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4,616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11,301</w:t>
            </w: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8,405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(266)</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323"/>
        </w:trPr>
        <w:tc>
          <w:tcPr>
            <w:tcW w:w="80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2,807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Selling and marketing</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2,616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1,889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5,275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1,853</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3,347</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6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6,508</w:t>
            </w:r>
          </w:p>
        </w:tc>
        <w:tc>
          <w:tcPr>
            <w:tcW w:w="2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12,886</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12,187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(6,630)</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(6,324)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(13,152)</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(12,480)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382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776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Other income (loss), net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Gain due to change in market value of investment rights</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(5,995)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(5,604)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(12,044)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(10,931)</w:t>
            </w:r>
          </w:p>
        </w:tc>
        <w:tc>
          <w:tcPr>
            <w:tcW w:w="0" w:type="dxa"/>
            <w:vAlign w:val="bottom"/>
          </w:tcPr>
          <w:p>
            <w:pPr>
              <w:spacing w:after="0"/>
              <w:rPr>
                <w:sz w:val="1"/>
                <w:szCs w:val="1"/>
                <w:color w:val="auto"/>
              </w:rPr>
            </w:pPr>
          </w:p>
        </w:tc>
      </w:tr>
      <w:tr>
        <w:trPr>
          <w:trHeight w:val="20"/>
        </w:trPr>
        <w:tc>
          <w:tcPr>
            <w:tcW w:w="808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basic &amp;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08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(0.12)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(0.12)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(0.24)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net loss per share, basic &amp; diluted</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49,648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48,586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49,516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47,361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080" w:type="dxa"/>
            <w:vAlign w:val="bottom"/>
            <w:gridSpan w:val="2"/>
          </w:tcPr>
          <w:p>
            <w:pPr>
              <w:spacing w:after="0"/>
              <w:rPr>
                <w:sz w:val="20"/>
                <w:szCs w:val="20"/>
                <w:color w:val="auto"/>
              </w:rPr>
            </w:pPr>
            <w:r>
              <w:rPr>
                <w:rFonts w:ascii="Arial" w:cs="Arial" w:eastAsia="Arial" w:hAnsi="Arial"/>
                <w:sz w:val="18"/>
                <w:szCs w:val="18"/>
                <w:color w:val="auto"/>
              </w:rPr>
              <w:t>Comprehensive loss:</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(5,995)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(5,604)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(12,044)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(10,931)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Translation loss on subsidiaries in foreign currencies</w:t>
            </w: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gain (loss) on investments in marketable securities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Realized loss on marketable securities</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(5,985)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(5,539)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(12,025)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(10,967)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Unaudited</w:t>
      </w:r>
      <w:r>
        <w:rPr>
          <w:rFonts w:ascii="Arial" w:cs="Arial" w:eastAsia="Arial" w:hAnsi="Arial"/>
          <w:sz w:val="18"/>
          <w:szCs w:val="18"/>
          <w:color w:val="auto"/>
        </w:rPr>
        <w: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60" w:type="dxa"/>
            <w:vAlign w:val="bottom"/>
          </w:tcPr>
          <w:p>
            <w:pPr>
              <w:spacing w:after="0"/>
              <w:rPr>
                <w:sz w:val="14"/>
                <w:szCs w:val="14"/>
                <w:color w:val="auto"/>
              </w:rPr>
            </w:pPr>
          </w:p>
        </w:tc>
        <w:tc>
          <w:tcPr>
            <w:tcW w:w="164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760" w:type="dxa"/>
            <w:vAlign w:val="bottom"/>
          </w:tcPr>
          <w:p>
            <w:pPr>
              <w:spacing w:after="0"/>
              <w:rPr>
                <w:sz w:val="14"/>
                <w:szCs w:val="14"/>
                <w:color w:val="auto"/>
              </w:rPr>
            </w:pPr>
          </w:p>
        </w:tc>
        <w:tc>
          <w:tcPr>
            <w:tcW w:w="164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76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2006</w:t>
            </w:r>
          </w:p>
        </w:tc>
        <w:tc>
          <w:tcPr>
            <w:tcW w:w="28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Net loss</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2"/>
              </w:rPr>
              <w:t>$ (12,044)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5"/>
              </w:rPr>
              <w:t>$ (10,931)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loss to cash used in operating activities:</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Depreciation expense</w:t>
            </w:r>
          </w:p>
        </w:tc>
        <w:tc>
          <w:tcPr>
            <w:tcW w:w="640" w:type="dxa"/>
            <w:vAlign w:val="bottom"/>
          </w:tcPr>
          <w:p>
            <w:pPr>
              <w:jc w:val="right"/>
              <w:spacing w:after="0"/>
              <w:rPr>
                <w:sz w:val="20"/>
                <w:szCs w:val="20"/>
                <w:color w:val="auto"/>
              </w:rPr>
            </w:pPr>
            <w:r>
              <w:rPr>
                <w:rFonts w:ascii="Arial" w:cs="Arial" w:eastAsia="Arial" w:hAnsi="Arial"/>
                <w:sz w:val="18"/>
                <w:szCs w:val="18"/>
                <w:color w:val="auto"/>
              </w:rPr>
              <w:t>1,051</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Accretion of premium / discount on marketable securities</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(48)</w:t>
            </w:r>
          </w:p>
        </w:tc>
        <w:tc>
          <w:tcPr>
            <w:tcW w:w="660" w:type="dxa"/>
            <w:vAlign w:val="bottom"/>
          </w:tcPr>
          <w:p>
            <w:pPr>
              <w:jc w:val="right"/>
              <w:spacing w:after="0"/>
              <w:rPr>
                <w:sz w:val="20"/>
                <w:szCs w:val="20"/>
                <w:color w:val="auto"/>
              </w:rPr>
            </w:pPr>
            <w:r>
              <w:rPr>
                <w:rFonts w:ascii="Arial" w:cs="Arial" w:eastAsia="Arial" w:hAnsi="Arial"/>
                <w:sz w:val="18"/>
                <w:szCs w:val="18"/>
                <w:color w:val="auto"/>
              </w:rPr>
              <w:t>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Realized loss on marketable securities</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Stock-based compensation</w:t>
            </w:r>
          </w:p>
        </w:tc>
        <w:tc>
          <w:tcPr>
            <w:tcW w:w="640" w:type="dxa"/>
            <w:vAlign w:val="bottom"/>
          </w:tcPr>
          <w:p>
            <w:pPr>
              <w:jc w:val="right"/>
              <w:spacing w:after="0"/>
              <w:rPr>
                <w:sz w:val="20"/>
                <w:szCs w:val="20"/>
                <w:color w:val="auto"/>
              </w:rPr>
            </w:pPr>
            <w:r>
              <w:rPr>
                <w:rFonts w:ascii="Arial" w:cs="Arial" w:eastAsia="Arial" w:hAnsi="Arial"/>
                <w:sz w:val="18"/>
                <w:szCs w:val="18"/>
                <w:color w:val="auto"/>
              </w:rPr>
              <w:t>1,644</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market value of investments rights</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Changes in operating assets and liabilities:</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receivable, net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860"/>
              <w:spacing w:after="0"/>
              <w:rPr>
                <w:sz w:val="20"/>
                <w:szCs w:val="20"/>
                <w:color w:val="auto"/>
              </w:rPr>
            </w:pPr>
            <w:r>
              <w:rPr>
                <w:rFonts w:ascii="Arial" w:cs="Arial" w:eastAsia="Arial" w:hAnsi="Arial"/>
                <w:sz w:val="18"/>
                <w:szCs w:val="18"/>
                <w:color w:val="auto"/>
              </w:rPr>
              <w:t>Inventories</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(3,751)</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Prepaid expenses and other assets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860"/>
              <w:spacing w:after="0"/>
              <w:rPr>
                <w:sz w:val="20"/>
                <w:szCs w:val="20"/>
                <w:color w:val="auto"/>
              </w:rPr>
            </w:pPr>
            <w:r>
              <w:rPr>
                <w:rFonts w:ascii="Arial" w:cs="Arial" w:eastAsia="Arial" w:hAnsi="Arial"/>
                <w:sz w:val="18"/>
                <w:szCs w:val="18"/>
                <w:color w:val="auto"/>
              </w:rPr>
              <w:t>Accounts payable</w:t>
            </w:r>
          </w:p>
        </w:tc>
        <w:tc>
          <w:tcPr>
            <w:tcW w:w="640" w:type="dxa"/>
            <w:vAlign w:val="bottom"/>
          </w:tcPr>
          <w:p>
            <w:pPr>
              <w:jc w:val="right"/>
              <w:spacing w:after="0"/>
              <w:rPr>
                <w:sz w:val="20"/>
                <w:szCs w:val="20"/>
                <w:color w:val="auto"/>
              </w:rPr>
            </w:pPr>
            <w:r>
              <w:rPr>
                <w:rFonts w:ascii="Arial" w:cs="Arial" w:eastAsia="Arial" w:hAnsi="Arial"/>
                <w:sz w:val="18"/>
                <w:szCs w:val="18"/>
                <w:color w:val="auto"/>
              </w:rPr>
              <w:t>688</w:t>
            </w:r>
          </w:p>
        </w:tc>
        <w:tc>
          <w:tcPr>
            <w:tcW w:w="2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Accrued expenses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60" w:type="dxa"/>
            <w:vAlign w:val="bottom"/>
          </w:tcPr>
          <w:p>
            <w:pPr>
              <w:ind w:left="860"/>
              <w:spacing w:after="0"/>
              <w:rPr>
                <w:sz w:val="20"/>
                <w:szCs w:val="20"/>
                <w:color w:val="auto"/>
              </w:rPr>
            </w:pPr>
            <w:r>
              <w:rPr>
                <w:rFonts w:ascii="Arial" w:cs="Arial" w:eastAsia="Arial" w:hAnsi="Arial"/>
                <w:sz w:val="18"/>
                <w:szCs w:val="18"/>
                <w:color w:val="auto"/>
              </w:rPr>
              <w:t>Deferred revenue</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2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(10,223)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(9,052)</w:t>
            </w:r>
          </w:p>
        </w:tc>
        <w:tc>
          <w:tcPr>
            <w:tcW w:w="0" w:type="dxa"/>
            <w:vAlign w:val="bottom"/>
          </w:tcPr>
          <w:p>
            <w:pPr>
              <w:spacing w:after="0"/>
              <w:rPr>
                <w:sz w:val="1"/>
                <w:szCs w:val="1"/>
                <w:color w:val="auto"/>
              </w:rPr>
            </w:pPr>
          </w:p>
        </w:tc>
      </w:tr>
      <w:tr>
        <w:trPr>
          <w:trHeight w:val="322"/>
        </w:trPr>
        <w:tc>
          <w:tcPr>
            <w:tcW w:w="978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Purchases of marketable securities</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(9,875)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Sales/Maturities of marketable securities</w:t>
            </w:r>
          </w:p>
        </w:tc>
        <w:tc>
          <w:tcPr>
            <w:tcW w:w="640" w:type="dxa"/>
            <w:vAlign w:val="bottom"/>
          </w:tcPr>
          <w:p>
            <w:pPr>
              <w:jc w:val="right"/>
              <w:spacing w:after="0"/>
              <w:rPr>
                <w:sz w:val="20"/>
                <w:szCs w:val="20"/>
                <w:color w:val="auto"/>
              </w:rPr>
            </w:pPr>
            <w:r>
              <w:rPr>
                <w:rFonts w:ascii="Arial" w:cs="Arial" w:eastAsia="Arial" w:hAnsi="Arial"/>
                <w:sz w:val="18"/>
                <w:szCs w:val="18"/>
                <w:color w:val="auto"/>
              </w:rPr>
              <w:t>25,947</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14,603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Change in restricted cash</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(1,369)</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7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14,703</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(7,412)</w:t>
            </w:r>
          </w:p>
        </w:tc>
        <w:tc>
          <w:tcPr>
            <w:tcW w:w="0" w:type="dxa"/>
            <w:vAlign w:val="bottom"/>
          </w:tcPr>
          <w:p>
            <w:pPr>
              <w:spacing w:after="0"/>
              <w:rPr>
                <w:sz w:val="1"/>
                <w:szCs w:val="1"/>
                <w:color w:val="auto"/>
              </w:rPr>
            </w:pPr>
          </w:p>
        </w:tc>
      </w:tr>
      <w:tr>
        <w:trPr>
          <w:trHeight w:val="322"/>
        </w:trPr>
        <w:tc>
          <w:tcPr>
            <w:tcW w:w="978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Net proceeds from issuance of common stock</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2,518</w:t>
            </w:r>
          </w:p>
        </w:tc>
        <w:tc>
          <w:tcPr>
            <w:tcW w:w="2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78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640" w:type="dxa"/>
            <w:vAlign w:val="bottom"/>
          </w:tcPr>
          <w:p>
            <w:pPr>
              <w:jc w:val="right"/>
              <w:spacing w:after="0"/>
              <w:rPr>
                <w:sz w:val="20"/>
                <w:szCs w:val="20"/>
                <w:color w:val="auto"/>
              </w:rPr>
            </w:pPr>
            <w:r>
              <w:rPr>
                <w:rFonts w:ascii="Arial" w:cs="Arial" w:eastAsia="Arial" w:hAnsi="Arial"/>
                <w:sz w:val="18"/>
                <w:szCs w:val="18"/>
                <w:color w:val="auto"/>
              </w:rPr>
              <w:t>2,518</w:t>
            </w: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19,130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Translation loss on subsidiaries in foreign currencies</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9780" w:type="dxa"/>
            <w:vAlign w:val="bottom"/>
            <w:gridSpan w:val="2"/>
          </w:tcPr>
          <w:p>
            <w:pPr>
              <w:spacing w:after="0"/>
              <w:rPr>
                <w:sz w:val="20"/>
                <w:szCs w:val="20"/>
                <w:color w:val="auto"/>
              </w:rPr>
            </w:pPr>
            <w:r>
              <w:rPr>
                <w:rFonts w:ascii="Arial" w:cs="Arial" w:eastAsia="Arial" w:hAnsi="Arial"/>
                <w:sz w:val="18"/>
                <w:szCs w:val="18"/>
                <w:color w:val="auto"/>
              </w:rPr>
              <w:t>Change in cash and cash equivalents</w:t>
            </w:r>
          </w:p>
        </w:tc>
        <w:tc>
          <w:tcPr>
            <w:tcW w:w="640" w:type="dxa"/>
            <w:vAlign w:val="bottom"/>
          </w:tcPr>
          <w:p>
            <w:pPr>
              <w:jc w:val="right"/>
              <w:spacing w:after="0"/>
              <w:rPr>
                <w:sz w:val="20"/>
                <w:szCs w:val="20"/>
                <w:color w:val="auto"/>
              </w:rPr>
            </w:pPr>
            <w:r>
              <w:rPr>
                <w:rFonts w:ascii="Arial" w:cs="Arial" w:eastAsia="Arial" w:hAnsi="Arial"/>
                <w:sz w:val="18"/>
                <w:szCs w:val="18"/>
                <w:color w:val="auto"/>
              </w:rPr>
              <w:t>6,995</w:t>
            </w:r>
          </w:p>
        </w:tc>
        <w:tc>
          <w:tcPr>
            <w:tcW w:w="2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2,666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7,590</w:t>
            </w:r>
          </w:p>
        </w:tc>
        <w:tc>
          <w:tcPr>
            <w:tcW w:w="2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78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$ 14,585</w:t>
            </w:r>
          </w:p>
        </w:tc>
        <w:tc>
          <w:tcPr>
            <w:tcW w:w="2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$ 20,291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2006</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(Unaudited)</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Significant Accounting Policies</w:t>
      </w:r>
    </w:p>
    <w:p>
      <w:pPr>
        <w:spacing w:after="0" w:line="9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 xml:space="preserve">Basis of presentation: </w:t>
      </w:r>
      <w:r>
        <w:rPr>
          <w:rFonts w:ascii="Arial" w:cs="Arial" w:eastAsia="Arial" w:hAnsi="Arial"/>
          <w:sz w:val="16"/>
          <w:szCs w:val="16"/>
          <w:color w:val="auto"/>
        </w:rPr>
        <w:t>Active Power, Inc. and its subsidiaries (hereinafter referred to as we, Active Power or the Company) design, manufacture and</w:t>
      </w:r>
      <w:r>
        <w:rPr>
          <w:rFonts w:ascii="Arial" w:cs="Arial" w:eastAsia="Arial" w:hAnsi="Arial"/>
          <w:sz w:val="16"/>
          <w:szCs w:val="16"/>
          <w:b w:val="1"/>
          <w:bCs w:val="1"/>
          <w:color w:val="auto"/>
        </w:rPr>
        <w:t xml:space="preserve"> </w:t>
      </w:r>
      <w:r>
        <w:rPr>
          <w:rFonts w:ascii="Arial" w:cs="Arial" w:eastAsia="Arial" w:hAnsi="Arial"/>
          <w:sz w:val="16"/>
          <w:szCs w:val="16"/>
          <w:color w:val="auto"/>
        </w:rPr>
        <w:t>market power quality products to provide the consistent, reliable electric power required by customers during electric utility outages. We offer a range of flywheel energy storage systems that provide highly reliable, low-cost and non-toxic replacement for lead-acid batteries used in conventional power quality installations. We have recently broadened our product offerings by developing a battery-free extended runtime technology that utilizes thermal and compressed air storage to provide backup power for minutes to hours depending on the application. We introduced this product in 2006. We sell our products globally through direct and Original Equipment Manufacturer (OEM) channels. Our current principal markets are North America and Europe, Middle East and Africa (EMEA).</w:t>
      </w:r>
    </w:p>
    <w:p>
      <w:pPr>
        <w:spacing w:after="0" w:line="11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accompanying condensed consolidated financial statements have been prepared in accordance with U.S. generally accepted accounting principles and include the accounts of the Company and its consolidated subsidiaries. In the opinion of management, the accompanying unaudited condensed consolidated financial statements contain all adjustments necessary to present fairly the consolidated financial position of the Company and its consolidated results of operations and cash flows. These interim financial statements should be read in conjunction with the financial statements and accompanying notes included in the Company’s Annual Report on Form 10-K for the year ended December 31, 2005.</w:t>
      </w:r>
    </w:p>
    <w:p>
      <w:pPr>
        <w:spacing w:after="0" w:line="110" w:lineRule="exact"/>
        <w:rPr>
          <w:sz w:val="20"/>
          <w:szCs w:val="20"/>
          <w:color w:val="auto"/>
        </w:rPr>
      </w:pPr>
    </w:p>
    <w:p>
      <w:pPr>
        <w:jc w:val="both"/>
        <w:ind w:right="660" w:firstLine="456"/>
        <w:spacing w:after="0" w:line="262" w:lineRule="auto"/>
        <w:rPr>
          <w:sz w:val="20"/>
          <w:szCs w:val="20"/>
          <w:color w:val="auto"/>
        </w:rPr>
      </w:pPr>
      <w:r>
        <w:rPr>
          <w:rFonts w:ascii="Arial" w:cs="Arial" w:eastAsia="Arial" w:hAnsi="Arial"/>
          <w:sz w:val="18"/>
          <w:szCs w:val="18"/>
          <w:b w:val="1"/>
          <w:bCs w:val="1"/>
          <w:color w:val="auto"/>
        </w:rPr>
        <w:t>Recently issued accounting standards</w:t>
      </w:r>
      <w:r>
        <w:rPr>
          <w:rFonts w:ascii="Arial" w:cs="Arial" w:eastAsia="Arial" w:hAnsi="Arial"/>
          <w:sz w:val="18"/>
          <w:szCs w:val="18"/>
          <w:color w:val="auto"/>
        </w:rPr>
        <w:t>: In June 2006, the FASB issued FASB Interpretation 48 (FIN 48), “Accounting for Uncertainty in Income</w:t>
      </w:r>
      <w:r>
        <w:rPr>
          <w:rFonts w:ascii="Arial" w:cs="Arial" w:eastAsia="Arial" w:hAnsi="Arial"/>
          <w:sz w:val="18"/>
          <w:szCs w:val="18"/>
          <w:b w:val="1"/>
          <w:bCs w:val="1"/>
          <w:color w:val="auto"/>
        </w:rPr>
        <w:t xml:space="preserve"> </w:t>
      </w:r>
      <w:r>
        <w:rPr>
          <w:rFonts w:ascii="Arial" w:cs="Arial" w:eastAsia="Arial" w:hAnsi="Arial"/>
          <w:sz w:val="18"/>
          <w:szCs w:val="18"/>
          <w:color w:val="auto"/>
        </w:rPr>
        <w:t>Taxes”. FIN 48 clarifies the accounting for uncertainty in income taxes recognized in an enterprise’s financial statements in accordance with SFAS 109, “Accounting for Income Taxes”. This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Interpretation defines the minimum recognition threshold a tax position is required to meet before being recognized in the financial statements. FIN 48 is effective for fiscal years beginning after December 15, 2006. The Company is currently evaluating the effect that the adoption of FIN 48 will have on its financial position and results of operations.</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Stock-based compensation: Effective the beginning of 2006, we adopted SFAS No.123(R), </w:t>
      </w:r>
      <w:r>
        <w:rPr>
          <w:rFonts w:ascii="Arial" w:cs="Arial" w:eastAsia="Arial" w:hAnsi="Arial"/>
          <w:sz w:val="18"/>
          <w:szCs w:val="18"/>
          <w:i w:val="1"/>
          <w:iCs w:val="1"/>
          <w:color w:val="auto"/>
        </w:rPr>
        <w:t>Share-Based Payments,</w:t>
      </w:r>
      <w:r>
        <w:rPr>
          <w:rFonts w:ascii="Arial" w:cs="Arial" w:eastAsia="Arial" w:hAnsi="Arial"/>
          <w:sz w:val="18"/>
          <w:szCs w:val="18"/>
          <w:color w:val="auto"/>
        </w:rPr>
        <w:t xml:space="preserve"> and elected to adopt the modified prospective application method. Accordingly, stock-based compensation cost is measured at the grant date, based on the fair value of the award, and is recognized as an expense over the requisite service period. For stock awards granted in 2006, expenses are amortized under the straight-line attribution method. For stock awards granted prior to 2006, expenses are amortized under the single option method prescribed by FASB Interpretation No.28. Previously reported amounts have not been restated. See Note 2.</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Supplemental Balance Sheet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Accounts receivables consist of the following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June 30,</w:t>
            </w:r>
          </w:p>
        </w:tc>
        <w:tc>
          <w:tcPr>
            <w:tcW w:w="30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2006</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w:t>
            </w:r>
          </w:p>
        </w:tc>
        <w:tc>
          <w:tcPr>
            <w:tcW w:w="15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$ 5,307</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7,111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72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(1,224)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(1,342)</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7760" w:type="dxa"/>
            <w:vAlign w:val="bottom"/>
          </w:tcPr>
          <w:p>
            <w:pPr>
              <w:spacing w:after="0"/>
              <w:rPr>
                <w:sz w:val="2"/>
                <w:szCs w:val="2"/>
                <w:color w:val="auto"/>
              </w:rPr>
            </w:pPr>
          </w:p>
        </w:tc>
        <w:tc>
          <w:tcPr>
            <w:tcW w:w="72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776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$ 4,083</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20" w:type="dxa"/>
            <w:vAlign w:val="bottom"/>
            <w:gridSpan w:val="2"/>
            <w:vMerge w:val="restart"/>
          </w:tcPr>
          <w:p>
            <w:pPr>
              <w:jc w:val="right"/>
              <w:ind w:right="7392"/>
              <w:spacing w:after="0"/>
              <w:rPr>
                <w:sz w:val="20"/>
                <w:szCs w:val="20"/>
                <w:color w:val="auto"/>
              </w:rPr>
            </w:pPr>
            <w:r>
              <w:rPr>
                <w:rFonts w:ascii="Arial" w:cs="Arial" w:eastAsia="Arial" w:hAnsi="Arial"/>
                <w:sz w:val="18"/>
                <w:szCs w:val="18"/>
                <w:b w:val="1"/>
                <w:bCs w:val="1"/>
                <w:color w:val="auto"/>
                <w:w w:val="88"/>
              </w:rPr>
              <w:t>Inventory</w:t>
            </w:r>
          </w:p>
        </w:tc>
        <w:tc>
          <w:tcPr>
            <w:tcW w:w="7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8220" w:type="dxa"/>
            <w:vAlign w:val="bottom"/>
            <w:gridSpan w:val="2"/>
            <w:vMerge w:val="continue"/>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220" w:type="dxa"/>
            <w:vAlign w:val="bottom"/>
            <w:gridSpan w:val="2"/>
          </w:tcPr>
          <w:p>
            <w:pPr>
              <w:ind w:left="460"/>
              <w:spacing w:after="0"/>
              <w:rPr>
                <w:sz w:val="20"/>
                <w:szCs w:val="20"/>
                <w:color w:val="auto"/>
              </w:rPr>
            </w:pPr>
            <w:r>
              <w:rPr>
                <w:rFonts w:ascii="Arial" w:cs="Arial" w:eastAsia="Arial" w:hAnsi="Arial"/>
                <w:sz w:val="18"/>
                <w:szCs w:val="18"/>
                <w:color w:val="auto"/>
                <w:w w:val="97"/>
              </w:rPr>
              <w:t>We state inventories at the lower of cost or market, using the first-in-first-out-method (in thousands):</w:t>
            </w: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June 30,</w:t>
            </w:r>
          </w:p>
        </w:tc>
        <w:tc>
          <w:tcPr>
            <w:tcW w:w="300" w:type="dxa"/>
            <w:vAlign w:val="bottom"/>
          </w:tcPr>
          <w:p>
            <w:pPr>
              <w:spacing w:after="0"/>
              <w:rPr>
                <w:sz w:val="24"/>
                <w:szCs w:val="2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2006</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$5,121</w:t>
            </w:r>
          </w:p>
        </w:tc>
        <w:tc>
          <w:tcPr>
            <w:tcW w:w="3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Work in process and finished goods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3,237</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Allowances for obsolescence</w:t>
            </w:r>
          </w:p>
        </w:tc>
        <w:tc>
          <w:tcPr>
            <w:tcW w:w="72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8,002</w:t>
            </w:r>
          </w:p>
        </w:tc>
        <w:tc>
          <w:tcPr>
            <w:tcW w:w="360" w:type="dxa"/>
            <w:vAlign w:val="bottom"/>
          </w:tcPr>
          <w:p>
            <w:pPr>
              <w:spacing w:after="0"/>
              <w:rPr>
                <w:sz w:val="19"/>
                <w:szCs w:val="19"/>
                <w:color w:val="auto"/>
              </w:rPr>
            </w:pP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4,242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20" w:type="dxa"/>
            <w:vAlign w:val="bottom"/>
            <w:gridSpan w:val="2"/>
            <w:vMerge w:val="restart"/>
          </w:tcPr>
          <w:p>
            <w:pPr>
              <w:jc w:val="right"/>
              <w:ind w:right="2372"/>
              <w:spacing w:after="0"/>
              <w:rPr>
                <w:sz w:val="20"/>
                <w:szCs w:val="20"/>
                <w:color w:val="auto"/>
              </w:rPr>
            </w:pPr>
            <w:r>
              <w:rPr>
                <w:rFonts w:ascii="Arial" w:cs="Arial" w:eastAsia="Arial" w:hAnsi="Arial"/>
                <w:sz w:val="18"/>
                <w:szCs w:val="18"/>
                <w:color w:val="auto"/>
              </w:rPr>
              <w:t>5</w:t>
            </w:r>
          </w:p>
        </w:tc>
        <w:tc>
          <w:tcPr>
            <w:tcW w:w="7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220" w:type="dxa"/>
            <w:vAlign w:val="bottom"/>
            <w:gridSpan w:val="2"/>
            <w:vMerge w:val="continue"/>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consist of the following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7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5"/>
              </w:rPr>
              <w:t>June 30,</w:t>
            </w:r>
          </w:p>
        </w:tc>
        <w:tc>
          <w:tcPr>
            <w:tcW w:w="60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jc w:val="right"/>
              <w:ind w:right="106"/>
              <w:spacing w:after="0"/>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8,888</w:t>
            </w:r>
          </w:p>
        </w:tc>
        <w:tc>
          <w:tcPr>
            <w:tcW w:w="7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8,265</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Computers and software</w:t>
            </w:r>
          </w:p>
        </w:tc>
        <w:tc>
          <w:tcPr>
            <w:tcW w:w="100" w:type="dxa"/>
            <w:vAlign w:val="bottom"/>
          </w:tcPr>
          <w:p>
            <w:pPr>
              <w:spacing w:after="0"/>
              <w:rPr>
                <w:sz w:val="18"/>
                <w:szCs w:val="18"/>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8"/>
                <w:szCs w:val="18"/>
                <w:color w:val="auto"/>
              </w:rPr>
              <w:t>2,454</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Demonstration units</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995</w:t>
            </w:r>
          </w:p>
        </w:tc>
        <w:tc>
          <w:tcPr>
            <w:tcW w:w="6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00" w:type="dxa"/>
            <w:vAlign w:val="bottom"/>
          </w:tcPr>
          <w:p>
            <w:pPr>
              <w:spacing w:after="0"/>
              <w:rPr>
                <w:sz w:val="18"/>
                <w:szCs w:val="18"/>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8"/>
                <w:szCs w:val="18"/>
                <w:color w:val="auto"/>
              </w:rPr>
              <w:t>327</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7,066</w:t>
            </w:r>
          </w:p>
        </w:tc>
        <w:tc>
          <w:tcPr>
            <w:tcW w:w="6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7,043</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Equipment under lease agreements</w:t>
            </w:r>
          </w:p>
        </w:tc>
        <w:tc>
          <w:tcPr>
            <w:tcW w:w="100" w:type="dxa"/>
            <w:vAlign w:val="bottom"/>
          </w:tcPr>
          <w:p>
            <w:pPr>
              <w:spacing w:after="0"/>
              <w:rPr>
                <w:sz w:val="18"/>
                <w:szCs w:val="18"/>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8"/>
                <w:szCs w:val="18"/>
                <w:color w:val="auto"/>
              </w:rPr>
              <w:t>187</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224</w:t>
            </w:r>
          </w:p>
        </w:tc>
        <w:tc>
          <w:tcPr>
            <w:tcW w:w="6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8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8"/>
                <w:szCs w:val="18"/>
                <w:color w:val="auto"/>
                <w:w w:val="94"/>
              </w:rPr>
              <w:t>20,141</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18,803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460" w:type="dxa"/>
            <w:vAlign w:val="bottom"/>
            <w:vMerge w:val="restart"/>
          </w:tcPr>
          <w:p>
            <w:pPr>
              <w:spacing w:after="0"/>
              <w:rPr>
                <w:sz w:val="2"/>
                <w:szCs w:val="2"/>
                <w:color w:val="auto"/>
              </w:rPr>
            </w:pPr>
          </w:p>
        </w:tc>
        <w:tc>
          <w:tcPr>
            <w:tcW w:w="8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6"/>
              </w:rPr>
              <w:t>(12,293)</w:t>
            </w:r>
          </w:p>
        </w:tc>
        <w:tc>
          <w:tcPr>
            <w:tcW w:w="6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(11,273)</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0" w:type="dxa"/>
            <w:vAlign w:val="bottom"/>
          </w:tcPr>
          <w:p>
            <w:pPr>
              <w:spacing w:after="0"/>
              <w:rPr>
                <w:sz w:val="19"/>
                <w:szCs w:val="19"/>
                <w:color w:val="auto"/>
              </w:rPr>
            </w:pPr>
          </w:p>
        </w:tc>
        <w:tc>
          <w:tcPr>
            <w:tcW w:w="83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3"/>
          </w:tcPr>
          <w:p>
            <w:pPr>
              <w:jc w:val="right"/>
              <w:ind w:right="120"/>
              <w:spacing w:after="0"/>
              <w:rPr>
                <w:sz w:val="20"/>
                <w:szCs w:val="20"/>
                <w:color w:val="auto"/>
              </w:rPr>
            </w:pPr>
            <w:r>
              <w:rPr>
                <w:rFonts w:ascii="Arial" w:cs="Arial" w:eastAsia="Arial" w:hAnsi="Arial"/>
                <w:sz w:val="18"/>
                <w:szCs w:val="18"/>
                <w:color w:val="auto"/>
              </w:rPr>
              <w:t>7,848</w:t>
            </w:r>
          </w:p>
        </w:tc>
        <w:tc>
          <w:tcPr>
            <w:tcW w:w="7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7,530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Accrued Expenses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8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800" w:type="dxa"/>
            <w:vAlign w:val="bottom"/>
            <w:gridSpan w:val="2"/>
          </w:tcPr>
          <w:p>
            <w:pPr>
              <w:ind w:left="460"/>
              <w:spacing w:after="0"/>
              <w:rPr>
                <w:sz w:val="20"/>
                <w:szCs w:val="20"/>
                <w:color w:val="auto"/>
              </w:rPr>
            </w:pPr>
            <w:r>
              <w:rPr>
                <w:rFonts w:ascii="Arial" w:cs="Arial" w:eastAsia="Arial" w:hAnsi="Arial"/>
                <w:sz w:val="18"/>
                <w:szCs w:val="18"/>
                <w:color w:val="auto"/>
              </w:rPr>
              <w:t>Accrued expenses consist of the following (in thousands):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8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b w:val="1"/>
                <w:bCs w:val="1"/>
                <w:color w:val="auto"/>
                <w:w w:val="82"/>
              </w:rPr>
              <w:t>June 30,</w:t>
            </w:r>
          </w:p>
        </w:tc>
        <w:tc>
          <w:tcPr>
            <w:tcW w:w="60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2006</w:t>
            </w:r>
          </w:p>
        </w:tc>
        <w:tc>
          <w:tcPr>
            <w:tcW w:w="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7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Warranty liability</w:t>
            </w:r>
          </w:p>
        </w:tc>
        <w:tc>
          <w:tcPr>
            <w:tcW w:w="10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616</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State, property and sales taxes</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6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Professional fees</w:t>
            </w:r>
          </w:p>
        </w:tc>
        <w:tc>
          <w:tcPr>
            <w:tcW w:w="10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706</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60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8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3,982</w:t>
            </w:r>
          </w:p>
        </w:tc>
        <w:tc>
          <w:tcPr>
            <w:tcW w:w="7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3,780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Warranty Liability</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Generally, the warranty period for our power quality products is 12 months from the date of commissioning or 18 months from the date of shipment from Active Power, whichever period is shorter. We provide for the estimated cost of product warranties at the time revenue is recognized and this accrual is contained in accrued expenses on the accompanying balance sheet.</w:t>
      </w:r>
    </w:p>
    <w:p>
      <w:pPr>
        <w:spacing w:after="0" w:line="140"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10020" w:type="dxa"/>
            <w:vAlign w:val="bottom"/>
            <w:gridSpan w:val="2"/>
          </w:tcPr>
          <w:p>
            <w:pPr>
              <w:spacing w:after="0"/>
              <w:rPr>
                <w:sz w:val="20"/>
                <w:szCs w:val="20"/>
                <w:color w:val="auto"/>
              </w:rPr>
            </w:pPr>
            <w:r>
              <w:rPr>
                <w:rFonts w:ascii="Arial" w:cs="Arial" w:eastAsia="Arial" w:hAnsi="Arial"/>
                <w:sz w:val="18"/>
                <w:szCs w:val="18"/>
                <w:color w:val="auto"/>
              </w:rPr>
              <w:t>Changes in our warranty liability are presented in the following table (in thousands):</w:t>
            </w: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10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2005</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$ 644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tcPr>
          <w:p>
            <w:pPr>
              <w:ind w:left="420"/>
              <w:spacing w:after="0"/>
              <w:rPr>
                <w:sz w:val="20"/>
                <w:szCs w:val="20"/>
                <w:color w:val="auto"/>
              </w:rPr>
            </w:pPr>
            <w:r>
              <w:rPr>
                <w:rFonts w:ascii="Arial" w:cs="Arial" w:eastAsia="Arial" w:hAnsi="Arial"/>
                <w:sz w:val="18"/>
                <w:szCs w:val="18"/>
                <w:color w:val="auto"/>
              </w:rPr>
              <w:t>Warranty expense</w:t>
            </w:r>
          </w:p>
        </w:tc>
        <w:tc>
          <w:tcPr>
            <w:tcW w:w="420" w:type="dxa"/>
            <w:vAlign w:val="bottom"/>
          </w:tcPr>
          <w:p>
            <w:pPr>
              <w:jc w:val="right"/>
              <w:spacing w:after="0"/>
              <w:rPr>
                <w:sz w:val="20"/>
                <w:szCs w:val="20"/>
                <w:color w:val="auto"/>
              </w:rPr>
            </w:pPr>
            <w:r>
              <w:rPr>
                <w:rFonts w:ascii="Arial" w:cs="Arial" w:eastAsia="Arial" w:hAnsi="Arial"/>
                <w:sz w:val="18"/>
                <w:szCs w:val="18"/>
                <w:color w:val="auto"/>
              </w:rPr>
              <w:t>367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Warranty charges incurred</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22"/>
        </w:trPr>
        <w:tc>
          <w:tcPr>
            <w:tcW w:w="10020" w:type="dxa"/>
            <w:vAlign w:val="bottom"/>
            <w:gridSpan w:val="2"/>
          </w:tcPr>
          <w:p>
            <w:pPr>
              <w:spacing w:after="0"/>
              <w:rPr>
                <w:sz w:val="20"/>
                <w:szCs w:val="20"/>
                <w:color w:val="auto"/>
              </w:rPr>
            </w:pPr>
            <w:r>
              <w:rPr>
                <w:rFonts w:ascii="Arial" w:cs="Arial" w:eastAsia="Arial" w:hAnsi="Arial"/>
                <w:sz w:val="18"/>
                <w:szCs w:val="18"/>
                <w:color w:val="auto"/>
              </w:rPr>
              <w:t>Balance at June 30, 2006</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$ 616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Between March 2002 and October 2004, Active Power and Joseph Pinkerton, our Chairman and then-Chief Executive Officer, were parties to a lawsuit with Magnex Corporation and other plaintiffs alleging breach of a joint venture agreement, misappropriation of trade secrets and other torts. As disclosed in our 2004 Annual Report on Form 10-K, this litigation was settled in October 2004 with the Company paying $5.08 million in settlement expense in 2004. The plaintiffs dismissed their claims and provided a covenant not to sue the defendants in the future. The plaintiffs further agreed to transfer, assign and otherwise release to the defendants all rights to certain technology involved in the lawsuit.</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459" w:right="3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July 16, 2004 we filed a lawsuit against Greenwich Insurance Company seeking coverage under an insurance policy providing for management liability and company reimbursement coverage for certain of our and our then-CEO, Joe Pinkerton’s, expenses and damages related to the Magnex litigation described above.</w:t>
      </w:r>
    </w:p>
    <w:p>
      <w:pPr>
        <w:spacing w:after="0" w:line="14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This case seeks a declaratory judgment that we are entitled to coverage under our policy with Greenwich Insurance Company and also alleges breach of contract for Greenwich’s failure to fulfill its contractual obligations under the policy. This case was filed in the Travis County District Court, in Texas state court. An amended petition was filed on September 14, 2004. In the event of any recovery in this action, we would retain an amount equal to our legal expenses related to this Greenwich Insurance litigation. Any additional recovery up to $1.22 million shall next be paid to Mr. Pinkerton as reimbursement for his settlement expense and other costs related to the Magnex lawsuit. Any recovery beyond this amount would be retained by us.</w:t>
      </w:r>
    </w:p>
    <w:p>
      <w:pPr>
        <w:spacing w:after="0" w:line="11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On April 11, 2006 the Court denied Greenwich’s motion for summary judgment in part. In July we engaged in a court-mandated mediation with regard to this litigation but were unable to reach a resolution of the dispute. Discovery and other proceedings in the case are ongoing. We anticipate a trial date in November 2006.</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Plans</w:t>
      </w:r>
    </w:p>
    <w:p>
      <w:pPr>
        <w:spacing w:after="0" w:line="96"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As of June 30, 2006, we had 7,240,616 shares of common stock reserved for issuance under our 2000 stock plan, of which 6,445,341 were subject to outstanding options and 795,275 were available for future grants of stock awards. Options are subject to terms and conditions as determined by our Board of Directors. We formerly had a Stock Purchase Plan but this was cancelled in February 2006.</w:t>
      </w:r>
    </w:p>
    <w:p>
      <w:pPr>
        <w:spacing w:after="0" w:line="14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b w:val="1"/>
          <w:bCs w:val="1"/>
          <w:i w:val="1"/>
          <w:iCs w:val="1"/>
          <w:color w:val="auto"/>
        </w:rPr>
        <w:t xml:space="preserve">Stock Options: </w:t>
      </w:r>
      <w:r>
        <w:rPr>
          <w:rFonts w:ascii="Arial" w:cs="Arial" w:eastAsia="Arial" w:hAnsi="Arial"/>
          <w:sz w:val="16"/>
          <w:szCs w:val="16"/>
          <w:color w:val="auto"/>
        </w:rPr>
        <w:t>Our stock options are generally immediately exercisable and vest quarterly over four years beginning from the date of grant. Board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directors’ options typically cliff vest one year from the grant date. The exercise price, term and other conditions applicable to each stock option granted are generally determined by the Compensation Committee of our Board of Directors. The exercise price of each award is set on the grant date and is typically set at the fair market value per share of our stock on that date. All options expire after 10 years. Unexercised options are cancelled 90 days after termination and unvested options are cancelled on the date of termination and become available under the Plan for future grants.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Option activity for the first six months of 2006 is summarized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w w:val="91"/>
              </w:rPr>
              <w:t>Weighted</w:t>
            </w:r>
          </w:p>
        </w:tc>
        <w:tc>
          <w:tcPr>
            <w:tcW w:w="10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5"/>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480" w:type="dxa"/>
            <w:vAlign w:val="bottom"/>
            <w:gridSpan w:val="2"/>
          </w:tcPr>
          <w:p>
            <w:pPr>
              <w:jc w:val="right"/>
              <w:ind w:right="800"/>
              <w:spacing w:after="0" w:line="149" w:lineRule="exact"/>
              <w:rPr>
                <w:sz w:val="20"/>
                <w:szCs w:val="20"/>
                <w:color w:val="auto"/>
              </w:rPr>
            </w:pPr>
            <w:r>
              <w:rPr>
                <w:rFonts w:ascii="Arial" w:cs="Arial" w:eastAsia="Arial" w:hAnsi="Arial"/>
                <w:sz w:val="14"/>
                <w:szCs w:val="14"/>
                <w:b w:val="1"/>
                <w:bCs w:val="1"/>
                <w:color w:val="auto"/>
                <w:w w:val="94"/>
              </w:rPr>
              <w:t>Number of</w:t>
            </w:r>
          </w:p>
        </w:tc>
        <w:tc>
          <w:tcPr>
            <w:tcW w:w="1660" w:type="dxa"/>
            <w:vAlign w:val="bottom"/>
            <w:gridSpan w:val="3"/>
          </w:tcPr>
          <w:p>
            <w:pPr>
              <w:jc w:val="right"/>
              <w:ind w:right="720"/>
              <w:spacing w:after="0" w:line="149" w:lineRule="exact"/>
              <w:rPr>
                <w:sz w:val="20"/>
                <w:szCs w:val="20"/>
                <w:color w:val="auto"/>
              </w:rPr>
            </w:pPr>
            <w:r>
              <w:rPr>
                <w:rFonts w:ascii="Arial" w:cs="Arial" w:eastAsia="Arial" w:hAnsi="Arial"/>
                <w:sz w:val="14"/>
                <w:szCs w:val="14"/>
                <w:b w:val="1"/>
                <w:bCs w:val="1"/>
                <w:color w:val="auto"/>
                <w:w w:val="81"/>
              </w:rPr>
              <w:t>average exercise</w:t>
            </w:r>
          </w:p>
        </w:tc>
        <w:tc>
          <w:tcPr>
            <w:tcW w:w="10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Shares</w:t>
            </w:r>
          </w:p>
        </w:tc>
        <w:tc>
          <w:tcPr>
            <w:tcW w:w="166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w w:val="87"/>
              </w:rPr>
              <w:t>price per share</w:t>
            </w:r>
          </w:p>
        </w:tc>
        <w:tc>
          <w:tcPr>
            <w:tcW w:w="10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contractual life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10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(in years)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Outstanding and exercisable – Dec. 31, 2005</w:t>
            </w:r>
          </w:p>
        </w:tc>
        <w:tc>
          <w:tcPr>
            <w:tcW w:w="306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6,277,316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4.55</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Granted</w:t>
            </w:r>
          </w:p>
        </w:tc>
        <w:tc>
          <w:tcPr>
            <w:tcW w:w="3060" w:type="dxa"/>
            <w:vAlign w:val="bottom"/>
            <w:gridSpan w:val="3"/>
          </w:tcPr>
          <w:p>
            <w:pPr>
              <w:jc w:val="right"/>
              <w:ind w:right="760"/>
              <w:spacing w:after="0"/>
              <w:rPr>
                <w:sz w:val="20"/>
                <w:szCs w:val="20"/>
                <w:color w:val="auto"/>
              </w:rPr>
            </w:pPr>
            <w:r>
              <w:rPr>
                <w:rFonts w:ascii="Arial" w:cs="Arial" w:eastAsia="Arial" w:hAnsi="Arial"/>
                <w:sz w:val="18"/>
                <w:szCs w:val="18"/>
                <w:color w:val="auto"/>
              </w:rPr>
              <w:t>1,457,500</w:t>
            </w:r>
          </w:p>
        </w:tc>
        <w:tc>
          <w:tcPr>
            <w:tcW w:w="140" w:type="dxa"/>
            <w:vAlign w:val="bottom"/>
          </w:tcPr>
          <w:p>
            <w:pPr>
              <w:spacing w:after="0"/>
              <w:rPr>
                <w:sz w:val="18"/>
                <w:szCs w:val="18"/>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4.72</w:t>
            </w:r>
          </w:p>
        </w:tc>
        <w:tc>
          <w:tcPr>
            <w:tcW w:w="1040" w:type="dxa"/>
            <w:vAlign w:val="bottom"/>
          </w:tcPr>
          <w:p>
            <w:pPr>
              <w:jc w:val="right"/>
              <w:spacing w:after="0"/>
              <w:rPr>
                <w:sz w:val="20"/>
                <w:szCs w:val="20"/>
                <w:color w:val="auto"/>
              </w:rPr>
            </w:pPr>
            <w:r>
              <w:rPr>
                <w:rFonts w:ascii="Arial" w:cs="Arial" w:eastAsia="Arial" w:hAnsi="Arial"/>
                <w:sz w:val="18"/>
                <w:szCs w:val="18"/>
                <w:color w:val="auto"/>
              </w:rPr>
              <w:t>9.75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306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(859,414)</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2.62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Cancelled or expired</w:t>
            </w:r>
          </w:p>
        </w:tc>
        <w:tc>
          <w:tcPr>
            <w:tcW w:w="1580" w:type="dxa"/>
            <w:vAlign w:val="bottom"/>
          </w:tcPr>
          <w:p>
            <w:pPr>
              <w:spacing w:after="0"/>
              <w:rPr>
                <w:sz w:val="18"/>
                <w:szCs w:val="18"/>
                <w:color w:val="auto"/>
              </w:rPr>
            </w:pPr>
          </w:p>
        </w:tc>
        <w:tc>
          <w:tcPr>
            <w:tcW w:w="1480" w:type="dxa"/>
            <w:vAlign w:val="bottom"/>
            <w:gridSpan w:val="2"/>
          </w:tcPr>
          <w:p>
            <w:pPr>
              <w:jc w:val="right"/>
              <w:ind w:right="720"/>
              <w:spacing w:after="0"/>
              <w:rPr>
                <w:sz w:val="20"/>
                <w:szCs w:val="20"/>
                <w:color w:val="auto"/>
              </w:rPr>
            </w:pPr>
            <w:r>
              <w:rPr>
                <w:rFonts w:ascii="Arial" w:cs="Arial" w:eastAsia="Arial" w:hAnsi="Arial"/>
                <w:sz w:val="18"/>
                <w:szCs w:val="18"/>
                <w:color w:val="auto"/>
                <w:w w:val="95"/>
              </w:rPr>
              <w:t>(430,061)</w:t>
            </w:r>
          </w:p>
        </w:tc>
        <w:tc>
          <w:tcPr>
            <w:tcW w:w="140" w:type="dxa"/>
            <w:vAlign w:val="bottom"/>
          </w:tcPr>
          <w:p>
            <w:pPr>
              <w:spacing w:after="0"/>
              <w:rPr>
                <w:sz w:val="18"/>
                <w:szCs w:val="18"/>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5.73</w:t>
            </w:r>
          </w:p>
        </w:tc>
        <w:tc>
          <w:tcPr>
            <w:tcW w:w="1040" w:type="dxa"/>
            <w:vAlign w:val="bottom"/>
          </w:tcPr>
          <w:p>
            <w:pPr>
              <w:jc w:val="right"/>
              <w:spacing w:after="0"/>
              <w:rPr>
                <w:sz w:val="20"/>
                <w:szCs w:val="20"/>
                <w:color w:val="auto"/>
              </w:rPr>
            </w:pPr>
            <w:r>
              <w:rPr>
                <w:rFonts w:ascii="Arial" w:cs="Arial" w:eastAsia="Arial" w:hAnsi="Arial"/>
                <w:sz w:val="18"/>
                <w:szCs w:val="18"/>
                <w:color w:val="auto"/>
              </w:rPr>
              <w:t>6.85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Outstanding and exercisable – June 30, 2006</w:t>
            </w:r>
          </w:p>
        </w:tc>
        <w:tc>
          <w:tcPr>
            <w:tcW w:w="15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w w:val="87"/>
              </w:rPr>
              <w:t>6,445,341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4.78</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The weighted average fair value per share of options granted during the three-month and six-month periods ending June 30, 2006 was $3.18 and $3.03, respectively. The total intrinsic value of options exercised (which is the amount by which the stock price exceeded the exercise price of the options at the date of</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exercise) during the three-month and six-month periods ended June 30, 2006 was $755,000 and $1.7 million, respectively. The aggregate intrinsic value of outstanding and exercisable options at June 30, 2006 was $2.0 million. During the three-month and six-month periods ended June 30, 2006, the amount of cash received from the exercise of options was $976,000 and $2.2 million, respectively.</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As of June 30, 2006 there was $7.7 million of total unrecognized compensation cost, related to non-vested stock options, that is expected to be recognized over a weighted-average vesting period of 1.63 years.</w:t>
      </w:r>
    </w:p>
    <w:p>
      <w:pPr>
        <w:spacing w:after="0" w:line="132"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fair value of each option award is estimated on the date of grant using the Black-Scholes model. Expected volatilities are based on implied and historical volatilities. The expected life of options granted is based on historical experience and on the terms and conditions of the options. The risk-free rates are based on the U.S. Treasury yield in effect at the time of grant. Assumptions used in the Black-Scholes model for our stock plans are presented below:</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w:t>
            </w:r>
          </w:p>
        </w:tc>
        <w:tc>
          <w:tcPr>
            <w:tcW w:w="700" w:type="dxa"/>
            <w:vAlign w:val="bottom"/>
          </w:tcPr>
          <w:p>
            <w:pPr>
              <w:spacing w:after="0"/>
              <w:rPr>
                <w:sz w:val="14"/>
                <w:szCs w:val="14"/>
                <w:color w:val="auto"/>
              </w:rPr>
            </w:pPr>
          </w:p>
        </w:tc>
        <w:tc>
          <w:tcPr>
            <w:tcW w:w="176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w w:val="88"/>
              </w:rPr>
              <w:t>March 31, 2006</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3"/>
              </w:rPr>
              <w:t>June 30, 2006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Average expected life in years</w:t>
            </w:r>
          </w:p>
        </w:tc>
        <w:tc>
          <w:tcPr>
            <w:tcW w:w="7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6.0</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Expected volatility</w:t>
            </w:r>
          </w:p>
        </w:tc>
        <w:tc>
          <w:tcPr>
            <w:tcW w:w="2460" w:type="dxa"/>
            <w:vAlign w:val="bottom"/>
            <w:gridSpan w:val="3"/>
          </w:tcPr>
          <w:p>
            <w:pPr>
              <w:jc w:val="right"/>
              <w:ind w:right="700"/>
              <w:spacing w:after="0"/>
              <w:rPr>
                <w:sz w:val="20"/>
                <w:szCs w:val="20"/>
                <w:color w:val="auto"/>
              </w:rPr>
            </w:pPr>
            <w:r>
              <w:rPr>
                <w:rFonts w:ascii="Arial" w:cs="Arial" w:eastAsia="Arial" w:hAnsi="Arial"/>
                <w:sz w:val="18"/>
                <w:szCs w:val="18"/>
                <w:color w:val="auto"/>
              </w:rPr>
              <w:t>65.01%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risk-free interest rate</w:t>
            </w:r>
          </w:p>
        </w:tc>
        <w:tc>
          <w:tcPr>
            <w:tcW w:w="246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4.75%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Expected forfeitures</w:t>
            </w:r>
          </w:p>
        </w:tc>
        <w:tc>
          <w:tcPr>
            <w:tcW w:w="2460" w:type="dxa"/>
            <w:vAlign w:val="bottom"/>
            <w:gridSpan w:val="3"/>
          </w:tcPr>
          <w:p>
            <w:pPr>
              <w:jc w:val="right"/>
              <w:ind w:right="700"/>
              <w:spacing w:after="0"/>
              <w:rPr>
                <w:sz w:val="20"/>
                <w:szCs w:val="20"/>
                <w:color w:val="auto"/>
              </w:rPr>
            </w:pPr>
            <w:r>
              <w:rPr>
                <w:rFonts w:ascii="Arial" w:cs="Arial" w:eastAsia="Arial" w:hAnsi="Arial"/>
                <w:sz w:val="18"/>
                <w:szCs w:val="18"/>
                <w:color w:val="auto"/>
              </w:rPr>
              <w:t>5.00%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Black-Scholes option valuation model was developed for use in estimating the fair value of traded options which have no vesting restrictions and are fully transferable and requires the input of subjective assumptions, including the expected stock price volatility and estimated option life. For purposes of this valuation model, no dividends have been assumed.</w:t>
      </w:r>
    </w:p>
    <w:p>
      <w:pPr>
        <w:spacing w:after="0" w:line="140"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b w:val="1"/>
          <w:bCs w:val="1"/>
          <w:i w:val="1"/>
          <w:iCs w:val="1"/>
          <w:color w:val="auto"/>
        </w:rPr>
        <w:t xml:space="preserve">Restricted Stock: </w:t>
      </w:r>
      <w:r>
        <w:rPr>
          <w:rFonts w:ascii="Arial" w:cs="Arial" w:eastAsia="Arial" w:hAnsi="Arial"/>
          <w:sz w:val="16"/>
          <w:szCs w:val="16"/>
          <w:color w:val="auto"/>
        </w:rPr>
        <w:t>As of June 30, 2006 there were 100,000 shares of restricted stock outstanding, of which 50,000 were performance-based stock awards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50,000 were service-based awards. For service-based restricted stock awards, restrictions lapse on the one-year anniversary of the grant date. For the performance-based restricted stock awards, vesting is contingent upon meeting certain performance goals during 2006.</w:t>
      </w:r>
    </w:p>
    <w:p>
      <w:pPr>
        <w:spacing w:after="0" w:line="107"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There were no grants or cancellation of restricted stock during the three and six months ended June 30, 2006. The fair value and compensation expense for restricted stock was determined before implementation of SFAS No. 123(R). Compensation expense for the three-month and six-month periods ended June 30, 2006 for restricted stock was $85,000 and $170,000, respectively. This expense is included in general and administrative expense. As of June 30, 2006 there was $123,000 of total unrecognized compensation cost related to non-vested restricted stock awards that is expected to be recognized over the remainder of 2006.</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Stock-Based Compensation Expense</w:t>
      </w:r>
      <w:r>
        <w:rPr>
          <w:rFonts w:ascii="Arial" w:cs="Arial" w:eastAsia="Arial" w:hAnsi="Arial"/>
          <w:sz w:val="18"/>
          <w:szCs w:val="18"/>
          <w:color w:val="auto"/>
        </w:rPr>
        <w:t>: Total compensation costs relating to our stock plans in the three-month and six month periods ended June 30, 2006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$787,000 and $1.64 million respectively, and included the following:</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196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w w:val="84"/>
              </w:rPr>
              <w:t>Six months ended</w:t>
            </w:r>
          </w:p>
        </w:tc>
        <w:tc>
          <w:tcPr>
            <w:tcW w:w="0" w:type="dxa"/>
            <w:vAlign w:val="bottom"/>
          </w:tcPr>
          <w:p>
            <w:pPr>
              <w:spacing w:after="0"/>
              <w:rPr>
                <w:sz w:val="1"/>
                <w:szCs w:val="1"/>
                <w:color w:val="auto"/>
              </w:rPr>
            </w:pPr>
          </w:p>
        </w:tc>
      </w:tr>
      <w:tr>
        <w:trPr>
          <w:trHeight w:val="161"/>
        </w:trPr>
        <w:tc>
          <w:tcPr>
            <w:tcW w:w="7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2006</w:t>
            </w:r>
          </w:p>
        </w:tc>
        <w:tc>
          <w:tcPr>
            <w:tcW w:w="1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5"/>
              </w:rPr>
              <w:t>June 30, 2006</w:t>
            </w:r>
          </w:p>
        </w:tc>
        <w:tc>
          <w:tcPr>
            <w:tcW w:w="0" w:type="dxa"/>
            <w:vAlign w:val="bottom"/>
          </w:tcPr>
          <w:p>
            <w:pPr>
              <w:spacing w:after="0"/>
              <w:rPr>
                <w:sz w:val="1"/>
                <w:szCs w:val="1"/>
                <w:color w:val="auto"/>
              </w:rPr>
            </w:pPr>
          </w:p>
        </w:tc>
      </w:tr>
      <w:tr>
        <w:trPr>
          <w:trHeight w:val="210"/>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 by caption:</w:t>
            </w: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440"/>
              <w:spacing w:after="0"/>
              <w:rPr>
                <w:sz w:val="20"/>
                <w:szCs w:val="20"/>
                <w:color w:val="auto"/>
              </w:rPr>
            </w:pPr>
            <w:r>
              <w:rPr>
                <w:rFonts w:ascii="Arial" w:cs="Arial" w:eastAsia="Arial" w:hAnsi="Arial"/>
                <w:sz w:val="18"/>
                <w:szCs w:val="18"/>
                <w:color w:val="auto"/>
              </w:rPr>
              <w:t>Cost of product revenue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85,000</w:t>
            </w:r>
          </w:p>
        </w:tc>
        <w:tc>
          <w:tcPr>
            <w:tcW w:w="7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196,000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Cost of service and spares revenue</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44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161,000</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383,000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Selling and marketing</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520" w:type="dxa"/>
            <w:vAlign w:val="bottom"/>
          </w:tcPr>
          <w:p>
            <w:pPr>
              <w:ind w:left="440"/>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348,000</w:t>
            </w:r>
          </w:p>
        </w:tc>
        <w:tc>
          <w:tcPr>
            <w:tcW w:w="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787,000</w:t>
            </w:r>
          </w:p>
        </w:tc>
        <w:tc>
          <w:tcPr>
            <w:tcW w:w="7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20" w:type="dxa"/>
            <w:vAlign w:val="bottom"/>
            <w:vMerge w:val="restart"/>
          </w:tcPr>
          <w:p>
            <w:pPr>
              <w:spacing w:after="0"/>
              <w:rPr>
                <w:sz w:val="20"/>
                <w:szCs w:val="20"/>
                <w:color w:val="auto"/>
              </w:rPr>
            </w:pPr>
            <w:r>
              <w:rPr>
                <w:rFonts w:ascii="Arial" w:cs="Arial" w:eastAsia="Arial" w:hAnsi="Arial"/>
                <w:sz w:val="18"/>
                <w:szCs w:val="18"/>
                <w:color w:val="auto"/>
              </w:rPr>
              <w:t>Stock-based compensation expense by type of award:</w:t>
            </w: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5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 options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702,000</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440"/>
              <w:spacing w:after="0"/>
              <w:rPr>
                <w:sz w:val="20"/>
                <w:szCs w:val="20"/>
                <w:color w:val="auto"/>
              </w:rPr>
            </w:pPr>
            <w:r>
              <w:rPr>
                <w:rFonts w:ascii="Arial" w:cs="Arial" w:eastAsia="Arial" w:hAnsi="Arial"/>
                <w:sz w:val="18"/>
                <w:szCs w:val="18"/>
                <w:color w:val="auto"/>
              </w:rPr>
              <w:t>Stock purchase plan</w:t>
            </w:r>
          </w:p>
        </w:tc>
        <w:tc>
          <w:tcPr>
            <w:tcW w:w="140" w:type="dxa"/>
            <w:vAlign w:val="bottom"/>
          </w:tcPr>
          <w:p>
            <w:pPr>
              <w:spacing w:after="0"/>
              <w:rPr>
                <w:sz w:val="18"/>
                <w:szCs w:val="18"/>
                <w:color w:val="auto"/>
              </w:rPr>
            </w:pPr>
          </w:p>
        </w:tc>
        <w:tc>
          <w:tcPr>
            <w:tcW w:w="18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177,000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Restricted stock awards</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85,000</w:t>
            </w:r>
          </w:p>
        </w:tc>
        <w:tc>
          <w:tcPr>
            <w:tcW w:w="7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787,000</w:t>
            </w:r>
          </w:p>
        </w:tc>
        <w:tc>
          <w:tcPr>
            <w:tcW w:w="7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1,644,000</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Stock-based compensation expense of $9,000 was capitalized and remained in inventory at the end of June 2006.</w:t>
      </w:r>
    </w:p>
    <w:p>
      <w:pPr>
        <w:spacing w:after="0" w:line="171" w:lineRule="exact"/>
        <w:rPr>
          <w:sz w:val="20"/>
          <w:szCs w:val="20"/>
          <w:color w:val="auto"/>
        </w:rPr>
      </w:pPr>
    </w:p>
    <w:p>
      <w:pPr>
        <w:jc w:val="both"/>
        <w:ind w:right="400" w:firstLine="456"/>
        <w:spacing w:after="0" w:line="306" w:lineRule="auto"/>
        <w:rPr>
          <w:sz w:val="20"/>
          <w:szCs w:val="20"/>
          <w:color w:val="auto"/>
        </w:rPr>
      </w:pPr>
      <w:r>
        <w:rPr>
          <w:rFonts w:ascii="Arial" w:cs="Arial" w:eastAsia="Arial" w:hAnsi="Arial"/>
          <w:sz w:val="16"/>
          <w:szCs w:val="16"/>
          <w:color w:val="auto"/>
        </w:rPr>
        <w:t xml:space="preserve">Through 2005, we accounted for our stock plans using the intrinsic value method prescribed by APB Opinion No. 25, </w:t>
      </w:r>
      <w:r>
        <w:rPr>
          <w:rFonts w:ascii="Arial" w:cs="Arial" w:eastAsia="Arial" w:hAnsi="Arial"/>
          <w:sz w:val="16"/>
          <w:szCs w:val="16"/>
          <w:i w:val="1"/>
          <w:iCs w:val="1"/>
          <w:color w:val="auto"/>
        </w:rPr>
        <w:t>Accounting for Stock Issued to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Employees, </w:t>
      </w:r>
      <w:r>
        <w:rPr>
          <w:rFonts w:ascii="Arial" w:cs="Arial" w:eastAsia="Arial" w:hAnsi="Arial"/>
          <w:sz w:val="16"/>
          <w:szCs w:val="16"/>
          <w:color w:val="auto"/>
        </w:rPr>
        <w:t>and related interpretations and provided the required pro forma income and per share data as if a fair value method had been used to account for</w:t>
      </w:r>
      <w:r>
        <w:rPr>
          <w:rFonts w:ascii="Arial" w:cs="Arial" w:eastAsia="Arial" w:hAnsi="Arial"/>
          <w:sz w:val="16"/>
          <w:szCs w:val="16"/>
          <w:i w:val="1"/>
          <w:iCs w:val="1"/>
          <w:color w:val="auto"/>
        </w:rPr>
        <w:t xml:space="preserve"> </w:t>
      </w:r>
      <w:r>
        <w:rPr>
          <w:rFonts w:ascii="Arial" w:cs="Arial" w:eastAsia="Arial" w:hAnsi="Arial"/>
          <w:sz w:val="16"/>
          <w:szCs w:val="16"/>
          <w:color w:val="auto"/>
        </w:rPr>
        <w:t>stock-based compensation for the three-month and six-month periods ended June 30, 2005 (in thousands, except per share amounts):</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0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w w:val="89"/>
              </w:rPr>
              <w:t>Six months ended</w:t>
            </w:r>
          </w:p>
        </w:tc>
        <w:tc>
          <w:tcPr>
            <w:tcW w:w="0" w:type="dxa"/>
            <w:vAlign w:val="bottom"/>
          </w:tcPr>
          <w:p>
            <w:pPr>
              <w:spacing w:after="0"/>
              <w:rPr>
                <w:sz w:val="1"/>
                <w:szCs w:val="1"/>
                <w:color w:val="auto"/>
              </w:rPr>
            </w:pPr>
          </w:p>
        </w:tc>
      </w:tr>
      <w:tr>
        <w:trPr>
          <w:trHeight w:val="161"/>
        </w:trPr>
        <w:tc>
          <w:tcPr>
            <w:tcW w:w="6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0"/>
              </w:rPr>
              <w:t>June 30, 2005</w:t>
            </w: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5"/>
              </w:rPr>
              <w:t>June 30, 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Net loss – as reported</w:t>
            </w:r>
          </w:p>
        </w:tc>
        <w:tc>
          <w:tcPr>
            <w:tcW w:w="6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(5,604)</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(10,931)</w:t>
            </w:r>
          </w:p>
        </w:tc>
        <w:tc>
          <w:tcPr>
            <w:tcW w:w="0" w:type="dxa"/>
            <w:vAlign w:val="bottom"/>
          </w:tcPr>
          <w:p>
            <w:pPr>
              <w:spacing w:after="0"/>
              <w:rPr>
                <w:sz w:val="1"/>
                <w:szCs w:val="1"/>
                <w:color w:val="auto"/>
              </w:rPr>
            </w:pPr>
          </w:p>
        </w:tc>
      </w:tr>
      <w:tr>
        <w:trPr>
          <w:trHeight w:val="208"/>
        </w:trPr>
        <w:tc>
          <w:tcPr>
            <w:tcW w:w="6740" w:type="dxa"/>
            <w:vAlign w:val="bottom"/>
          </w:tcPr>
          <w:p>
            <w:pPr>
              <w:spacing w:after="0"/>
              <w:rPr>
                <w:sz w:val="20"/>
                <w:szCs w:val="20"/>
                <w:color w:val="auto"/>
              </w:rPr>
            </w:pPr>
            <w:r>
              <w:rPr>
                <w:rFonts w:ascii="Arial" w:cs="Arial" w:eastAsia="Arial" w:hAnsi="Arial"/>
                <w:sz w:val="18"/>
                <w:szCs w:val="18"/>
                <w:color w:val="auto"/>
              </w:rPr>
              <w:t>Total stock-based compensation cost, net of related tax effects included in the</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740" w:type="dxa"/>
            <w:vAlign w:val="bottom"/>
          </w:tcPr>
          <w:p>
            <w:pPr>
              <w:ind w:left="220"/>
              <w:spacing w:after="0"/>
              <w:rPr>
                <w:sz w:val="20"/>
                <w:szCs w:val="20"/>
                <w:color w:val="auto"/>
              </w:rPr>
            </w:pPr>
            <w:r>
              <w:rPr>
                <w:rFonts w:ascii="Arial" w:cs="Arial" w:eastAsia="Arial" w:hAnsi="Arial"/>
                <w:sz w:val="18"/>
                <w:szCs w:val="18"/>
                <w:color w:val="auto"/>
              </w:rPr>
              <w:t>determination of net income as reported</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w w:val="94"/>
              </w:rPr>
              <w:t>The stock-based employee compensation cost, net of related tax effects, that would have</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7"/>
              </w:rPr>
              <w:t>been included in the determination of net income if the fair value based method had</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been applied to all awards</w:t>
            </w: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(718)</w:t>
            </w: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(2,327)</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8"/>
                <w:szCs w:val="18"/>
                <w:color w:val="auto"/>
              </w:rPr>
              <w:t>Pro forma net loss</w:t>
            </w: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4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440"/>
              <w:spacing w:after="0"/>
              <w:rPr>
                <w:sz w:val="20"/>
                <w:szCs w:val="20"/>
                <w:color w:val="auto"/>
              </w:rPr>
            </w:pPr>
            <w:r>
              <w:rPr>
                <w:rFonts w:ascii="Arial" w:cs="Arial" w:eastAsia="Arial" w:hAnsi="Arial"/>
                <w:sz w:val="18"/>
                <w:szCs w:val="18"/>
                <w:color w:val="auto"/>
              </w:rPr>
              <w:t>(6,322)</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(13,084)</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440"/>
              <w:spacing w:after="0"/>
              <w:rPr>
                <w:sz w:val="20"/>
                <w:szCs w:val="20"/>
                <w:color w:val="auto"/>
              </w:rPr>
            </w:pPr>
            <w:r>
              <w:rPr>
                <w:rFonts w:ascii="Arial" w:cs="Arial" w:eastAsia="Arial" w:hAnsi="Arial"/>
                <w:sz w:val="18"/>
                <w:szCs w:val="18"/>
                <w:color w:val="auto"/>
              </w:rPr>
              <w:t>Basic and diluted - as reported</w:t>
            </w:r>
          </w:p>
        </w:tc>
        <w:tc>
          <w:tcPr>
            <w:tcW w:w="6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440"/>
              <w:spacing w:after="0"/>
              <w:rPr>
                <w:sz w:val="20"/>
                <w:szCs w:val="20"/>
                <w:color w:val="auto"/>
              </w:rPr>
            </w:pPr>
            <w:r>
              <w:rPr>
                <w:rFonts w:ascii="Arial" w:cs="Arial" w:eastAsia="Arial" w:hAnsi="Arial"/>
                <w:sz w:val="18"/>
                <w:szCs w:val="18"/>
                <w:color w:val="auto"/>
              </w:rPr>
              <w:t>(0.12)</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 and diluted – pro forma</w:t>
            </w:r>
          </w:p>
        </w:tc>
        <w:tc>
          <w:tcPr>
            <w:tcW w:w="6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(0.13)</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Market Value of Investment Rights</w:t>
      </w:r>
    </w:p>
    <w:p>
      <w:pPr>
        <w:spacing w:after="0" w:line="9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In February 2005 in connection with a private placement of common stock to certain investors, we granted the investors Additional Investment Rights that entitled the investors to acquire additional shares on the same terms and condition as the private placement. In accordance with the requirements of SFAS</w:t>
      </w:r>
    </w:p>
    <w:p>
      <w:pPr>
        <w:spacing w:after="0" w:line="254" w:lineRule="auto"/>
        <w:rPr>
          <w:sz w:val="20"/>
          <w:szCs w:val="20"/>
          <w:color w:val="auto"/>
        </w:rPr>
      </w:pPr>
      <w:r>
        <w:rPr>
          <w:rFonts w:ascii="Arial" w:cs="Arial" w:eastAsia="Arial" w:hAnsi="Arial"/>
          <w:sz w:val="18"/>
          <w:szCs w:val="18"/>
          <w:color w:val="auto"/>
        </w:rPr>
        <w:t xml:space="preserve">No. 133, </w:t>
      </w:r>
      <w:r>
        <w:rPr>
          <w:rFonts w:ascii="Arial" w:cs="Arial" w:eastAsia="Arial" w:hAnsi="Arial"/>
          <w:sz w:val="18"/>
          <w:szCs w:val="18"/>
          <w:i w:val="1"/>
          <w:iCs w:val="1"/>
          <w:color w:val="auto"/>
        </w:rPr>
        <w:t>Accounting for Derivative Instruments and Hedging Activities</w:t>
      </w:r>
      <w:r>
        <w:rPr>
          <w:rFonts w:ascii="Arial" w:cs="Arial" w:eastAsia="Arial" w:hAnsi="Arial"/>
          <w:sz w:val="18"/>
          <w:szCs w:val="18"/>
          <w:color w:val="auto"/>
        </w:rPr>
        <w:t>, the fair value of the Additional Investment Rights was determined at the time of issuance based on the proceeds of the offering and the relative fair values of the securities and the Additional Investment Rights. We used the Black-Scholes valuation model to determine the fair value of the Additional Investment Rights, and accordingly attributed a value of $964,000 to the Additional Investment Rights, which was recorded as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459" w:right="2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additional paid-in capital. Changes in the fair value of the Additional Investment Rights since the date of issuance were required to be reflected in our earnings. The rights were revalued to their market value of $471,000 at March 31, 2005, with the resultant gain of $493,000 recorded as other income during the three-month period ended March 31, 2005. The Additional Investment Rights were revalued again at June 30, 2005 to their market value of $150,000, which resulted in a gain of $321,000 that was recorded as other income during the three-month period ended June 30, 2005.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net loss per share (in thousands, except per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88"/>
              </w:rPr>
              <w:t>Three Months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8"/>
              </w:rPr>
              <w:t>Six Months Ended</w:t>
            </w:r>
          </w:p>
        </w:tc>
      </w:tr>
      <w:tr>
        <w:trPr>
          <w:trHeight w:val="161"/>
        </w:trPr>
        <w:tc>
          <w:tcPr>
            <w:tcW w:w="8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80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w w:val="96"/>
              </w:rPr>
              <w:t>2006</w:t>
            </w: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2006</w:t>
            </w: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r>
      <w:tr>
        <w:trPr>
          <w:trHeight w:val="210"/>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(5,995)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(5,604)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(12,044)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(10,931)</w:t>
            </w:r>
          </w:p>
        </w:tc>
      </w:tr>
      <w:tr>
        <w:trPr>
          <w:trHeight w:val="222"/>
        </w:trPr>
        <w:tc>
          <w:tcPr>
            <w:tcW w:w="8080" w:type="dxa"/>
            <w:vAlign w:val="bottom"/>
          </w:tcPr>
          <w:p>
            <w:pPr>
              <w:spacing w:after="0"/>
              <w:rPr>
                <w:sz w:val="20"/>
                <w:szCs w:val="20"/>
                <w:color w:val="auto"/>
              </w:rPr>
            </w:pPr>
            <w:r>
              <w:rPr>
                <w:rFonts w:ascii="Arial" w:cs="Arial" w:eastAsia="Arial" w:hAnsi="Arial"/>
                <w:sz w:val="18"/>
                <w:szCs w:val="18"/>
                <w:color w:val="auto"/>
              </w:rPr>
              <w:t>Basic and diluted:</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8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Weighted-average shares of common stock Outstanding</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49,648</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48,586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49,516</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47,361</w:t>
            </w:r>
          </w:p>
        </w:tc>
        <w:tc>
          <w:tcPr>
            <w:tcW w:w="60" w:type="dxa"/>
            <w:vAlign w:val="bottom"/>
            <w:shd w:val="clear" w:color="auto" w:fill="CCEEFF"/>
          </w:tcPr>
          <w:p>
            <w:pPr>
              <w:spacing w:after="0"/>
              <w:rPr>
                <w:sz w:val="18"/>
                <w:szCs w:val="18"/>
                <w:color w:val="auto"/>
              </w:rPr>
            </w:pPr>
          </w:p>
        </w:tc>
      </w:tr>
      <w:tr>
        <w:trPr>
          <w:trHeight w:val="222"/>
        </w:trPr>
        <w:tc>
          <w:tcPr>
            <w:tcW w:w="8080" w:type="dxa"/>
            <w:vAlign w:val="bottom"/>
          </w:tcPr>
          <w:p>
            <w:pPr>
              <w:spacing w:after="0"/>
              <w:rPr>
                <w:sz w:val="20"/>
                <w:szCs w:val="20"/>
                <w:color w:val="auto"/>
              </w:rPr>
            </w:pPr>
            <w:r>
              <w:rPr>
                <w:rFonts w:ascii="Arial" w:cs="Arial" w:eastAsia="Arial" w:hAnsi="Arial"/>
                <w:sz w:val="18"/>
                <w:szCs w:val="18"/>
                <w:color w:val="auto"/>
              </w:rPr>
              <w:t>Shares used in computing net loss per share, basic and diluted</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49,648</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48,586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49,516</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47,361</w:t>
            </w:r>
          </w:p>
        </w:tc>
        <w:tc>
          <w:tcPr>
            <w:tcW w:w="60" w:type="dxa"/>
            <w:vAlign w:val="bottom"/>
          </w:tcPr>
          <w:p>
            <w:pPr>
              <w:spacing w:after="0"/>
              <w:rPr>
                <w:sz w:val="19"/>
                <w:szCs w:val="19"/>
                <w:color w:val="auto"/>
              </w:rPr>
            </w:pPr>
          </w:p>
        </w:tc>
      </w:tr>
      <w:tr>
        <w:trPr>
          <w:trHeight w:val="20"/>
        </w:trPr>
        <w:tc>
          <w:tcPr>
            <w:tcW w:w="8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(0.23)</w:t>
            </w:r>
          </w:p>
        </w:tc>
      </w:tr>
      <w:tr>
        <w:trPr>
          <w:trHeight w:val="20"/>
        </w:trPr>
        <w:tc>
          <w:tcPr>
            <w:tcW w:w="8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Our calculation of diluted loss per share excludes 6,445,341 and 5,942,569 shares of common stock issuable upon exercise of employee stock options as of June 30, 2006 and 2005, respectively, because their inclusion in the calculation would be anti-dilutive. As of June 30, 2006 and 2005, there was no common stock subject to repurchase.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Subsequent Event</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In July 2006 we reduced our workforce by approximately 19% or 32 people across all departments to reduce our rate of cash expenditures and better align our resources and spending with our changing business strategy of supporting a multi-channel sales approach and commercializing previously developed technologies. These efforts are also designed to decrease our rate of cash expenditure. We anticipate termination benefits and costs of approximately $500,000 that will be paid during the third quarter of 2006. We anticipate further non-personnel related expense reductions during the remainder of 2006.</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The following discussion should be read in conjunction with, and is qualified in its entirety to, the financial statements and notes thereto included in Item 1 of this Form 10-Q and the financial statements and notes thereto and our Management’s Discussion and Analysis of Financial Condition and Results of Operation for the year ended December 31, 2005 included in our Form 10-K. This report contains forward-looking statements, within the meaning of Section 27A of the Securities Act of 1933 and Section 21E of the Securities Exchange Act of 1934, that involve risks and uncertainties. Our expectations with respect to future results of operations that may be embodied in oral and written forward-looking statements, including any forward looking statements that may be included in this report, are subject to risks and uncertainties that must be considered when evaluating the likelihood of our realization of such expectations. Our actual results could differ materially. The words “believe,” “expect,” “intend,” “plan,” “project,” “will” and similar phrases as they relate to us are intended to identify such forward-looking statements. In addition, please see the “Risk Factors” in Part I, Item 1A in our Annual Report on Form 10K and in Part II, Item 1A for a discussion of items that may affect our future results.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340" w:firstLine="456"/>
        <w:spacing w:after="0" w:line="285" w:lineRule="auto"/>
        <w:rPr>
          <w:sz w:val="20"/>
          <w:szCs w:val="20"/>
          <w:color w:val="auto"/>
        </w:rPr>
      </w:pPr>
      <w:r>
        <w:rPr>
          <w:rFonts w:ascii="Arial" w:cs="Arial" w:eastAsia="Arial" w:hAnsi="Arial"/>
          <w:sz w:val="17"/>
          <w:szCs w:val="17"/>
          <w:color w:val="auto"/>
        </w:rPr>
        <w:t>Active Power designs, manufactures and markets power quality products that provide consistent, reliable, and cost effective electric power required by customers during electric utility disturbances. We believe that we were the first company to commercialize a flywheel energy storage system that provides a highly reliable, low-cost and non-toxic replacement for lead-acid batteries used in conventional power quality installations. We have deployed over 300 megawatts of our CleanSource</w:t>
      </w:r>
      <w:r>
        <w:rPr>
          <w:rFonts w:ascii="Arial" w:cs="Arial" w:eastAsia="Arial" w:hAnsi="Arial"/>
          <w:sz w:val="21"/>
          <w:szCs w:val="21"/>
          <w:color w:val="auto"/>
          <w:vertAlign w:val="superscript"/>
        </w:rPr>
        <w:t>®</w:t>
      </w:r>
      <w:r>
        <w:rPr>
          <w:rFonts w:ascii="Arial" w:cs="Arial" w:eastAsia="Arial" w:hAnsi="Arial"/>
          <w:sz w:val="17"/>
          <w:szCs w:val="17"/>
          <w:color w:val="auto"/>
        </w:rPr>
        <w:t xml:space="preserve"> flywheel products to over 1,000 business locations around the world.</w:t>
      </w:r>
    </w:p>
    <w:p>
      <w:pPr>
        <w:spacing w:after="0" w:line="43" w:lineRule="exact"/>
        <w:rPr>
          <w:sz w:val="20"/>
          <w:szCs w:val="20"/>
          <w:color w:val="auto"/>
        </w:rPr>
      </w:pPr>
    </w:p>
    <w:p>
      <w:pPr>
        <w:ind w:right="380" w:firstLine="456"/>
        <w:spacing w:after="0" w:line="238" w:lineRule="auto"/>
        <w:rPr>
          <w:sz w:val="20"/>
          <w:szCs w:val="20"/>
          <w:color w:val="auto"/>
        </w:rPr>
      </w:pPr>
      <w:r>
        <w:rPr>
          <w:rFonts w:ascii="Arial" w:cs="Arial" w:eastAsia="Arial" w:hAnsi="Arial"/>
          <w:sz w:val="18"/>
          <w:szCs w:val="18"/>
          <w:color w:val="auto"/>
        </w:rPr>
        <w:t>Our first commercial product was a battery-free DC system (CleanSource</w:t>
      </w:r>
      <w:r>
        <w:rPr>
          <w:rFonts w:ascii="Arial" w:cs="Arial" w:eastAsia="Arial" w:hAnsi="Arial"/>
          <w:sz w:val="22"/>
          <w:szCs w:val="22"/>
          <w:color w:val="auto"/>
          <w:vertAlign w:val="superscript"/>
        </w:rPr>
        <w:t>®</w:t>
      </w:r>
      <w:r>
        <w:rPr>
          <w:rFonts w:ascii="Arial" w:cs="Arial" w:eastAsia="Arial" w:hAnsi="Arial"/>
          <w:sz w:val="18"/>
          <w:szCs w:val="18"/>
          <w:color w:val="auto"/>
        </w:rPr>
        <w:t xml:space="preserve"> DC) that is used as a bridging energy source in typical power quality installations and is compatible with all major uninterruptible power supply (UPS) brands. Leveraging our expertise in this technology, we also developed a battery-free UPS system that incorporates our flywheel energy storage technology. This system is marketed by Active Power as the CleanSource</w:t>
      </w:r>
      <w:r>
        <w:rPr>
          <w:rFonts w:ascii="Arial" w:cs="Arial" w:eastAsia="Arial" w:hAnsi="Arial"/>
          <w:sz w:val="22"/>
          <w:szCs w:val="22"/>
          <w:color w:val="auto"/>
          <w:vertAlign w:val="superscript"/>
        </w:rPr>
        <w:t>®</w:t>
      </w:r>
      <w:r>
        <w:rPr>
          <w:rFonts w:ascii="Arial" w:cs="Arial" w:eastAsia="Arial" w:hAnsi="Arial"/>
          <w:sz w:val="18"/>
          <w:szCs w:val="18"/>
          <w:color w:val="auto"/>
        </w:rPr>
        <w:t xml:space="preserve"> UPS. This system is distributed by Caterpillar Inc., the leading maker of engine generators for the power reliability market, and marketed through an OEM relationship under the Caterpillar brand name “Cat</w:t>
      </w:r>
      <w:r>
        <w:rPr>
          <w:rFonts w:ascii="Arial" w:cs="Arial" w:eastAsia="Arial" w:hAnsi="Arial"/>
          <w:sz w:val="22"/>
          <w:szCs w:val="22"/>
          <w:color w:val="auto"/>
          <w:vertAlign w:val="superscript"/>
        </w:rPr>
        <w:t>®</w:t>
      </w:r>
      <w:r>
        <w:rPr>
          <w:rFonts w:ascii="Arial" w:cs="Arial" w:eastAsia="Arial" w:hAnsi="Arial"/>
          <w:sz w:val="18"/>
          <w:szCs w:val="18"/>
          <w:color w:val="auto"/>
        </w:rPr>
        <w:t xml:space="preserve"> UPS”.</w:t>
      </w:r>
    </w:p>
    <w:p>
      <w:pPr>
        <w:spacing w:after="0" w:line="7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2003 and 2004, we broadened our product offerings and expanded our available market opportunity by developing additional CleanSource UPS systems to address customer needs at both higher and lower power levels. Our family of battery-free UPS products currently ranges from 65 kVA – 1200 kVA. By paralleling our 1200 kVA UPS systems, we can provide up to a 3600 kVA battery-free UPS system to customers. Our flywheel systems provide many competitive advantages over traditional systems, including dramatic space savings, high power densities, “green” energy storage technologies and power efficiencies as high as 98% that dramatically reduce total operational energy costs. We are in the process of migrating from a point product provider to a total solutions provider. In furtherance of this strategy, we can also provide customers with continuous power systems (CPS), which are comprised of our UPS systems, third party ancillary equipment such as engine generators and transfer switches, as well as engineering, installation, start-up and monitoring services.</w:t>
      </w:r>
    </w:p>
    <w:p>
      <w:pPr>
        <w:spacing w:after="0" w:line="118"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During 2004 and 2005 we developed our CoolAir™ DC product, a new and innovative battery-free extended runtime product, which began initial commercial production during the second quarter of 2006. CoolAir DC provides backup power for several minutes to hours depending on the client application. CoolAir DC utilizes mature thermal and compressed air storage (TACAS) technologies combined in a unique manner to produce backup power and backup cooling during an electrical disturbance. CoolAir DC is initially targeted at lower power levels than our flywheel products, and is sold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as a minute-for-minute replacement for lead-acid batteries. In addition to offering a DC only solution, when customers desire a complete backup solution with an extended runtime, we have introduced the CoolAir™ UPS that couples our CoolAir DC product with a third party double-conversion UPS. We entered into a supply arrangement with a division of General Electric in 2005 to provide us with the double-conversion UPS component of this product offering.</w:t>
      </w:r>
    </w:p>
    <w:p>
      <w:pPr>
        <w:spacing w:after="0" w:line="10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products and services are sold for use in facilities across a wide variety of industries that all share a need for low maintenance, high reliability and high quality backup power solutions to maintain business continuity in the event of an electrical disturbance. These industries include but are not limited to communications providers, healthcare centers, financial services, manufacturing plants, semiconductor manufacturers, pharmaceutical manufacturers, plastics manufacturers, electric utilities and high availability data centers. Our primary geographic markets include North America and Europe, the Middle East and Africa (EMEA).</w:t>
      </w:r>
    </w:p>
    <w:p>
      <w:pPr>
        <w:spacing w:after="0" w:line="143" w:lineRule="exact"/>
        <w:rPr>
          <w:sz w:val="20"/>
          <w:szCs w:val="20"/>
          <w:color w:val="auto"/>
        </w:rPr>
      </w:pPr>
    </w:p>
    <w:p>
      <w:pPr>
        <w:ind w:right="460" w:firstLine="456"/>
        <w:spacing w:after="0" w:line="306" w:lineRule="auto"/>
        <w:rPr>
          <w:sz w:val="20"/>
          <w:szCs w:val="20"/>
          <w:color w:val="auto"/>
        </w:rPr>
      </w:pPr>
      <w:r>
        <w:rPr>
          <w:rFonts w:ascii="Arial" w:cs="Arial" w:eastAsia="Arial" w:hAnsi="Arial"/>
          <w:sz w:val="16"/>
          <w:szCs w:val="16"/>
          <w:color w:val="auto"/>
        </w:rPr>
        <w:t>Our primary sales channels in North America have traditionally been through our OEM partners, Caterpillar and Eaton Electrical (formerly known as Powerware). We have developed additional sales channels in North America including our direct sales employees and a network of manufacturer’s representatives. Direct sales tend to improve our relationships with clients, improve our gross margins and add service revenue opportunities.</w:t>
      </w:r>
    </w:p>
    <w:p>
      <w:pPr>
        <w:spacing w:after="0" w:line="107"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Our primary sales channels in EMEA include selling direct and through select value added resellers (VARs). We also provide services including engineering, installation, start-up, monitoring, and repair for our products under contracts with our customers.</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products perform well in harsh environments where power quality is particularly poor, which makes them a good fit for industrial countries with a poor power infrastructure and therefore we have focused our direct sales efforts to these customers. Caterpillar remains our largest OEM partner and largest customer, and represented 36% and 24% of our product revenue for three-month periods ended June 30, 2006 and 2005, respectively. For the six-month periods ended June 30, 2006 and 2005, Caterpillar represented 41% and 37% of our product revenues, respectively.</w:t>
      </w:r>
    </w:p>
    <w:p>
      <w:pPr>
        <w:spacing w:after="0" w:line="113"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During 2005, in an effort to expand the territories in which we sell our Active Power branded products, we began to increase our direct sales organization, particularly in EMEA. We anticipate higher sales from these regions in 2006 as a result of these efforts. Sales of Active Power branded products through our direct and manufacturer’s representative channels were 63% of our total revenues for the three-month period ended June 30, 2006, compared to 60% for the same period of 2005. For the six-month period ended June 30, 2006, these direct sales were 49% of our total revenues compared to 52% for the same period of 2005.</w:t>
      </w:r>
    </w:p>
    <w:p>
      <w:pPr>
        <w:spacing w:after="0" w:line="9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July 2006 we reduced our workforce by approximately 20%, or 32 people, across all departments to reduce our rate of cash expenditures and better align our resources and spending with our changing business strategy of supporting a multi-channel sales approach and commercializing previously developed technologies. We anticipate termination benefits and costs of approximately $500,000 that will be paid during the third quarter of 2006. We anticipate further non-personnel related expense reductions during the remainder of 2006.</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consider an accounting policy to be critical if:</w:t>
      </w:r>
    </w:p>
    <w:p>
      <w:pPr>
        <w:spacing w:after="0" w:line="90" w:lineRule="exact"/>
        <w:rPr>
          <w:sz w:val="20"/>
          <w:szCs w:val="20"/>
          <w:color w:val="auto"/>
        </w:rPr>
      </w:pPr>
    </w:p>
    <w:p>
      <w:pPr>
        <w:ind w:left="780" w:right="220" w:hanging="326"/>
        <w:spacing w:after="0" w:line="268"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accounting estimate requires us to make assumptions about matters that are highly uncertain or require the use of judgment at the time we make that estimate;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80" w:hanging="446"/>
        <w:spacing w:after="0" w:line="33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the estimate that are reasonably likely to occur from period to period, or use of different estimates that we could have reasonably used instead in the current period, would have a material impact on our financial condition or results of operations.</w:t>
      </w:r>
    </w:p>
    <w:p>
      <w:pPr>
        <w:spacing w:after="0" w:line="85"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Management has reviewed the development and selection of these critical accounting estimates with the Audit Committee of our Board of Directors, and the Audit Committee has reviewed these disclosures. In addition, there are other items within our financial statements that require estimation, but are not deemed critical as defined above. Changes in these and other items could still have a material impact upon our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Trade receivables are recorded at the stated amount, less an allowance for doubtful accounts. The allowance represents estimated uncollectible receivables associated with potential customer defaults on contractual obligations, usually due to the customer’s potential insolvency. The allowance includes amounts for certain customers where a risk of default has been specifically identified. In addition, the allowance includes a provision for customer defaults on a general formula basis when it is determined the risk of some default is probable and estimable, but cannot yet be associated with certain customers. The assessment of the likelihood of customer defaults is based on various factors, including the length of time the receivables are past due, risks unique to particular geographic regions, historical experience and existing economic conditions. Historically, a large portion of our sales were made through OEM channels to a few large customers, and so our credit losses have been minimal. As we integrate additional distribution channels into our business and increase our direct sales to more and smaller customers, the risk of credit loss may increase. In accordance with this policy, our allowance for doubtful accounts was $1.2 million and $1.3 million at June 30, 2006 and December 31, 2005, respectively.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 Reserve</w:t>
      </w:r>
    </w:p>
    <w:p>
      <w:pPr>
        <w:spacing w:after="0" w:line="90"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Inventories are priced at the lower of cost (using the first-in-first-out method) or market. We estimate inventory reserves on a quarterly basis and record reserves for obsolescence or slow-moving inventory based on assumptions about future demand and marketability of products, the impact of new product introductions, inventory turns and specific identification of items, such as product discontinuance, damaged goods or engineering/material changes.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Warranty Liability</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estimated warranty liability costs are accrued for each of our products at the time of sale. Our estimates are principally based on assumptions regarding the lifetime warranty costs of each product, including where little or no claims experience may exist. Due to the uncertainty and potential volatility of these estimates, changes in our assumptions could have a material effect on our reported operating results. Our estimate of warranty liability is reevaluated on a quarterly basis. Experience has shown that initial data for a new product can be very volatile due to factors such as product failure rates, material usage and service delivery costs in correcting product failures; therefore our process relies upon long-term historical averages until sufficient data is available. As actual experience becomes available, it is used to modify the historical averages to ensure that the forecast is within the range of likely outcomes. The resulting balances are then compared to current spending rates to ensure that the accruals are adequate to meet expected future obligations.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90"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In general, revenue for product sales is recognized when title has transferred to the customer as stipulated by the delivery terms in a sales contract. In addition, prior to revenue recognition we require persuasive written evidence of the arrangement, a fixed or determinable price, and a determination that collectibility is reasonably assured.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We also offer various services to customers depending on the type of product the customer has purchased, which may include on-site services or installation and integration services. Such services are not essential to the functionality of the delivered product. Revenue for services is recognized at the time services are provided. When products and services are contracted under a single arrangement, we allocate the total sales price to the multiple deliverables based on their relative fair values. The fair value of our equipment is based on our average historical selling prices, while the fair value of services is based upon the rates that we charge customers in separately negotiated transactions or based on the market price an independent third party would charge to provide these services. Revenue associated with the sale of extended warranties is recognized ratably over the contract period.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90" w:lineRule="exact"/>
        <w:rPr>
          <w:sz w:val="20"/>
          <w:szCs w:val="20"/>
          <w:color w:val="auto"/>
        </w:rPr>
      </w:pPr>
    </w:p>
    <w:p>
      <w:pPr>
        <w:ind w:right="280" w:firstLine="456"/>
        <w:spacing w:after="0" w:line="291" w:lineRule="auto"/>
        <w:rPr>
          <w:sz w:val="20"/>
          <w:szCs w:val="20"/>
          <w:color w:val="auto"/>
        </w:rPr>
      </w:pPr>
      <w:r>
        <w:rPr>
          <w:rFonts w:ascii="Arial" w:cs="Arial" w:eastAsia="Arial" w:hAnsi="Arial"/>
          <w:sz w:val="16"/>
          <w:szCs w:val="16"/>
          <w:color w:val="auto"/>
        </w:rPr>
        <w:t>Beginning in 2006, we adopted SFAS No. 123(R) using the modified prospective application method and began accounting for our stock-based compensation using a fair-value based recognition method. Under the provisions of SFAS No. 123(R), stock-based compensation cost is estimated at the grant date based on the fair-value of the award and is recognized as expense ratably over the requisite service period of the award. Determining the appropriate fair-value model and calculating the fair value of stock-based awards at the grant date requires considerable judgment, including estimating stock price volatility, expected option life and forfeiture rates. We develop our estimates based on historical data and market information that can change significantly over time. A small change in the estimates used can have a relatively large change in the estimated valuation.</w:t>
      </w:r>
    </w:p>
    <w:p>
      <w:pPr>
        <w:spacing w:after="0" w:line="12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use the Black-Scholes option valuation model to value employee stock awards. We estimate stock price volatility based upon our historical volatility. Estimated option life and forfeiture rate assumptions are derived from historical data. For stock-based compensation awards with graded vesting that were granted after 2005, we recognize compensation expense using the straight-line amortization method.</w:t>
      </w:r>
    </w:p>
    <w:p>
      <w:pPr>
        <w:spacing w:after="0" w:line="140"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 xml:space="preserve">Through 2005, we accounted for our stock plans using the intrinsic value method prescribed by APB Opinion No. 25, </w:t>
      </w:r>
      <w:r>
        <w:rPr>
          <w:rFonts w:ascii="Arial" w:cs="Arial" w:eastAsia="Arial" w:hAnsi="Arial"/>
          <w:sz w:val="18"/>
          <w:szCs w:val="18"/>
          <w:i w:val="1"/>
          <w:iCs w:val="1"/>
          <w:color w:val="auto"/>
        </w:rPr>
        <w:t>Accounting for Stock Issued to</w:t>
      </w:r>
      <w:r>
        <w:rPr>
          <w:rFonts w:ascii="Arial" w:cs="Arial" w:eastAsia="Arial" w:hAnsi="Arial"/>
          <w:sz w:val="18"/>
          <w:szCs w:val="18"/>
          <w:color w:val="auto"/>
        </w:rPr>
        <w:t xml:space="preserve"> </w:t>
      </w:r>
      <w:r>
        <w:rPr>
          <w:rFonts w:ascii="Arial" w:cs="Arial" w:eastAsia="Arial" w:hAnsi="Arial"/>
          <w:sz w:val="18"/>
          <w:szCs w:val="18"/>
          <w:i w:val="1"/>
          <w:iCs w:val="1"/>
          <w:color w:val="auto"/>
        </w:rPr>
        <w:t>Employees</w:t>
      </w:r>
      <w:r>
        <w:rPr>
          <w:rFonts w:ascii="Arial" w:cs="Arial" w:eastAsia="Arial" w:hAnsi="Arial"/>
          <w:sz w:val="18"/>
          <w:szCs w:val="18"/>
          <w:color w:val="auto"/>
        </w:rPr>
        <w:t>, and related interpretations and provided the required pro forma income and per share data as if a fair value method had been used to account for</w:t>
      </w:r>
      <w:r>
        <w:rPr>
          <w:rFonts w:ascii="Arial" w:cs="Arial" w:eastAsia="Arial" w:hAnsi="Arial"/>
          <w:sz w:val="18"/>
          <w:szCs w:val="18"/>
          <w:i w:val="1"/>
          <w:iCs w:val="1"/>
          <w:color w:val="auto"/>
        </w:rPr>
        <w:t xml:space="preserve"> </w:t>
      </w:r>
      <w:r>
        <w:rPr>
          <w:rFonts w:ascii="Arial" w:cs="Arial" w:eastAsia="Arial" w:hAnsi="Arial"/>
          <w:sz w:val="18"/>
          <w:szCs w:val="18"/>
          <w:color w:val="auto"/>
        </w:rPr>
        <w:t>stock-based compensation.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The following tables set forth our condensed consolidated results of operations data, including data as a percentage of total revenue, for the periods indicated.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Three-months ended June 30: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w w:val="88"/>
              </w:rPr>
              <w:t>Three months ended June 30,</w:t>
            </w: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Three</w:t>
            </w:r>
          </w:p>
        </w:tc>
        <w:tc>
          <w:tcPr>
            <w:tcW w:w="80" w:type="dxa"/>
            <w:vAlign w:val="bottom"/>
          </w:tcPr>
          <w:p>
            <w:pPr>
              <w:spacing w:after="0"/>
              <w:rPr>
                <w:sz w:val="14"/>
                <w:szCs w:val="14"/>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9"/>
              </w:rPr>
              <w:t>Variance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gridSpan w:val="4"/>
            <w:vMerge w:val="restart"/>
          </w:tcPr>
          <w:p>
            <w:pPr>
              <w:jc w:val="right"/>
              <w:ind w:right="580"/>
              <w:spacing w:after="0"/>
              <w:rPr>
                <w:sz w:val="20"/>
                <w:szCs w:val="20"/>
                <w:color w:val="auto"/>
              </w:rPr>
            </w:pPr>
            <w:r>
              <w:rPr>
                <w:rFonts w:ascii="Arial" w:cs="Arial" w:eastAsia="Arial" w:hAnsi="Arial"/>
                <w:sz w:val="14"/>
                <w:szCs w:val="14"/>
                <w:b w:val="1"/>
                <w:bCs w:val="1"/>
                <w:color w:val="auto"/>
              </w:rPr>
              <w:t>Variance</w:t>
            </w:r>
          </w:p>
        </w:tc>
        <w:tc>
          <w:tcPr>
            <w:tcW w:w="80" w:type="dxa"/>
            <w:vAlign w:val="bottom"/>
            <w:vMerge w:val="restart"/>
          </w:tcPr>
          <w:p>
            <w:pPr>
              <w:spacing w:after="0"/>
              <w:rPr>
                <w:sz w:val="2"/>
                <w:szCs w:val="2"/>
                <w:color w:val="auto"/>
              </w:rPr>
            </w:pPr>
          </w:p>
        </w:tc>
        <w:tc>
          <w:tcPr>
            <w:tcW w:w="720" w:type="dxa"/>
            <w:vAlign w:val="bottom"/>
            <w:gridSpan w:val="2"/>
            <w:vMerge w:val="restart"/>
          </w:tcPr>
          <w:p>
            <w:pPr>
              <w:jc w:val="center"/>
              <w:ind w:right="140"/>
              <w:spacing w:after="0" w:line="136" w:lineRule="exact"/>
              <w:rPr>
                <w:sz w:val="20"/>
                <w:szCs w:val="20"/>
                <w:color w:val="auto"/>
              </w:rPr>
            </w:pPr>
            <w:r>
              <w:rPr>
                <w:rFonts w:ascii="Arial" w:cs="Arial" w:eastAsia="Arial" w:hAnsi="Arial"/>
                <w:sz w:val="14"/>
                <w:szCs w:val="14"/>
                <w:b w:val="1"/>
                <w:bCs w:val="1"/>
                <w:color w:val="auto"/>
                <w:w w:val="82"/>
              </w:rPr>
              <w:t>months</w:t>
            </w: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5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 of</w:t>
            </w: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 of</w:t>
            </w:r>
          </w:p>
        </w:tc>
        <w:tc>
          <w:tcPr>
            <w:tcW w:w="80" w:type="dxa"/>
            <w:vAlign w:val="bottom"/>
          </w:tcPr>
          <w:p>
            <w:pPr>
              <w:spacing w:after="0"/>
              <w:rPr>
                <w:sz w:val="7"/>
                <w:szCs w:val="7"/>
                <w:color w:val="auto"/>
              </w:rPr>
            </w:pPr>
          </w:p>
        </w:tc>
        <w:tc>
          <w:tcPr>
            <w:tcW w:w="1380" w:type="dxa"/>
            <w:vAlign w:val="bottom"/>
            <w:gridSpan w:val="4"/>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5"/>
              </w:rPr>
              <w:t>Q1 vs. Q2</w:t>
            </w:r>
          </w:p>
        </w:tc>
        <w:tc>
          <w:tcPr>
            <w:tcW w:w="0" w:type="dxa"/>
            <w:vAlign w:val="bottom"/>
          </w:tcPr>
          <w:p>
            <w:pPr>
              <w:spacing w:after="0"/>
              <w:rPr>
                <w:sz w:val="1"/>
                <w:szCs w:val="1"/>
                <w:color w:val="auto"/>
              </w:rPr>
            </w:pPr>
          </w:p>
        </w:tc>
      </w:tr>
      <w:tr>
        <w:trPr>
          <w:trHeight w:val="161"/>
        </w:trPr>
        <w:tc>
          <w:tcPr>
            <w:tcW w:w="52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2"/>
              </w:rPr>
              <w:t>ended</w:t>
            </w:r>
          </w:p>
        </w:tc>
        <w:tc>
          <w:tcPr>
            <w:tcW w:w="80" w:type="dxa"/>
            <w:vAlign w:val="bottom"/>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gridSpan w:val="2"/>
          </w:tcPr>
          <w:p>
            <w:pPr>
              <w:jc w:val="center"/>
              <w:ind w:right="300"/>
              <w:spacing w:after="0" w:line="102" w:lineRule="exact"/>
              <w:rPr>
                <w:sz w:val="20"/>
                <w:szCs w:val="20"/>
                <w:color w:val="auto"/>
              </w:rPr>
            </w:pPr>
            <w:r>
              <w:rPr>
                <w:rFonts w:ascii="Arial" w:cs="Arial" w:eastAsia="Arial" w:hAnsi="Arial"/>
                <w:sz w:val="11"/>
                <w:szCs w:val="11"/>
                <w:b w:val="1"/>
                <w:bCs w:val="1"/>
                <w:color w:val="auto"/>
              </w:rPr>
              <w:t>total</w:t>
            </w: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gridSpan w:val="2"/>
          </w:tcPr>
          <w:p>
            <w:pPr>
              <w:jc w:val="center"/>
              <w:ind w:right="300"/>
              <w:spacing w:after="0" w:line="102" w:lineRule="exact"/>
              <w:rPr>
                <w:sz w:val="20"/>
                <w:szCs w:val="20"/>
                <w:color w:val="auto"/>
              </w:rPr>
            </w:pPr>
            <w:r>
              <w:rPr>
                <w:rFonts w:ascii="Arial" w:cs="Arial" w:eastAsia="Arial" w:hAnsi="Arial"/>
                <w:sz w:val="11"/>
                <w:szCs w:val="11"/>
                <w:b w:val="1"/>
                <w:bCs w:val="1"/>
                <w:color w:val="auto"/>
              </w:rPr>
              <w:t>total</w:t>
            </w:r>
          </w:p>
        </w:tc>
        <w:tc>
          <w:tcPr>
            <w:tcW w:w="80" w:type="dxa"/>
            <w:vAlign w:val="bottom"/>
          </w:tcPr>
          <w:p>
            <w:pPr>
              <w:spacing w:after="0"/>
              <w:rPr>
                <w:sz w:val="9"/>
                <w:szCs w:val="9"/>
                <w:color w:val="auto"/>
              </w:rPr>
            </w:pPr>
          </w:p>
        </w:tc>
        <w:tc>
          <w:tcPr>
            <w:tcW w:w="1080" w:type="dxa"/>
            <w:vAlign w:val="bottom"/>
            <w:tcBorders>
              <w:bottom w:val="single" w:sz="8" w:color="auto"/>
            </w:tcBorders>
            <w:gridSpan w:val="3"/>
          </w:tcPr>
          <w:p>
            <w:pPr>
              <w:ind w:left="160"/>
              <w:spacing w:after="0" w:line="88" w:lineRule="exact"/>
              <w:rPr>
                <w:sz w:val="20"/>
                <w:szCs w:val="20"/>
                <w:color w:val="auto"/>
              </w:rPr>
            </w:pPr>
            <w:r>
              <w:rPr>
                <w:rFonts w:ascii="Arial" w:cs="Arial" w:eastAsia="Arial" w:hAnsi="Arial"/>
                <w:sz w:val="10"/>
                <w:szCs w:val="10"/>
                <w:b w:val="1"/>
                <w:bCs w:val="1"/>
                <w:color w:val="auto"/>
              </w:rPr>
              <w:t>2006 vs. 2005</w:t>
            </w: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tcPr>
          <w:p>
            <w:pPr>
              <w:jc w:val="center"/>
              <w:ind w:right="160"/>
              <w:spacing w:after="0" w:line="102" w:lineRule="exact"/>
              <w:rPr>
                <w:sz w:val="20"/>
                <w:szCs w:val="20"/>
                <w:color w:val="auto"/>
              </w:rPr>
            </w:pPr>
            <w:r>
              <w:rPr>
                <w:rFonts w:ascii="Arial" w:cs="Arial" w:eastAsia="Arial" w:hAnsi="Arial"/>
                <w:sz w:val="11"/>
                <w:szCs w:val="11"/>
                <w:b w:val="1"/>
                <w:bCs w:val="1"/>
                <w:color w:val="auto"/>
              </w:rPr>
              <w:t>Mar. 31,</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jc w:val="right"/>
              <w:ind w:right="75"/>
              <w:spacing w:after="0" w:line="102" w:lineRule="exact"/>
              <w:rPr>
                <w:sz w:val="20"/>
                <w:szCs w:val="20"/>
                <w:color w:val="auto"/>
              </w:rPr>
            </w:pPr>
            <w:r>
              <w:rPr>
                <w:rFonts w:ascii="Arial" w:cs="Arial" w:eastAsia="Arial" w:hAnsi="Arial"/>
                <w:sz w:val="11"/>
                <w:szCs w:val="11"/>
                <w:b w:val="1"/>
                <w:bCs w:val="1"/>
                <w:color w:val="auto"/>
              </w:rPr>
              <w:t>2006</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5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2006</w:t>
            </w:r>
          </w:p>
        </w:tc>
        <w:tc>
          <w:tcPr>
            <w:tcW w:w="26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revenue</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revenue</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4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2006</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$ 4,835</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w:t>
            </w: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$ 4,157</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w:t>
            </w:r>
          </w:p>
        </w:tc>
        <w:tc>
          <w:tcPr>
            <w:tcW w:w="7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$ 678</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$ 5,044</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Service and spares revenue</w:t>
            </w:r>
          </w:p>
        </w:tc>
        <w:tc>
          <w:tcPr>
            <w:tcW w:w="540" w:type="dxa"/>
            <w:vAlign w:val="bottom"/>
          </w:tcPr>
          <w:p>
            <w:pPr>
              <w:jc w:val="right"/>
              <w:spacing w:after="0"/>
              <w:rPr>
                <w:sz w:val="20"/>
                <w:szCs w:val="20"/>
                <w:color w:val="auto"/>
              </w:rPr>
            </w:pPr>
            <w:r>
              <w:rPr>
                <w:rFonts w:ascii="Arial" w:cs="Arial" w:eastAsia="Arial" w:hAnsi="Arial"/>
                <w:sz w:val="18"/>
                <w:szCs w:val="18"/>
                <w:color w:val="auto"/>
              </w:rPr>
              <w:t>631</w:t>
            </w:r>
          </w:p>
        </w:tc>
        <w:tc>
          <w:tcPr>
            <w:tcW w:w="2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517</w:t>
            </w:r>
          </w:p>
        </w:tc>
        <w:tc>
          <w:tcPr>
            <w:tcW w:w="2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760" w:type="dxa"/>
            <w:vAlign w:val="bottom"/>
            <w:gridSpan w:val="3"/>
          </w:tcPr>
          <w:p>
            <w:pPr>
              <w:jc w:val="right"/>
              <w:ind w:right="260"/>
              <w:spacing w:after="0"/>
              <w:rPr>
                <w:sz w:val="20"/>
                <w:szCs w:val="20"/>
                <w:color w:val="auto"/>
              </w:rPr>
            </w:pPr>
            <w:r>
              <w:rPr>
                <w:rFonts w:ascii="Arial" w:cs="Arial" w:eastAsia="Arial" w:hAnsi="Arial"/>
                <w:sz w:val="18"/>
                <w:szCs w:val="18"/>
                <w:color w:val="auto"/>
              </w:rPr>
              <w:t>114</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525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revenue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5,466</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4,674</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7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792</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5,569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8"/>
                <w:szCs w:val="18"/>
                <w:color w:val="auto"/>
              </w:rPr>
              <w:t>Cost of product revenue</w:t>
            </w: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88%</w:t>
            </w:r>
          </w:p>
        </w:tc>
        <w:tc>
          <w:tcPr>
            <w:tcW w:w="760" w:type="dxa"/>
            <w:vAlign w:val="bottom"/>
            <w:gridSpan w:val="3"/>
            <w:vMerge w:val="restart"/>
          </w:tcPr>
          <w:p>
            <w:pPr>
              <w:jc w:val="right"/>
              <w:ind w:right="260"/>
              <w:spacing w:after="0"/>
              <w:rPr>
                <w:sz w:val="20"/>
                <w:szCs w:val="20"/>
                <w:color w:val="auto"/>
              </w:rPr>
            </w:pPr>
            <w:r>
              <w:rPr>
                <w:rFonts w:ascii="Arial" w:cs="Arial" w:eastAsia="Arial" w:hAnsi="Arial"/>
                <w:sz w:val="18"/>
                <w:szCs w:val="18"/>
                <w:color w:val="auto"/>
              </w:rPr>
              <w:t>902</w:t>
            </w: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line="20" w:lineRule="exact"/>
              <w:rPr>
                <w:sz w:val="1"/>
                <w:szCs w:val="1"/>
                <w:color w:val="auto"/>
              </w:rPr>
            </w:pPr>
          </w:p>
        </w:tc>
      </w:tr>
      <w:tr>
        <w:trPr>
          <w:trHeight w:val="221"/>
        </w:trPr>
        <w:tc>
          <w:tcPr>
            <w:tcW w:w="5240" w:type="dxa"/>
            <w:vAlign w:val="bottom"/>
            <w:gridSpan w:val="2"/>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5,021</w:t>
            </w:r>
          </w:p>
        </w:tc>
        <w:tc>
          <w:tcPr>
            <w:tcW w:w="260" w:type="dxa"/>
            <w:vAlign w:val="bottom"/>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4,119</w:t>
            </w:r>
          </w:p>
        </w:tc>
        <w:tc>
          <w:tcPr>
            <w:tcW w:w="24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760" w:type="dxa"/>
            <w:vAlign w:val="bottom"/>
            <w:gridSpan w:val="3"/>
            <w:vMerge w:val="continue"/>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5,137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 and spares revenue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7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70</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vMerge w:val="restart"/>
          </w:tcPr>
          <w:p>
            <w:pPr>
              <w:ind w:left="860"/>
              <w:spacing w:after="0"/>
              <w:rPr>
                <w:sz w:val="20"/>
                <w:szCs w:val="20"/>
                <w:color w:val="auto"/>
              </w:rPr>
            </w:pPr>
            <w:r>
              <w:rPr>
                <w:rFonts w:ascii="Arial" w:cs="Arial" w:eastAsia="Arial" w:hAnsi="Arial"/>
                <w:sz w:val="18"/>
                <w:szCs w:val="18"/>
                <w:color w:val="auto"/>
              </w:rPr>
              <w:t>Total cost of revenue</w:t>
            </w: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99%</w:t>
            </w:r>
          </w:p>
        </w:tc>
        <w:tc>
          <w:tcPr>
            <w:tcW w:w="760" w:type="dxa"/>
            <w:vAlign w:val="bottom"/>
            <w:gridSpan w:val="3"/>
            <w:vMerge w:val="restart"/>
          </w:tcPr>
          <w:p>
            <w:pPr>
              <w:jc w:val="right"/>
              <w:ind w:right="260"/>
              <w:spacing w:after="0"/>
              <w:rPr>
                <w:sz w:val="20"/>
                <w:szCs w:val="20"/>
                <w:color w:val="auto"/>
              </w:rPr>
            </w:pPr>
            <w:r>
              <w:rPr>
                <w:rFonts w:ascii="Arial" w:cs="Arial" w:eastAsia="Arial" w:hAnsi="Arial"/>
                <w:sz w:val="18"/>
                <w:szCs w:val="18"/>
                <w:color w:val="auto"/>
              </w:rPr>
              <w:t>972</w:t>
            </w: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5,588</w:t>
            </w:r>
          </w:p>
        </w:tc>
        <w:tc>
          <w:tcPr>
            <w:tcW w:w="260" w:type="dxa"/>
            <w:vAlign w:val="bottom"/>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4,616</w:t>
            </w:r>
          </w:p>
        </w:tc>
        <w:tc>
          <w:tcPr>
            <w:tcW w:w="24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760" w:type="dxa"/>
            <w:vAlign w:val="bottom"/>
            <w:gridSpan w:val="3"/>
            <w:vMerge w:val="continue"/>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5,713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80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(122)</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58</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(180)</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(310)%</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Operating expenses:</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w:t>
            </w: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2,807</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w:t>
            </w: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(768)</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2,225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Selling and marketing</w:t>
            </w:r>
          </w:p>
        </w:tc>
        <w:tc>
          <w:tcPr>
            <w:tcW w:w="540" w:type="dxa"/>
            <w:vAlign w:val="bottom"/>
          </w:tcPr>
          <w:p>
            <w:pPr>
              <w:jc w:val="right"/>
              <w:spacing w:after="0"/>
              <w:rPr>
                <w:sz w:val="20"/>
                <w:szCs w:val="20"/>
                <w:color w:val="auto"/>
              </w:rPr>
            </w:pPr>
            <w:r>
              <w:rPr>
                <w:rFonts w:ascii="Arial" w:cs="Arial" w:eastAsia="Arial" w:hAnsi="Arial"/>
                <w:sz w:val="18"/>
                <w:szCs w:val="18"/>
                <w:color w:val="auto"/>
              </w:rPr>
              <w:t>2,616</w:t>
            </w:r>
          </w:p>
        </w:tc>
        <w:tc>
          <w:tcPr>
            <w:tcW w:w="2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48%</w:t>
            </w:r>
          </w:p>
        </w:tc>
        <w:tc>
          <w:tcPr>
            <w:tcW w:w="900" w:type="dxa"/>
            <w:vAlign w:val="bottom"/>
            <w:gridSpan w:val="3"/>
          </w:tcPr>
          <w:p>
            <w:pPr>
              <w:jc w:val="right"/>
              <w:ind w:right="240"/>
              <w:spacing w:after="0"/>
              <w:rPr>
                <w:sz w:val="20"/>
                <w:szCs w:val="20"/>
                <w:color w:val="auto"/>
              </w:rPr>
            </w:pPr>
            <w:r>
              <w:rPr>
                <w:rFonts w:ascii="Arial" w:cs="Arial" w:eastAsia="Arial" w:hAnsi="Arial"/>
                <w:sz w:val="18"/>
                <w:szCs w:val="18"/>
                <w:color w:val="auto"/>
              </w:rPr>
              <w:t>1,889</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40%</w:t>
            </w:r>
          </w:p>
        </w:tc>
        <w:tc>
          <w:tcPr>
            <w:tcW w:w="760" w:type="dxa"/>
            <w:vAlign w:val="bottom"/>
            <w:gridSpan w:val="3"/>
          </w:tcPr>
          <w:p>
            <w:pPr>
              <w:jc w:val="right"/>
              <w:ind w:right="260"/>
              <w:spacing w:after="0"/>
              <w:rPr>
                <w:sz w:val="20"/>
                <w:szCs w:val="20"/>
                <w:color w:val="auto"/>
              </w:rPr>
            </w:pPr>
            <w:r>
              <w:rPr>
                <w:rFonts w:ascii="Arial" w:cs="Arial" w:eastAsia="Arial" w:hAnsi="Arial"/>
                <w:sz w:val="18"/>
                <w:szCs w:val="18"/>
                <w:color w:val="auto"/>
              </w:rPr>
              <w:t>727</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2,659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w:t>
            </w:r>
          </w:p>
        </w:tc>
        <w:tc>
          <w:tcPr>
            <w:tcW w:w="7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167</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vMerge w:val="restart"/>
          </w:tcPr>
          <w:p>
            <w:pPr>
              <w:ind w:left="860"/>
              <w:spacing w:after="0"/>
              <w:rPr>
                <w:sz w:val="20"/>
                <w:szCs w:val="20"/>
                <w:color w:val="auto"/>
              </w:rPr>
            </w:pPr>
            <w:r>
              <w:rPr>
                <w:rFonts w:ascii="Arial" w:cs="Arial" w:eastAsia="Arial" w:hAnsi="Arial"/>
                <w:sz w:val="18"/>
                <w:szCs w:val="18"/>
                <w:color w:val="auto"/>
              </w:rPr>
              <w:t>Total operating expenses</w:t>
            </w: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137%</w:t>
            </w:r>
          </w:p>
        </w:tc>
        <w:tc>
          <w:tcPr>
            <w:tcW w:w="760" w:type="dxa"/>
            <w:vAlign w:val="bottom"/>
            <w:gridSpan w:val="3"/>
            <w:vMerge w:val="restart"/>
          </w:tcPr>
          <w:p>
            <w:pPr>
              <w:jc w:val="right"/>
              <w:ind w:right="260"/>
              <w:spacing w:after="0"/>
              <w:rPr>
                <w:sz w:val="20"/>
                <w:szCs w:val="20"/>
                <w:color w:val="auto"/>
              </w:rPr>
            </w:pPr>
            <w:r>
              <w:rPr>
                <w:rFonts w:ascii="Arial" w:cs="Arial" w:eastAsia="Arial" w:hAnsi="Arial"/>
                <w:sz w:val="18"/>
                <w:szCs w:val="18"/>
                <w:color w:val="auto"/>
              </w:rPr>
              <w:t>126</w:t>
            </w: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2%</w:t>
            </w: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130</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6,508</w:t>
            </w:r>
          </w:p>
        </w:tc>
        <w:tc>
          <w:tcPr>
            <w:tcW w:w="260" w:type="dxa"/>
            <w:vAlign w:val="bottom"/>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6,382</w:t>
            </w:r>
          </w:p>
        </w:tc>
        <w:tc>
          <w:tcPr>
            <w:tcW w:w="24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760" w:type="dxa"/>
            <w:vAlign w:val="bottom"/>
            <w:gridSpan w:val="3"/>
            <w:vMerge w:val="continue"/>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6,378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80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(6,630)</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w:t>
            </w: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(6,324)</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(306)</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(6,522)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Interest income</w:t>
            </w:r>
          </w:p>
        </w:tc>
        <w:tc>
          <w:tcPr>
            <w:tcW w:w="540" w:type="dxa"/>
            <w:vAlign w:val="bottom"/>
          </w:tcPr>
          <w:p>
            <w:pPr>
              <w:jc w:val="right"/>
              <w:spacing w:after="0"/>
              <w:rPr>
                <w:sz w:val="20"/>
                <w:szCs w:val="20"/>
                <w:color w:val="auto"/>
              </w:rPr>
            </w:pPr>
            <w:r>
              <w:rPr>
                <w:rFonts w:ascii="Arial" w:cs="Arial" w:eastAsia="Arial" w:hAnsi="Arial"/>
                <w:sz w:val="18"/>
                <w:szCs w:val="18"/>
                <w:color w:val="auto"/>
              </w:rPr>
              <w:t>382</w:t>
            </w:r>
          </w:p>
        </w:tc>
        <w:tc>
          <w:tcPr>
            <w:tcW w:w="2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900" w:type="dxa"/>
            <w:vAlign w:val="bottom"/>
            <w:gridSpan w:val="3"/>
          </w:tcPr>
          <w:p>
            <w:pPr>
              <w:jc w:val="right"/>
              <w:ind w:right="240"/>
              <w:spacing w:after="0"/>
              <w:rPr>
                <w:sz w:val="20"/>
                <w:szCs w:val="20"/>
                <w:color w:val="auto"/>
              </w:rPr>
            </w:pPr>
            <w:r>
              <w:rPr>
                <w:rFonts w:ascii="Arial" w:cs="Arial" w:eastAsia="Arial" w:hAnsi="Arial"/>
                <w:sz w:val="18"/>
                <w:szCs w:val="18"/>
                <w:color w:val="auto"/>
              </w:rPr>
              <w:t>418</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rPr>
              <w:t>(36)</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394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Gain due to change in market value Of investment rights</w:t>
            </w:r>
          </w:p>
        </w:tc>
        <w:tc>
          <w:tcPr>
            <w:tcW w:w="80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321</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(321)</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(100)%</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Other income (expense)</w:t>
            </w:r>
          </w:p>
        </w:tc>
        <w:tc>
          <w:tcPr>
            <w:tcW w:w="540" w:type="dxa"/>
            <w:vAlign w:val="bottom"/>
          </w:tcPr>
          <w:p>
            <w:pPr>
              <w:jc w:val="right"/>
              <w:spacing w:after="0"/>
              <w:rPr>
                <w:sz w:val="20"/>
                <w:szCs w:val="20"/>
                <w:color w:val="auto"/>
              </w:rPr>
            </w:pPr>
            <w:r>
              <w:rPr>
                <w:rFonts w:ascii="Arial" w:cs="Arial" w:eastAsia="Arial" w:hAnsi="Arial"/>
                <w:sz w:val="18"/>
                <w:szCs w:val="18"/>
                <w:color w:val="auto"/>
              </w:rPr>
              <w:t>253</w:t>
            </w:r>
          </w:p>
        </w:tc>
        <w:tc>
          <w:tcPr>
            <w:tcW w:w="2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(19)</w:t>
            </w: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260"/>
              <w:spacing w:after="0"/>
              <w:rPr>
                <w:sz w:val="20"/>
                <w:szCs w:val="20"/>
                <w:color w:val="auto"/>
              </w:rPr>
            </w:pPr>
            <w:r>
              <w:rPr>
                <w:rFonts w:ascii="Arial" w:cs="Arial" w:eastAsia="Arial" w:hAnsi="Arial"/>
                <w:sz w:val="18"/>
                <w:szCs w:val="18"/>
                <w:color w:val="auto"/>
              </w:rPr>
              <w:t>272</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85"/>
              </w:rPr>
              <w:t>1,432%</w:t>
            </w: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0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(5,995)</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w:t>
            </w: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(5,604)</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w:t>
            </w: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$(391)</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(6,049)</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800" w:type="dxa"/>
            <w:vAlign w:val="bottom"/>
            <w:gridSpan w:val="2"/>
          </w:tcPr>
          <w:p>
            <w:pPr>
              <w:jc w:val="right"/>
              <w:ind w:right="172"/>
              <w:spacing w:after="0"/>
              <w:rPr>
                <w:sz w:val="20"/>
                <w:szCs w:val="20"/>
                <w:color w:val="auto"/>
              </w:rPr>
            </w:pPr>
            <w:r>
              <w:rPr>
                <w:rFonts w:ascii="Arial" w:cs="Arial" w:eastAsia="Arial" w:hAnsi="Arial"/>
                <w:sz w:val="18"/>
                <w:szCs w:val="18"/>
                <w:color w:val="auto"/>
              </w:rPr>
              <w:t>15</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Six-months ended June 30: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7"/>
          </w:tcPr>
          <w:p>
            <w:pPr>
              <w:jc w:val="right"/>
              <w:ind w:right="340"/>
              <w:spacing w:after="0"/>
              <w:rPr>
                <w:sz w:val="20"/>
                <w:szCs w:val="20"/>
                <w:color w:val="auto"/>
              </w:rPr>
            </w:pPr>
            <w:r>
              <w:rPr>
                <w:rFonts w:ascii="Arial" w:cs="Arial" w:eastAsia="Arial" w:hAnsi="Arial"/>
                <w:sz w:val="14"/>
                <w:szCs w:val="14"/>
                <w:b w:val="1"/>
                <w:bCs w:val="1"/>
                <w:color w:val="auto"/>
                <w:w w:val="86"/>
              </w:rPr>
              <w:t>Six months ended June 30,</w:t>
            </w:r>
          </w:p>
        </w:tc>
        <w:tc>
          <w:tcPr>
            <w:tcW w:w="4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4"/>
            <w:vMerge w:val="restart"/>
          </w:tcPr>
          <w:p>
            <w:pPr>
              <w:jc w:val="right"/>
              <w:ind w:right="520"/>
              <w:spacing w:after="0"/>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142"/>
        </w:trPr>
        <w:tc>
          <w:tcPr>
            <w:tcW w:w="52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w w:val="94"/>
              </w:rPr>
              <w:t>% of</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4"/>
              </w:rPr>
              <w:t>% of</w:t>
            </w:r>
          </w:p>
        </w:tc>
        <w:tc>
          <w:tcPr>
            <w:tcW w:w="100" w:type="dxa"/>
            <w:vAlign w:val="bottom"/>
          </w:tcPr>
          <w:p>
            <w:pPr>
              <w:spacing w:after="0"/>
              <w:rPr>
                <w:sz w:val="12"/>
                <w:szCs w:val="12"/>
                <w:color w:val="auto"/>
              </w:rPr>
            </w:pPr>
          </w:p>
        </w:tc>
        <w:tc>
          <w:tcPr>
            <w:tcW w:w="13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5260" w:type="dxa"/>
            <w:vAlign w:val="bottom"/>
            <w:gridSpan w:val="2"/>
            <w:vMerge w:val="continue"/>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7"/>
              </w:rPr>
              <w:t>total</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7"/>
              </w:rPr>
              <w:t>total</w:t>
            </w:r>
          </w:p>
        </w:tc>
        <w:tc>
          <w:tcPr>
            <w:tcW w:w="100" w:type="dxa"/>
            <w:vAlign w:val="bottom"/>
          </w:tcPr>
          <w:p>
            <w:pPr>
              <w:spacing w:after="0"/>
              <w:rPr>
                <w:sz w:val="8"/>
                <w:szCs w:val="8"/>
                <w:color w:val="auto"/>
              </w:rPr>
            </w:pPr>
          </w:p>
        </w:tc>
        <w:tc>
          <w:tcPr>
            <w:tcW w:w="1360" w:type="dxa"/>
            <w:vAlign w:val="bottom"/>
            <w:gridSpan w:val="4"/>
            <w:vMerge w:val="restart"/>
          </w:tcPr>
          <w:p>
            <w:pPr>
              <w:jc w:val="right"/>
              <w:ind w:right="400"/>
              <w:spacing w:after="0"/>
              <w:rPr>
                <w:sz w:val="20"/>
                <w:szCs w:val="20"/>
                <w:color w:val="auto"/>
              </w:rPr>
            </w:pPr>
            <w:r>
              <w:rPr>
                <w:rFonts w:ascii="Arial" w:cs="Arial" w:eastAsia="Arial" w:hAnsi="Arial"/>
                <w:sz w:val="14"/>
                <w:szCs w:val="14"/>
                <w:b w:val="1"/>
                <w:bCs w:val="1"/>
                <w:color w:val="auto"/>
              </w:rPr>
              <w:t>2006 vs. 2005</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52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3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93"/>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5"/>
              </w:rPr>
              <w:t>revenue</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93"/>
              <w:spacing w:after="0" w:line="142" w:lineRule="exact"/>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12"/>
                <w:szCs w:val="12"/>
                <w:color w:val="auto"/>
              </w:rPr>
            </w:pPr>
          </w:p>
        </w:tc>
        <w:tc>
          <w:tcPr>
            <w:tcW w:w="76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85"/>
              </w:rPr>
              <w:t>revenue</w:t>
            </w:r>
          </w:p>
        </w:tc>
        <w:tc>
          <w:tcPr>
            <w:tcW w:w="100" w:type="dxa"/>
            <w:vAlign w:val="bottom"/>
          </w:tcPr>
          <w:p>
            <w:pPr>
              <w:spacing w:after="0"/>
              <w:rPr>
                <w:sz w:val="12"/>
                <w:szCs w:val="12"/>
                <w:color w:val="auto"/>
              </w:rPr>
            </w:pPr>
          </w:p>
        </w:tc>
        <w:tc>
          <w:tcPr>
            <w:tcW w:w="56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9,879</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7,088</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$ 2,791</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Service and spares revenue</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1,156</w:t>
            </w:r>
          </w:p>
        </w:tc>
        <w:tc>
          <w:tcPr>
            <w:tcW w:w="100" w:type="dxa"/>
            <w:vAlign w:val="bottom"/>
          </w:tcPr>
          <w:p>
            <w:pPr>
              <w:spacing w:after="0"/>
              <w:rPr>
                <w:sz w:val="18"/>
                <w:szCs w:val="18"/>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1,024</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132</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revenue</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11,035</w:t>
            </w: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8,112</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2,923</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8"/>
                <w:szCs w:val="18"/>
                <w:color w:val="auto"/>
              </w:rPr>
              <w:t>Cost of product revenue</w:t>
            </w:r>
          </w:p>
        </w:tc>
        <w:tc>
          <w:tcPr>
            <w:tcW w:w="1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91%</w:t>
            </w:r>
          </w:p>
        </w:tc>
        <w:tc>
          <w:tcPr>
            <w:tcW w:w="920" w:type="dxa"/>
            <w:vAlign w:val="bottom"/>
            <w:gridSpan w:val="3"/>
            <w:vMerge w:val="restart"/>
          </w:tcPr>
          <w:p>
            <w:pPr>
              <w:jc w:val="right"/>
              <w:ind w:right="260"/>
              <w:spacing w:after="0"/>
              <w:rPr>
                <w:sz w:val="20"/>
                <w:szCs w:val="20"/>
                <w:color w:val="auto"/>
              </w:rPr>
            </w:pPr>
            <w:r>
              <w:rPr>
                <w:rFonts w:ascii="Arial" w:cs="Arial" w:eastAsia="Arial" w:hAnsi="Arial"/>
                <w:sz w:val="18"/>
                <w:szCs w:val="18"/>
                <w:color w:val="auto"/>
              </w:rPr>
              <w:t>2,794</w:t>
            </w:r>
          </w:p>
        </w:tc>
        <w:tc>
          <w:tcPr>
            <w:tcW w:w="5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line="20" w:lineRule="exact"/>
              <w:rPr>
                <w:sz w:val="1"/>
                <w:szCs w:val="1"/>
                <w:color w:val="auto"/>
              </w:rPr>
            </w:pPr>
          </w:p>
        </w:tc>
      </w:tr>
      <w:tr>
        <w:trPr>
          <w:trHeight w:val="221"/>
        </w:trPr>
        <w:tc>
          <w:tcPr>
            <w:tcW w:w="5260" w:type="dxa"/>
            <w:vAlign w:val="bottom"/>
            <w:gridSpan w:val="2"/>
            <w:vMerge w:val="continue"/>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10,158</w:t>
            </w:r>
          </w:p>
        </w:tc>
        <w:tc>
          <w:tcPr>
            <w:tcW w:w="100" w:type="dxa"/>
            <w:vAlign w:val="bottom"/>
          </w:tcPr>
          <w:p>
            <w:pPr>
              <w:spacing w:after="0"/>
              <w:rPr>
                <w:sz w:val="19"/>
                <w:szCs w:val="19"/>
                <w:color w:val="auto"/>
              </w:rPr>
            </w:pPr>
          </w:p>
        </w:tc>
        <w:tc>
          <w:tcPr>
            <w:tcW w:w="92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7,364</w:t>
            </w:r>
          </w:p>
        </w:tc>
        <w:tc>
          <w:tcPr>
            <w:tcW w:w="760" w:type="dxa"/>
            <w:vAlign w:val="bottom"/>
            <w:gridSpan w:val="2"/>
            <w:vMerge w:val="continue"/>
          </w:tcPr>
          <w:p>
            <w:pPr>
              <w:spacing w:after="0"/>
              <w:rPr>
                <w:sz w:val="19"/>
                <w:szCs w:val="19"/>
                <w:color w:val="auto"/>
              </w:rPr>
            </w:pPr>
          </w:p>
        </w:tc>
        <w:tc>
          <w:tcPr>
            <w:tcW w:w="920" w:type="dxa"/>
            <w:vAlign w:val="bottom"/>
            <w:gridSpan w:val="3"/>
            <w:vMerge w:val="continue"/>
          </w:tcPr>
          <w:p>
            <w:pPr>
              <w:spacing w:after="0"/>
              <w:rPr>
                <w:sz w:val="19"/>
                <w:szCs w:val="19"/>
                <w:color w:val="auto"/>
              </w:rPr>
            </w:pPr>
          </w:p>
        </w:tc>
        <w:tc>
          <w:tcPr>
            <w:tcW w:w="5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 and spares revenue</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1,041</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102</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vMerge w:val="restart"/>
          </w:tcPr>
          <w:p>
            <w:pPr>
              <w:ind w:left="420"/>
              <w:spacing w:after="0"/>
              <w:rPr>
                <w:sz w:val="20"/>
                <w:szCs w:val="20"/>
                <w:color w:val="auto"/>
              </w:rPr>
            </w:pPr>
            <w:r>
              <w:rPr>
                <w:rFonts w:ascii="Arial" w:cs="Arial" w:eastAsia="Arial" w:hAnsi="Arial"/>
                <w:sz w:val="18"/>
                <w:szCs w:val="18"/>
                <w:color w:val="auto"/>
              </w:rPr>
              <w:t>Total cost of revenue</w:t>
            </w:r>
          </w:p>
        </w:tc>
        <w:tc>
          <w:tcPr>
            <w:tcW w:w="1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104%</w:t>
            </w:r>
          </w:p>
        </w:tc>
        <w:tc>
          <w:tcPr>
            <w:tcW w:w="920" w:type="dxa"/>
            <w:vAlign w:val="bottom"/>
            <w:gridSpan w:val="3"/>
            <w:vMerge w:val="restart"/>
          </w:tcPr>
          <w:p>
            <w:pPr>
              <w:jc w:val="right"/>
              <w:ind w:right="260"/>
              <w:spacing w:after="0"/>
              <w:rPr>
                <w:sz w:val="20"/>
                <w:szCs w:val="20"/>
                <w:color w:val="auto"/>
              </w:rPr>
            </w:pPr>
            <w:r>
              <w:rPr>
                <w:rFonts w:ascii="Arial" w:cs="Arial" w:eastAsia="Arial" w:hAnsi="Arial"/>
                <w:sz w:val="18"/>
                <w:szCs w:val="18"/>
                <w:color w:val="auto"/>
              </w:rPr>
              <w:t>2,896</w:t>
            </w:r>
          </w:p>
        </w:tc>
        <w:tc>
          <w:tcPr>
            <w:tcW w:w="5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240" w:type="dxa"/>
            <w:vAlign w:val="bottom"/>
            <w:vMerge w:val="continue"/>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11,301</w:t>
            </w:r>
          </w:p>
        </w:tc>
        <w:tc>
          <w:tcPr>
            <w:tcW w:w="100" w:type="dxa"/>
            <w:vAlign w:val="bottom"/>
          </w:tcPr>
          <w:p>
            <w:pPr>
              <w:spacing w:after="0"/>
              <w:rPr>
                <w:sz w:val="19"/>
                <w:szCs w:val="19"/>
                <w:color w:val="auto"/>
              </w:rPr>
            </w:pPr>
          </w:p>
        </w:tc>
        <w:tc>
          <w:tcPr>
            <w:tcW w:w="92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8,405</w:t>
            </w:r>
          </w:p>
        </w:tc>
        <w:tc>
          <w:tcPr>
            <w:tcW w:w="760" w:type="dxa"/>
            <w:vAlign w:val="bottom"/>
            <w:gridSpan w:val="2"/>
            <w:vMerge w:val="continue"/>
          </w:tcPr>
          <w:p>
            <w:pPr>
              <w:spacing w:after="0"/>
              <w:rPr>
                <w:sz w:val="19"/>
                <w:szCs w:val="19"/>
                <w:color w:val="auto"/>
              </w:rPr>
            </w:pPr>
          </w:p>
        </w:tc>
        <w:tc>
          <w:tcPr>
            <w:tcW w:w="920" w:type="dxa"/>
            <w:vAlign w:val="bottom"/>
            <w:gridSpan w:val="3"/>
            <w:vMerge w:val="continue"/>
          </w:tcPr>
          <w:p>
            <w:pPr>
              <w:spacing w:after="0"/>
              <w:rPr>
                <w:sz w:val="19"/>
                <w:szCs w:val="19"/>
                <w:color w:val="auto"/>
              </w:rPr>
            </w:pPr>
          </w:p>
        </w:tc>
        <w:tc>
          <w:tcPr>
            <w:tcW w:w="5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(266)</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(293)</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27</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Operating expenses:</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4,264</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5,038</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(774)</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Selling and marketing</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5,275</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3,326</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41%</w:t>
            </w: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1,949</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3,347</w:t>
            </w: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3,823</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(476)</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vMerge w:val="restart"/>
          </w:tcPr>
          <w:p>
            <w:pPr>
              <w:ind w:left="860"/>
              <w:spacing w:after="0"/>
              <w:rPr>
                <w:sz w:val="20"/>
                <w:szCs w:val="20"/>
                <w:color w:val="auto"/>
              </w:rPr>
            </w:pPr>
            <w:r>
              <w:rPr>
                <w:rFonts w:ascii="Arial" w:cs="Arial" w:eastAsia="Arial" w:hAnsi="Arial"/>
                <w:sz w:val="18"/>
                <w:szCs w:val="18"/>
                <w:color w:val="auto"/>
              </w:rPr>
              <w:t>Total operating expenses</w:t>
            </w:r>
          </w:p>
        </w:tc>
        <w:tc>
          <w:tcPr>
            <w:tcW w:w="1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150%</w:t>
            </w:r>
          </w:p>
        </w:tc>
        <w:tc>
          <w:tcPr>
            <w:tcW w:w="920" w:type="dxa"/>
            <w:vAlign w:val="bottom"/>
            <w:gridSpan w:val="3"/>
            <w:vMerge w:val="restart"/>
          </w:tcPr>
          <w:p>
            <w:pPr>
              <w:jc w:val="right"/>
              <w:ind w:right="260"/>
              <w:spacing w:after="0"/>
              <w:rPr>
                <w:sz w:val="20"/>
                <w:szCs w:val="20"/>
                <w:color w:val="auto"/>
              </w:rPr>
            </w:pPr>
            <w:r>
              <w:rPr>
                <w:rFonts w:ascii="Arial" w:cs="Arial" w:eastAsia="Arial" w:hAnsi="Arial"/>
                <w:sz w:val="18"/>
                <w:szCs w:val="18"/>
                <w:color w:val="auto"/>
              </w:rPr>
              <w:t>699</w:t>
            </w:r>
          </w:p>
        </w:tc>
        <w:tc>
          <w:tcPr>
            <w:tcW w:w="5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240" w:type="dxa"/>
            <w:vAlign w:val="bottom"/>
            <w:vMerge w:val="continue"/>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12,886</w:t>
            </w:r>
          </w:p>
        </w:tc>
        <w:tc>
          <w:tcPr>
            <w:tcW w:w="100" w:type="dxa"/>
            <w:vAlign w:val="bottom"/>
          </w:tcPr>
          <w:p>
            <w:pPr>
              <w:spacing w:after="0"/>
              <w:rPr>
                <w:sz w:val="19"/>
                <w:szCs w:val="19"/>
                <w:color w:val="auto"/>
              </w:rPr>
            </w:pPr>
          </w:p>
        </w:tc>
        <w:tc>
          <w:tcPr>
            <w:tcW w:w="92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12,187</w:t>
            </w:r>
          </w:p>
        </w:tc>
        <w:tc>
          <w:tcPr>
            <w:tcW w:w="760" w:type="dxa"/>
            <w:vAlign w:val="bottom"/>
            <w:gridSpan w:val="2"/>
            <w:vMerge w:val="continue"/>
          </w:tcPr>
          <w:p>
            <w:pPr>
              <w:spacing w:after="0"/>
              <w:rPr>
                <w:sz w:val="19"/>
                <w:szCs w:val="19"/>
                <w:color w:val="auto"/>
              </w:rPr>
            </w:pPr>
          </w:p>
        </w:tc>
        <w:tc>
          <w:tcPr>
            <w:tcW w:w="920" w:type="dxa"/>
            <w:vAlign w:val="bottom"/>
            <w:gridSpan w:val="3"/>
            <w:vMerge w:val="continue"/>
          </w:tcPr>
          <w:p>
            <w:pPr>
              <w:spacing w:after="0"/>
              <w:rPr>
                <w:sz w:val="19"/>
                <w:szCs w:val="19"/>
                <w:color w:val="auto"/>
              </w:rPr>
            </w:pPr>
          </w:p>
        </w:tc>
        <w:tc>
          <w:tcPr>
            <w:tcW w:w="5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(13,152)</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(12,480)</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(672)</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Interest income</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776</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796</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(20)</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Gain due to change in market value Of investment rights</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814</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(814)</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Other income (expense)</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8"/>
                <w:szCs w:val="18"/>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(61)</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393</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644%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(12,044)</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(10,931)</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7"/>
              </w:rPr>
              <w:t>$ (1,113)</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b w:val="1"/>
          <w:bCs w:val="1"/>
          <w:i w:val="1"/>
          <w:iCs w:val="1"/>
          <w:color w:val="auto"/>
        </w:rPr>
        <w:t xml:space="preserve">Product revenue. </w:t>
      </w:r>
      <w:r>
        <w:rPr>
          <w:rFonts w:ascii="Arial" w:cs="Arial" w:eastAsia="Arial" w:hAnsi="Arial"/>
          <w:sz w:val="18"/>
          <w:szCs w:val="18"/>
          <w:color w:val="auto"/>
        </w:rPr>
        <w:t>Product revenue consists of sales of our CleanSource power quality products, comprising both UPS and DC product lines, and sales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Continuous Power Systems (CPS) which are comprised of our UPS systems, some combination of third-party ancillary equipment, such as engine generators and switchgear, and installation and start-up services. Beginning in this quarter, product revenue also includes sales of our CoolAir DC and CoolAir UPS products that are based on our thermal and compressed air system technology.</w:t>
      </w:r>
    </w:p>
    <w:p>
      <w:pPr>
        <w:spacing w:after="0" w:line="143"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increase in product revenue in 2006 from the same three month and six month periods of 2005 was due to higher sales of our 250 – 900kVA UPS product line and our megawatt-class UPS products and from continued growth in volume from our direct sales channel. When we sell product directly, as compared to sales through our OEM channels, we typically generate higher revenues and better margins than we do when we offer products through discount channels such as our OEM channel. The average selling price in the three months ended June 30, 2006 was $71,000 per quarter-megawatt flywheel, compared to $57,000 over the same period in 2005. This increase in the current quarter is a result of 70% of our flywheel revenues having been generated from the 250 – 900 UPS product range at higher prices, compared to 38% of revenue in the comparable period of 2005. A single product, depending on its power rating, may be comprised of multiple flywheel units. For the six-months ended June 30, 2006 the average selling price of products was $60,000 per quarter-megawatt flywheel, compared to $58,000 in the comparable period of 2005.</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3" w:lineRule="auto"/>
        <w:rPr>
          <w:sz w:val="20"/>
          <w:szCs w:val="20"/>
          <w:color w:val="auto"/>
        </w:rPr>
      </w:pPr>
      <w:r>
        <w:rPr>
          <w:rFonts w:ascii="Arial" w:cs="Arial" w:eastAsia="Arial" w:hAnsi="Arial"/>
          <w:sz w:val="18"/>
          <w:szCs w:val="18"/>
          <w:color w:val="auto"/>
        </w:rPr>
        <w:t>During the quarter ended June 30, 2006 we sold 57 flywheel units compared to 63 in the comparable period of 2005. For the six month period ended June 30, 2006 we sold 148 flywheel units compared to 106 in 2005. In 2006 this includes a significantly higher number of DC wheels compared to 2005 that typically sell at lower average selling prices than our UPS wheels. Our CPS revenues were 22% of product revenue in the three-month period ended June 30, 2006 compared to 30% of product revenue in the comparable period of 2005. For the six-month period ended June 30, 2006 CPS revenues were 15% of product revenue compared to 25% in the comparable period of 2005. CPS revenue is typically tied to higher power system sales and tends to be higher in amount and more infrequent, with longer sales cycles. The frequency and timing of such revenue is more volatile and can result in material changes in period-to-period revenue.</w:t>
      </w:r>
    </w:p>
    <w:p>
      <w:pPr>
        <w:spacing w:after="0" w:line="147"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North American sales were 54% of our total revenue for the three-month period ended June 30, 2006, compared to 55% for the same period of 2005, and 74% in the first quarter of 2006. For the six-month period ended June 30, 2006, North American sales were 64% of our total revenue compared to 54% for the same period of 2005. This increase is due to several large megawatt-class and DC system sales made in North America during 2006.</w:t>
      </w:r>
    </w:p>
    <w:p>
      <w:pPr>
        <w:spacing w:after="0" w:line="107"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During 2005, in an effort to expand the territories in which we sell our Active Power branded products, we began to increase our direct sales organization, particularly in EMEA. We anticipate higher sales from these regions in 2006 as a result of these efforts. Sales of Active Power branded products through our direct and manufacturer’s representative channels were 63% of our total revenues for the three-month period ended June 30, 2006, compared to 60% for the same period of 2005. For the six-month period ended June 30, 2006, these direct sales were 49% of our total revenues compared to 52% for the same period of 2005.</w:t>
      </w:r>
    </w:p>
    <w:p>
      <w:pPr>
        <w:spacing w:after="0" w:line="9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products perform well in harsh environments where power quality is particularly poor, which makes them a good fit for industrial countries with a poor power infrastructure and therefore we have focused our direct sales efforts to these customers. Due to the large size of some of our customer orders relative to our current total revenue levels, we expect that our quarterly total revenue trend and the proportion of sales made directly by us will fluctuate quarterly from the amounts recorded so far in 2006. Caterpillar remains our largest OEM partner and largest customer, and represented 36% and 24% of our product revenue for three-month periods ended June 30, 2006 and 2005, respectively. For the six-month periods ended June 30, 2006 and 2005, Caterpillar represented 41% and 37% of our product revenues, respectively. We have had recent success with Caterpillar selling our megawatt-class UPS products along with their large engine generators, and expect total revenue from this channel to increase in 2006. We also have also seen and anticipate a further increase in capital spending in data centers where there is a requirement for higher-density power solutions such as flywheels, and believe that this will result in higher product revenue levels for us in the remainder of 2006. We also believe that sales of our Active Power branded products to government facilities and industrial customers in regions that were not covered by our OEMs will continue to increase over time and will become a larger percentage of our total revenue.</w:t>
      </w:r>
    </w:p>
    <w:p>
      <w:pPr>
        <w:spacing w:after="0" w:line="123"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b w:val="1"/>
          <w:bCs w:val="1"/>
          <w:i w:val="1"/>
          <w:iCs w:val="1"/>
          <w:color w:val="auto"/>
        </w:rPr>
        <w:t xml:space="preserve">Service and spares revenue. </w:t>
      </w:r>
      <w:r>
        <w:rPr>
          <w:rFonts w:ascii="Arial" w:cs="Arial" w:eastAsia="Arial" w:hAnsi="Arial"/>
          <w:sz w:val="18"/>
          <w:szCs w:val="18"/>
          <w:color w:val="auto"/>
        </w:rPr>
        <w:t>Service and spares revenue primarily relates to revenue generated from installation, startup, repairs or reconfigurations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and the sale of spare or replacement parts to our OEM and end-user customers. It also includes revenue associated with the costs of travel of our service personnel.</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Service and spares revenue increased by 22% for the three month period ended June 30, 2006 compared to the same prior year period. For the six-month period ended June 30, 2006, service and spares revenue was 13% higher than the same period of 2005. We anticipate that service and spares revenue will continue to grow with product revenue and as our installed base of product expands, because as more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spacing w:after="0" w:line="370" w:lineRule="auto"/>
        <w:rPr>
          <w:sz w:val="20"/>
          <w:szCs w:val="20"/>
          <w:color w:val="auto"/>
        </w:rPr>
      </w:pPr>
      <w:r>
        <w:rPr>
          <w:rFonts w:ascii="Arial" w:cs="Arial" w:eastAsia="Arial" w:hAnsi="Arial"/>
          <w:sz w:val="15"/>
          <w:szCs w:val="15"/>
          <w:color w:val="auto"/>
        </w:rPr>
        <w:t>units are sold to customers, more installation, startup and maintenance services will be required. As the proportion of sales through our direct Active Power branded channels increase, service revenues will increase further because now we, and not the OEM, can provide these services to end-user customers.</w:t>
      </w:r>
    </w:p>
    <w:p>
      <w:pPr>
        <w:spacing w:after="0" w:line="6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Cost of product revenue. </w:t>
      </w:r>
      <w:r>
        <w:rPr>
          <w:rFonts w:ascii="Arial" w:cs="Arial" w:eastAsia="Arial" w:hAnsi="Arial"/>
          <w:sz w:val="18"/>
          <w:szCs w:val="18"/>
          <w:color w:val="auto"/>
        </w:rPr>
        <w:t>Cost of product revenue includes the cost of component parts of our products that are sourced from suppliers, personnel,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equipment and other costs associated with our assembly and test operations, including costs from having underutilized facilities, shipping costs, warranty costs, and the costs of manufacturing support functions such as logistics and quality assurance.</w:t>
      </w:r>
    </w:p>
    <w:p>
      <w:pPr>
        <w:spacing w:after="0" w:line="14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Cost of product revenue in the quarter ended June 30, 2006 also included $85,000 of stock-based compensation expense following the adoption of Financial Accounting Standard No. 123(R). This had the effect of decreasing our reported gross margin by 2% for the quarter ended June 30, 2006. Without this charge, our reported gross margin would have been 0%.</w:t>
      </w:r>
    </w:p>
    <w:p>
      <w:pPr>
        <w:spacing w:after="0" w:line="14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cost of product revenue as a percentage of total revenue in the three-month period ended June 30, 2006 increased relative compared to the comparable period in 2005 due to $85,000 of stock-based compensation and the effect of lower selling prices on some large OEM transactions which offset the improved efficiency in our manufacturing operations and material and overhead costs reductions. We have instituted programs to reduce product and component costs where feasible and this has typically resulted in a decrease in materials costs as a percentage of product revenue.</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continue to operate a manufacturing facility that has a capacity level significantly greater than our current product revenue levels. A large portion of the costs involved in operating our manufacturing facility are fixed in nature. We incur approximately $1.2 million to $1.5 million in unabsorbed overhead each quarter. We reduced our manufacturing staff levels in 2003 and have continued to reduce our overhead levels where feasible. We also continue to work on reducing our material product costs. We have previously achieved gross-margin break-even over the last year at revenue levels of between $4.5 million and $5.5 million; however, our accomplishment of gross-margin break even is heavily dependent upon the sales channel mix at this revenue level. Our ability to reach significant product gross margin to fund our operating expenses will depend on multiple factors, including our ability to continue to reduce material costs, improve our sales channel mix in favor of direct sales, and to increase our total revenues to a level that will allow us to improve the utilization of our manufacturing operations. Other items that could impact our ability to further improve our gross margin include sales product volume and mix, pricing discounts and customer incentives, currency fluctuations, and variations in our product cost and productivity.</w:t>
      </w:r>
    </w:p>
    <w:p>
      <w:pPr>
        <w:spacing w:after="0" w:line="120"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b w:val="1"/>
          <w:bCs w:val="1"/>
          <w:i w:val="1"/>
          <w:iCs w:val="1"/>
          <w:color w:val="auto"/>
        </w:rPr>
        <w:t xml:space="preserve">Cost of service and spares revenue. </w:t>
      </w:r>
      <w:r>
        <w:rPr>
          <w:rFonts w:ascii="Arial" w:cs="Arial" w:eastAsia="Arial" w:hAnsi="Arial"/>
          <w:sz w:val="16"/>
          <w:szCs w:val="16"/>
          <w:color w:val="auto"/>
        </w:rPr>
        <w:t>Cost of service and spares revenue includes the cost of component parts, as well as labor and overhead of our spare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parts, costs associated with travel and labor used in servicing a unit and unabsorbed overhead from the service group.</w:t>
      </w:r>
    </w:p>
    <w:p>
      <w:pPr>
        <w:spacing w:after="0" w:line="85"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The cost of service and spares revenue increased slightly in the three-month period ended June 30, 2006 compared to the same period of 2005. This</w:t>
      </w:r>
    </w:p>
    <w:p>
      <w:pPr>
        <w:spacing w:after="0" w:line="38" w:lineRule="exact"/>
        <w:rPr>
          <w:sz w:val="20"/>
          <w:szCs w:val="20"/>
          <w:color w:val="auto"/>
        </w:rPr>
      </w:pPr>
    </w:p>
    <w:p>
      <w:pPr>
        <w:jc w:val="center"/>
        <w:ind w:right="120"/>
        <w:spacing w:after="0"/>
        <w:rPr>
          <w:sz w:val="20"/>
          <w:szCs w:val="20"/>
          <w:color w:val="auto"/>
        </w:rPr>
      </w:pPr>
      <w:r>
        <w:rPr>
          <w:rFonts w:ascii="Arial" w:cs="Arial" w:eastAsia="Arial" w:hAnsi="Arial"/>
          <w:sz w:val="15"/>
          <w:szCs w:val="15"/>
          <w:color w:val="auto"/>
        </w:rPr>
        <w:t>increase is consistent with the increase in service and spares revenue as we have added more support personnel to support our growing installed base of product.</w:t>
      </w:r>
    </w:p>
    <w:p>
      <w:pPr>
        <w:spacing w:after="0" w:line="199" w:lineRule="exact"/>
        <w:rPr>
          <w:sz w:val="20"/>
          <w:szCs w:val="20"/>
          <w:color w:val="auto"/>
        </w:rPr>
      </w:pPr>
    </w:p>
    <w:p>
      <w:pPr>
        <w:ind w:right="220" w:firstLine="456"/>
        <w:spacing w:after="0" w:line="370" w:lineRule="auto"/>
        <w:rPr>
          <w:sz w:val="20"/>
          <w:szCs w:val="20"/>
          <w:color w:val="auto"/>
        </w:rPr>
      </w:pPr>
      <w:r>
        <w:rPr>
          <w:rFonts w:ascii="Arial" w:cs="Arial" w:eastAsia="Arial" w:hAnsi="Arial"/>
          <w:sz w:val="15"/>
          <w:szCs w:val="15"/>
          <w:b w:val="1"/>
          <w:bCs w:val="1"/>
          <w:i w:val="1"/>
          <w:iCs w:val="1"/>
          <w:color w:val="auto"/>
        </w:rPr>
        <w:t xml:space="preserve">Research and development. </w:t>
      </w:r>
      <w:r>
        <w:rPr>
          <w:rFonts w:ascii="Arial" w:cs="Arial" w:eastAsia="Arial" w:hAnsi="Arial"/>
          <w:sz w:val="15"/>
          <w:szCs w:val="15"/>
          <w:color w:val="auto"/>
        </w:rPr>
        <w:t>Research and development expense primarily consists of compensation and related costs of employees engaged in research,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development and engineering activities, third party consulting and product development activities, as well as an allocated portion of our occupancy costs.</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Included in research and development expenses for the three-month period ended June 30, 2006 is $161,000 of stock-based compensation expense. Without this expense, research and development expenses would have decreased by 33% in the three-month period ended June 30, 2006 compared to the same period in 2005. This decrease is due to the transition of our CoolAir product from development to commercial production and resulting reduction in prototype development expenses. For the six-month period ended June 30, 2006, total research and development expenses decreased by $774,000 or 15% compared to the comparable period of 2005. The 2006 expense includes a total of $383,000 of stock-based compensation expense. This new expense offset a $1.2 million decrease in expenses compared to 2005. We believe research and development expenses in the third quarter will stay at similar levels to those recorded in the second quarter.</w:t>
      </w:r>
    </w:p>
    <w:p>
      <w:pPr>
        <w:spacing w:after="0" w:line="10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Selling and marketing. </w:t>
      </w:r>
      <w:r>
        <w:rPr>
          <w:rFonts w:ascii="Arial" w:cs="Arial" w:eastAsia="Arial" w:hAnsi="Arial"/>
          <w:sz w:val="18"/>
          <w:szCs w:val="18"/>
          <w:color w:val="auto"/>
        </w:rPr>
        <w:t>Selling and marketing expenses primarily comprise compensation and related costs for sales and marketing personnel, and related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travel, selling and marketing expenses, as well as an allocated portion of our occupancy costs.</w:t>
      </w:r>
    </w:p>
    <w:p>
      <w:pPr>
        <w:spacing w:after="0" w:line="132"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Included in the selling and marketing expenses this quarter was $175,000 for stock-based compensation expense. Sales and marketing costs increased by $727,000 or 38% in the quarter ended June 30, 2006 compared to the same period of 2005 including the stock based compensation. The increase in our sales and marketing costs reflect increased headcount to 46 people from 32 a year earlier, as we have expanded our direct sales and support team in EMEA, and increased variable compensation relating to higher sales levels. We have expanded our marketing team since the beginning of 2005 and increased expenditures on marketing and direct sales-support activities as part of an effort to facilitate more direct sales. For the six-month period ended June 30, 2006 sales and marketing expenses were $1.9 million or 59% higher than the same period of 2005. This includes $365,000 of stock-based compensation expense in 2006. We believe that selling and marketing expenses in the third quarter will stay at similar levels to those recorded in the second quarter.</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 xml:space="preserve">General and administrative. </w:t>
      </w:r>
      <w:r>
        <w:rPr>
          <w:rFonts w:ascii="Arial" w:cs="Arial" w:eastAsia="Arial" w:hAnsi="Arial"/>
          <w:sz w:val="16"/>
          <w:szCs w:val="16"/>
          <w:color w:val="auto"/>
        </w:rPr>
        <w:t>General and administrative expense is primarily comprised of compensation and related costs for executive and administrative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personnel, professional fees, and taxes, including sales, property and franchise taxes. Included in general and administrative expenses this quarter was $348,000 of stock-based compensation expense. During the three-month period ended June 30, 2006, general and administrative expenses increased by 10%, or $167,000 compared to the same period of 2005. The increase is primarily driven by the stock-based compensation expense of $348,000 and higher legal fees related to the Greenwich litigation, offset by lower sales tax expenses.</w:t>
      </w:r>
    </w:p>
    <w:p>
      <w:pPr>
        <w:spacing w:after="0" w:line="116" w:lineRule="exact"/>
        <w:rPr>
          <w:sz w:val="20"/>
          <w:szCs w:val="20"/>
          <w:color w:val="auto"/>
        </w:rPr>
      </w:pPr>
    </w:p>
    <w:p>
      <w:pPr>
        <w:ind w:right="160" w:firstLine="456"/>
        <w:spacing w:after="0" w:line="323" w:lineRule="auto"/>
        <w:rPr>
          <w:sz w:val="20"/>
          <w:szCs w:val="20"/>
          <w:color w:val="auto"/>
        </w:rPr>
      </w:pPr>
      <w:r>
        <w:rPr>
          <w:rFonts w:ascii="Arial" w:cs="Arial" w:eastAsia="Arial" w:hAnsi="Arial"/>
          <w:sz w:val="15"/>
          <w:szCs w:val="15"/>
          <w:color w:val="auto"/>
        </w:rPr>
        <w:t>General and administrative expenses for the six-month period ended June 30, 2006 were $476,000 or 12% lower from the same period of 2005. The 2006 expense includes a total of $669,000 of stock-based compensation which did not exist in 2005. The 2005 number included $969,000 of sales-tax audit related expenses as well as compensation expenses associated with executive staff changes and higher professional fees related to implementation and compliance with the Sarbanes-Oxley Act of 2002 that we did not incur in 2006. We expect general and administrative expenses to be at similar levels in the next quarter.</w:t>
      </w:r>
    </w:p>
    <w:p>
      <w:pPr>
        <w:spacing w:after="0" w:line="9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i w:val="1"/>
          <w:iCs w:val="1"/>
          <w:color w:val="auto"/>
        </w:rPr>
        <w:t xml:space="preserve">Interest income. </w:t>
      </w:r>
      <w:r>
        <w:rPr>
          <w:rFonts w:ascii="Arial" w:cs="Arial" w:eastAsia="Arial" w:hAnsi="Arial"/>
          <w:sz w:val="18"/>
          <w:szCs w:val="18"/>
          <w:color w:val="auto"/>
        </w:rPr>
        <w:t>Interest income has decreased slightly from $382,000 to $418,000 in the three-month periods ended June 30, 2006 and 2005, respectively.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Higher interest rates have largely offset the impact of the decrease in our average available cash and investments over this period. Our average cash and investments balance over the three month period ending June 30, 2006 has decreased by approximately $22.4 million, or 39%, compared to the average balance over the comparable period ending June 30, 2005. For the six-month period ended June 30, 2006, our interest income was 3% lower than the comparable period of 2005.</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Gain from change in Market Value of Additional Investment Rights. </w:t>
      </w:r>
      <w:r>
        <w:rPr>
          <w:rFonts w:ascii="Arial" w:cs="Arial" w:eastAsia="Arial" w:hAnsi="Arial"/>
          <w:sz w:val="18"/>
          <w:szCs w:val="18"/>
          <w:color w:val="auto"/>
        </w:rPr>
        <w:t>In February 2005 we completed the private placement of 5,454,510 shares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at a price of $3.64 per share, for an aggregate offering of approximately $19.8 million, to certain purchasers. We also issued Additional Investment Rights to purchase 1,636,353 shares of Common Stock to the Purchasers, at an exercise price per share of $3.64. The Additional Investment Rights were not exercised and expired on August 18, 2005.</w:t>
      </w:r>
    </w:p>
    <w:p>
      <w:pPr>
        <w:spacing w:after="0" w:line="14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 xml:space="preserve">In accordance with the requirements of SFAS No. 133, </w:t>
      </w:r>
      <w:r>
        <w:rPr>
          <w:rFonts w:ascii="Arial" w:cs="Arial" w:eastAsia="Arial" w:hAnsi="Arial"/>
          <w:sz w:val="16"/>
          <w:szCs w:val="16"/>
          <w:i w:val="1"/>
          <w:iCs w:val="1"/>
          <w:color w:val="auto"/>
        </w:rPr>
        <w:t>Accounting for Derivative Instruments and Hedging Activities</w:t>
      </w:r>
      <w:r>
        <w:rPr>
          <w:rFonts w:ascii="Arial" w:cs="Arial" w:eastAsia="Arial" w:hAnsi="Arial"/>
          <w:sz w:val="16"/>
          <w:szCs w:val="16"/>
          <w:color w:val="auto"/>
        </w:rPr>
        <w:t>, the fair value of the Additional Investment Rights was determined at the time of issuance based on the proceeds of the offering and the relative fair values of the securities and the Additional Investment Rights. We used the Black-Scholes valuation model to determine the fair value of the Additional Investment Right, and accordingly attributed a value of $964,000 to the Additional Investment Rights, which was recorded as additional paid in capital. Changes in the fair value of the Additional Investment Rights since the date of issuance due to fluctuations in the value of our stock were required to be reflected in our earnings. The rights were revalued to their market value of $471,000 at March 31, 2005, with the resultant gain of $493,000 recorded as other income during the three-months ended March 31, 2005. The Additional Investment Rights were revalued again at June 30, 2005 to their market value of $150,000 which resulted in a gain of $321,000 that was recorded as other income during the three-month period ended June 30, 2005. As these investment rights expired in the third quarter of 2005, there was no impact related to the Additional Investment Rights in the 2006 financial statements.</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Other income (expense). </w:t>
      </w:r>
      <w:r>
        <w:rPr>
          <w:rFonts w:ascii="Arial" w:cs="Arial" w:eastAsia="Arial" w:hAnsi="Arial"/>
          <w:sz w:val="18"/>
          <w:szCs w:val="18"/>
          <w:color w:val="auto"/>
        </w:rPr>
        <w:t>Other income of $253,000 in this quarter included a $227,000 refund for over- payment of corporate franchise taxes in prior years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was recovered. For the six-month period ended June 30, 2006, other income of $332,000 also included cost recoveries from audits of our real estate leases. The 2005 amount included foreign currency losses of $53,000 and realized losses on marketable securities which occurred in the three-month period ended June 30, 2005.</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Our principal sources of liquidity as of June 30, 2006 consisted of $33 million of cash and investments. We have primarily funded our operations through a private placement of our common stock in February 2005 that resulted in net proceeds of $18.7 million, our initial public offering in August 2000, that resulted in net proceeds of $138.4 million, sales of shares of our preferred stock from 1992 to 1999, which have resulted in gross proceeds of approximately $42.6 million, as well as $10.0 million in development funding received from Caterpillar since 1999, and our product and service and spares revenue.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yearly changes in cash used in operating activities: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178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4"/>
              </w:rPr>
              <w:t>Six months ended</w:t>
            </w:r>
          </w:p>
        </w:tc>
        <w:tc>
          <w:tcPr>
            <w:tcW w:w="800" w:type="dxa"/>
            <w:vAlign w:val="bottom"/>
            <w:gridSpan w:val="2"/>
          </w:tcPr>
          <w:p>
            <w:pPr>
              <w:ind w:left="240"/>
              <w:spacing w:after="0"/>
              <w:rPr>
                <w:sz w:val="20"/>
                <w:szCs w:val="20"/>
                <w:color w:val="auto"/>
              </w:rPr>
            </w:pPr>
            <w:r>
              <w:rPr>
                <w:rFonts w:ascii="Arial" w:cs="Arial" w:eastAsia="Arial" w:hAnsi="Arial"/>
                <w:sz w:val="14"/>
                <w:szCs w:val="14"/>
                <w:b w:val="1"/>
                <w:bCs w:val="1"/>
                <w:color w:val="auto"/>
                <w:w w:val="92"/>
              </w:rPr>
              <w:t>Variance</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4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7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5"/>
              </w:rPr>
              <w:t>June 30,</w:t>
            </w:r>
          </w:p>
        </w:tc>
        <w:tc>
          <w:tcPr>
            <w:tcW w:w="1160" w:type="dxa"/>
            <w:vAlign w:val="bottom"/>
            <w:gridSpan w:val="5"/>
          </w:tcPr>
          <w:p>
            <w:pPr>
              <w:ind w:left="120"/>
              <w:spacing w:after="0"/>
              <w:rPr>
                <w:sz w:val="20"/>
                <w:szCs w:val="20"/>
                <w:color w:val="auto"/>
              </w:rPr>
            </w:pPr>
            <w:r>
              <w:rPr>
                <w:rFonts w:ascii="Arial" w:cs="Arial" w:eastAsia="Arial" w:hAnsi="Arial"/>
                <w:sz w:val="14"/>
                <w:szCs w:val="14"/>
                <w:b w:val="1"/>
                <w:bCs w:val="1"/>
                <w:color w:val="auto"/>
              </w:rPr>
              <w:t>2006 vs. 2005</w:t>
            </w:r>
          </w:p>
        </w:tc>
        <w:tc>
          <w:tcPr>
            <w:tcW w:w="0" w:type="dxa"/>
            <w:vAlign w:val="bottom"/>
          </w:tcPr>
          <w:p>
            <w:pPr>
              <w:spacing w:after="0"/>
              <w:rPr>
                <w:sz w:val="1"/>
                <w:szCs w:val="1"/>
                <w:color w:val="auto"/>
              </w:rPr>
            </w:pPr>
          </w:p>
        </w:tc>
      </w:tr>
      <w:tr>
        <w:trPr>
          <w:trHeight w:val="74"/>
        </w:trPr>
        <w:tc>
          <w:tcPr>
            <w:tcW w:w="8480" w:type="dxa"/>
            <w:vAlign w:val="bottom"/>
            <w:vMerge w:val="continue"/>
          </w:tcPr>
          <w:p>
            <w:pPr>
              <w:spacing w:after="0"/>
              <w:rPr>
                <w:sz w:val="6"/>
                <w:szCs w:val="6"/>
                <w:color w:val="auto"/>
              </w:rPr>
            </w:pPr>
          </w:p>
        </w:tc>
        <w:tc>
          <w:tcPr>
            <w:tcW w:w="660" w:type="dxa"/>
            <w:vAlign w:val="bottom"/>
            <w:tcBorders>
              <w:top w:val="single" w:sz="8" w:color="auto"/>
            </w:tcBorders>
            <w:vMerge w:val="restart"/>
          </w:tcPr>
          <w:p>
            <w:pPr>
              <w:jc w:val="right"/>
              <w:ind w:right="127"/>
              <w:spacing w:after="0" w:line="143" w:lineRule="exact"/>
              <w:rPr>
                <w:sz w:val="20"/>
                <w:szCs w:val="20"/>
                <w:color w:val="auto"/>
              </w:rPr>
            </w:pPr>
            <w:r>
              <w:rPr>
                <w:rFonts w:ascii="Arial" w:cs="Arial" w:eastAsia="Arial" w:hAnsi="Arial"/>
                <w:sz w:val="14"/>
                <w:szCs w:val="14"/>
                <w:b w:val="1"/>
                <w:bCs w:val="1"/>
                <w:color w:val="auto"/>
              </w:rPr>
              <w:t>2006</w:t>
            </w:r>
          </w:p>
        </w:tc>
        <w:tc>
          <w:tcPr>
            <w:tcW w:w="280" w:type="dxa"/>
            <w:vAlign w:val="bottom"/>
            <w:tcBorders>
              <w:top w:val="single" w:sz="8" w:color="auto"/>
            </w:tcBorders>
          </w:tcPr>
          <w:p>
            <w:pPr>
              <w:spacing w:after="0"/>
              <w:rPr>
                <w:sz w:val="6"/>
                <w:szCs w:val="6"/>
                <w:color w:val="auto"/>
              </w:rPr>
            </w:pPr>
          </w:p>
        </w:tc>
        <w:tc>
          <w:tcPr>
            <w:tcW w:w="560" w:type="dxa"/>
            <w:vAlign w:val="bottom"/>
            <w:tcBorders>
              <w:top w:val="single" w:sz="8" w:color="auto"/>
            </w:tcBorders>
            <w:vMerge w:val="restart"/>
          </w:tcPr>
          <w:p>
            <w:pPr>
              <w:jc w:val="right"/>
              <w:ind w:right="62"/>
              <w:spacing w:after="0" w:line="143" w:lineRule="exact"/>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6"/>
                <w:szCs w:val="6"/>
                <w:color w:val="auto"/>
              </w:rPr>
            </w:pPr>
          </w:p>
        </w:tc>
        <w:tc>
          <w:tcPr>
            <w:tcW w:w="560" w:type="dxa"/>
            <w:vAlign w:val="bottom"/>
            <w:tcBorders>
              <w:top w:val="single" w:sz="8" w:color="auto"/>
            </w:tcBorders>
            <w:vMerge w:val="restart"/>
          </w:tcPr>
          <w:p>
            <w:pPr>
              <w:ind w:left="240"/>
              <w:spacing w:after="0" w:line="143" w:lineRule="exact"/>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tcBorders>
          </w:tcPr>
          <w:p>
            <w:pPr>
              <w:spacing w:after="0"/>
              <w:rPr>
                <w:sz w:val="6"/>
                <w:szCs w:val="6"/>
                <w:color w:val="auto"/>
              </w:rPr>
            </w:pPr>
          </w:p>
        </w:tc>
        <w:tc>
          <w:tcPr>
            <w:tcW w:w="40" w:type="dxa"/>
            <w:vAlign w:val="bottom"/>
            <w:tcBorders>
              <w:top w:val="single" w:sz="8" w:color="auto"/>
            </w:tcBorders>
            <w:vMerge w:val="restart"/>
          </w:tcPr>
          <w:p>
            <w:pPr>
              <w:spacing w:after="0"/>
              <w:rPr>
                <w:sz w:val="6"/>
                <w:szCs w:val="6"/>
                <w:color w:val="auto"/>
              </w:rPr>
            </w:pPr>
          </w:p>
        </w:tc>
        <w:tc>
          <w:tcPr>
            <w:tcW w:w="180" w:type="dxa"/>
            <w:vAlign w:val="bottom"/>
            <w:tcBorders>
              <w:top w:val="single" w:sz="8" w:color="auto"/>
            </w:tcBorders>
            <w:vMerge w:val="restart"/>
          </w:tcPr>
          <w:p>
            <w:pPr>
              <w:jc w:val="right"/>
              <w:spacing w:after="0" w:line="143"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3"/>
        </w:trPr>
        <w:tc>
          <w:tcPr>
            <w:tcW w:w="8480" w:type="dxa"/>
            <w:vAlign w:val="bottom"/>
          </w:tcPr>
          <w:p>
            <w:pPr>
              <w:spacing w:after="0"/>
              <w:rPr>
                <w:sz w:val="5"/>
                <w:szCs w:val="5"/>
                <w:color w:val="auto"/>
              </w:rPr>
            </w:pPr>
          </w:p>
        </w:tc>
        <w:tc>
          <w:tcPr>
            <w:tcW w:w="660" w:type="dxa"/>
            <w:vAlign w:val="bottom"/>
            <w:tcBorders>
              <w:bottom w:val="single" w:sz="8" w:color="auto"/>
            </w:tcBorders>
            <w:vMerge w:val="continue"/>
          </w:tcPr>
          <w:p>
            <w:pPr>
              <w:spacing w:after="0"/>
              <w:rPr>
                <w:sz w:val="5"/>
                <w:szCs w:val="5"/>
                <w:color w:val="auto"/>
              </w:rPr>
            </w:pPr>
          </w:p>
        </w:tc>
        <w:tc>
          <w:tcPr>
            <w:tcW w:w="280" w:type="dxa"/>
            <w:vAlign w:val="bottom"/>
          </w:tcPr>
          <w:p>
            <w:pPr>
              <w:spacing w:after="0"/>
              <w:rPr>
                <w:sz w:val="5"/>
                <w:szCs w:val="5"/>
                <w:color w:val="auto"/>
              </w:rPr>
            </w:pPr>
          </w:p>
        </w:tc>
        <w:tc>
          <w:tcPr>
            <w:tcW w:w="560" w:type="dxa"/>
            <w:vAlign w:val="bottom"/>
            <w:tcBorders>
              <w:bottom w:val="single" w:sz="8" w:color="auto"/>
            </w:tcBorders>
            <w:vMerge w:val="continue"/>
          </w:tcPr>
          <w:p>
            <w:pPr>
              <w:spacing w:after="0"/>
              <w:rPr>
                <w:sz w:val="5"/>
                <w:szCs w:val="5"/>
                <w:color w:val="auto"/>
              </w:rPr>
            </w:pPr>
          </w:p>
        </w:tc>
        <w:tc>
          <w:tcPr>
            <w:tcW w:w="280" w:type="dxa"/>
            <w:vAlign w:val="bottom"/>
          </w:tcPr>
          <w:p>
            <w:pPr>
              <w:spacing w:after="0"/>
              <w:rPr>
                <w:sz w:val="5"/>
                <w:szCs w:val="5"/>
                <w:color w:val="auto"/>
              </w:rPr>
            </w:pPr>
          </w:p>
        </w:tc>
        <w:tc>
          <w:tcPr>
            <w:tcW w:w="560" w:type="dxa"/>
            <w:vAlign w:val="bottom"/>
            <w:tcBorders>
              <w:bottom w:val="single" w:sz="8" w:color="auto"/>
            </w:tcBorders>
            <w:vMerge w:val="continue"/>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vMerge w:val="continue"/>
          </w:tcPr>
          <w:p>
            <w:pPr>
              <w:spacing w:after="0"/>
              <w:rPr>
                <w:sz w:val="5"/>
                <w:szCs w:val="5"/>
                <w:color w:val="auto"/>
              </w:rPr>
            </w:pPr>
          </w:p>
        </w:tc>
        <w:tc>
          <w:tcPr>
            <w:tcW w:w="180" w:type="dxa"/>
            <w:vAlign w:val="bottom"/>
            <w:tcBorders>
              <w:bottom w:val="single" w:sz="8" w:color="auto"/>
            </w:tcBorders>
            <w:vMerge w:val="continue"/>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Cash used in operating activities</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 (10,223)</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$(9,052)</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$(1,171)</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13%</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Cash used in operating activities increased by 13% compared to the same period of 2005 primarily due to higher operating losses which increased by 5% or $672,000. Other factors influencing the amount of cash used in operating activities include a decline in accounts receivable which offset an increase in inventory purchases. The reduction in receivables during the quarter ended June 30, 2006 can primarily be attributed to our ability to ship product and collect revenues prior to quarter end on certain foreign transactions which favorably impacted our cash used in operations. The increase in inventories is due to the buildup of sufficient CoolAir parts to begin production and due to us holding larger quantities of finished goods of our megawatt-class UPS products in advance of shipments to be made in the third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quarter. Part of the impact of these higher purchases was offset by higher accounts payable for the unpaid portion of these purchases at June 30, 2006. Our higher net loss was largely attributable to the $1.6 million stock-based compensation charge which began in 2006 and is non-cash in nature and therefore did not affect our liquidity. We anticipate cash used in operating activities to increase in the third quarter as we pay for the increased inventories and because we anticipate sales volumes increases that will cause our receivables to grow. We also will have costs of approximately $500,000 related to the reduction of workforce that we affected in July of 2006.</w:t>
      </w:r>
    </w:p>
    <w:p>
      <w:pPr>
        <w:spacing w:after="0" w:line="143"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In July 2006 we reduced our workforce by approximately 19% or 32 people, across all departments. We anticipate termination benefits and costs of approximately $500,000 that will be paid during the third quarter of 2006.</w:t>
      </w:r>
    </w:p>
    <w:p>
      <w:pPr>
        <w:spacing w:after="0" w:line="13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Investing activities primarily consist of sales and purchases of investments, use of restricted cash and purchases of property and equipment. Fluctuations in the sale and purchase of investments generally reflect our use of these funds to finance our ongoing operations. For the six-month period ended June 30, 2006 capital expenditures were $1,369,000 compared to $403,000 in 2005. Most of the increase is due to costs associated with opening new offices and related demonstration equipment in Europe in 2006 and from capital expenditures incurred in preparing our production facility to manufacture the CoolAir product.</w:t>
      </w:r>
    </w:p>
    <w:p>
      <w:pPr>
        <w:spacing w:after="0" w:line="11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Funds provided by financing activities during the three-months ended June 30, 2006 reflect proceeds from employee share purchases, including stock option exercises. For the six-month period ended June 30, 2006 total proceeds from employee share purchases, including stock option exercises and from the Employee Stock Purchase Plan that we discontinued in February 2006 were $2.5 million. The significant decrease in funds from financing activities compared to the comparable period of 2005 is due to the fact that during the first quarter of 2005 we completed a private placement of 5,454,510 shares of our common stock that resulted in net proceeds to us of $18.7 million.</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believe our existing cash and investments balances at June 30, 2006 will be sufficient to meet our cash requirements through the next 12 months, although based on market conditions we may elect to seek additional funding prior to that time. Beyond the next 12 months, our cash requirements will depend on many factors, including any stock or other financing proceeds that we may receive, the rate of sales growth, the market acceptance of our products including the CoolAir DC product family, the timing and level of development funding, the rate of expansion of our sales and marketing activities, the rate of expansion of our manufacturing processes, the size and extent of any cost-reduction activities that we may initiate and the timing and extent of research and development projects. Although we are not a party to any agreement or letter of intent with respect to a potential acquisition or merger, we may enter into acquisitions or strategic arrangements in the future, which could also require us to seek additional equity or debt financing.</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In June 2006, the FASB issued FASB Interpretation 48 (FIN 48), “Accounting for Uncertainty in Income Taxes”. FIN 48 clarifies the accounting for uncertainty in income taxes recognized in an enterprise’s financial statements in accordance with SFAS 109, “Accounting for Income Taxes”. This Interpretation defines the minimum recognition threshold a tax position is required to meet before being recognized in the financial statements. FIN 48 is effective for fiscal years beginning after December 15, 2006. The Company is currently evaluating the effect that the adoption of FIN 48 will have on its financial position and results of operations.</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Stock-based compensation: Effective the beginning of 2006, we adopted SFAS No.123(R), </w:t>
      </w:r>
      <w:r>
        <w:rPr>
          <w:rFonts w:ascii="Arial" w:cs="Arial" w:eastAsia="Arial" w:hAnsi="Arial"/>
          <w:sz w:val="18"/>
          <w:szCs w:val="18"/>
          <w:i w:val="1"/>
          <w:iCs w:val="1"/>
          <w:color w:val="auto"/>
        </w:rPr>
        <w:t>Share-Based Payment,</w:t>
      </w:r>
      <w:r>
        <w:rPr>
          <w:rFonts w:ascii="Arial" w:cs="Arial" w:eastAsia="Arial" w:hAnsi="Arial"/>
          <w:sz w:val="18"/>
          <w:szCs w:val="18"/>
          <w:color w:val="auto"/>
        </w:rPr>
        <w:t xml:space="preserve"> and elected to adopt the modified prospective application method. Accordingly, stock-based compensation cost is measured at the grant date, based on the fair value of the award, and is recognized as an expense over the requisite service period. For stock awards granted in 2006, expenses are amortized under the straight-line attribution method. For stock awards granted prior to 2006, expenses are amortized under the single option method prescribed by FASB Interpretation No.28. Previously reported amounts have not been restated.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Internet website address is http://www.activepower.com. Our annual report on Form 10-K, quarterly reports on Form 10-Q, current reports on Form 8-K and amendments to those reports filed or furnished pursuant to Section 13(a) or 15(d) of the Securities Exchange Act of 1934 are available through the “Company” page of our website as soon as reasonably practicable after we electronically file such material with, or furnish it to, the Securities and Exchange Commission. Our website and the information contained therein or connected thereto are not intended to be incorporated into this Quarterly Report on Form 10-Q.</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We invest our cash in a variety of financial instruments, including bank time deposits, and taxable variable rate and fixed rate obligations of corporations, municipalities, and local, state and national government entities and agencies. These investments are denominated in U.S. dollars.</w:t>
      </w:r>
    </w:p>
    <w:p>
      <w:pPr>
        <w:spacing w:after="0" w:line="85"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Our interest income is sensitive to changes in the general level of U.S. interest rates, particularly since the majority of our investments are in short-term instruments. We believe that our investment policy is conservative, both in terms of the average maturity of investments that we allow and in terms of the credit quality of the investments we hold. We estimate that a 1% decrease in market interest rates would decrease our annual interest income by approximately $230,000.</w:t>
      </w:r>
    </w:p>
    <w:p>
      <w:pPr>
        <w:spacing w:after="0" w:line="14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Our international sales are made primarily in U.S. dollars. Those sales in currencies other than U.S. dollars can result in translation gains and losses. As we increase sales in foreign markets, we anticipate making more sales denominated in foreign currencies, primarily euros and pounds. Currently, we do not engage in hedging activities for our international operations. However, we may engage in hedging activities in the future.</w:t>
      </w:r>
    </w:p>
    <w:p>
      <w:pPr>
        <w:spacing w:after="0" w:line="107" w:lineRule="exact"/>
        <w:rPr>
          <w:sz w:val="20"/>
          <w:szCs w:val="20"/>
          <w:color w:val="auto"/>
        </w:rPr>
      </w:pPr>
    </w:p>
    <w:p>
      <w:pPr>
        <w:jc w:val="both"/>
        <w:ind w:right="140" w:firstLine="456"/>
        <w:spacing w:after="0" w:line="332" w:lineRule="auto"/>
        <w:rPr>
          <w:sz w:val="20"/>
          <w:szCs w:val="20"/>
          <w:color w:val="auto"/>
        </w:rPr>
      </w:pPr>
      <w:r>
        <w:rPr>
          <w:rFonts w:ascii="Arial" w:cs="Arial" w:eastAsia="Arial" w:hAnsi="Arial"/>
          <w:sz w:val="16"/>
          <w:szCs w:val="16"/>
          <w:color w:val="auto"/>
        </w:rPr>
        <w:t>Our international business is subject to the typical risks of any international business, including, but not limited to, the risks described in Item IA – “Risk Factors” in our Annual Report on Form 10-K. Accordingly, our future results could be materially harmed by the actual occurrence of any of these or other risks.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6" w:lineRule="exact"/>
        <w:rPr>
          <w:sz w:val="20"/>
          <w:szCs w:val="20"/>
          <w:color w:val="auto"/>
        </w:rPr>
      </w:pPr>
    </w:p>
    <w:p>
      <w:pPr>
        <w:ind w:left="900" w:hanging="446"/>
        <w:spacing w:after="0" w:line="253"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Evaluation of disclosure controls and procedures</w:t>
      </w:r>
      <w:r>
        <w:rPr>
          <w:rFonts w:ascii="Arial" w:cs="Arial" w:eastAsia="Arial" w:hAnsi="Arial"/>
          <w:sz w:val="18"/>
          <w:szCs w:val="18"/>
          <w:color w:val="auto"/>
        </w:rPr>
        <w:t>. We performed an evaluation under the supervision and with the participation of our management, including our Chief Executive Officer, or CEO, and Chief Financial Officer, or CFO, of the effectiveness of the design and operation of our disclosure controls and procedures, as defined in Rules 13a-15(e) and 15d -15(f) under the Securities Exchange Act of 1934. Based on their evaluation, our management, including our CEO and CFO, concluded that our disclosure controls and procedures were effective as of June 30, 2006, (the end of the period covered by this Quarterly Report on Form 10-Q) to ensure that information required to be disclosed by us in the reports filed or submitted by us under the Exchange Act is recorded, processed, summarized and reported within the time periods specified in the SEC’s rules and forms.</w:t>
      </w:r>
    </w:p>
    <w:p>
      <w:pPr>
        <w:spacing w:after="0" w:line="66" w:lineRule="exact"/>
        <w:rPr>
          <w:rFonts w:ascii="Arial" w:cs="Arial" w:eastAsia="Arial" w:hAnsi="Arial"/>
          <w:sz w:val="18"/>
          <w:szCs w:val="18"/>
          <w:color w:val="auto"/>
        </w:rPr>
      </w:pPr>
    </w:p>
    <w:p>
      <w:pPr>
        <w:ind w:left="900" w:right="160" w:hanging="446"/>
        <w:spacing w:after="0" w:line="25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Changes in internal control over financial reporting</w:t>
      </w:r>
      <w:r>
        <w:rPr>
          <w:rFonts w:ascii="Arial" w:cs="Arial" w:eastAsia="Arial" w:hAnsi="Arial"/>
          <w:sz w:val="18"/>
          <w:szCs w:val="18"/>
          <w:color w:val="auto"/>
        </w:rPr>
        <w:t>. During the three months ended June 30, 2006, there was no change in our internal control over financial reporting that occurred that has materially affected, or that we believe is reasonably likely to materially affect, our internal control over financial reporting.</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ACTIVE POWER,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Active Power, Inc., et al. v. Greenwich Insurance Company</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Between March 2002 and October 2004, Active Power and Joseph Pinkerton, our Chairman and Chief Executive Officer, were parties to a lawsuit with Magnex Corporation and other plaintiffs alleging breach of a joint venture agreement, misappropriation of trade secrets and other torts. As disclosed in our 2004 Annual Report on Form 10-K, this litigation was settled in October 2004 with the Company paying $5.08 million in settlement expense in 2004. The plaintiffs dismissed their claims and provided a covenant not to sue the defendants in the future. The plaintiffs further agreed to transfer, assign and otherwise release to the defendants all rights to certain technology involved in the lawsuit,</w:t>
      </w:r>
    </w:p>
    <w:p>
      <w:pPr>
        <w:spacing w:after="0" w:line="143"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On July 16, 2004 we filed a lawsuit against Greenwich Insurance Company seeking coverage under an insurance policy providing for management liability and company reimbursement coverage for certain of our and our CEO, Joe Pinkerton’s, expenses and damages related to the Magnex litigation described above.</w:t>
      </w:r>
    </w:p>
    <w:p>
      <w:pPr>
        <w:spacing w:after="0" w:line="6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This case seeks a declaratory judgment that we are entitled to coverage under our policy with Greenwich Insurance Company and also alleges breach of contract for Greenwich’s failure to fulfill its contractual obligations under the policy. This case was filed in the Travis County District Court, in Texas state court. An amended petition was filed on September 14, 2004. In the event of any recovery in this action, we would retain an amount equal to our legal expenses related to this Greenwich Insurance litigation. Any additional recovery up to $1.22 million shall next be paid to Mr. Pinkerton as reimbursement for his settlement expense and other costs related to the Magnex lawsuit. Any recovery beyond this amount would be retained by us.</w:t>
      </w:r>
    </w:p>
    <w:p>
      <w:pPr>
        <w:spacing w:after="0" w:line="11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On April 11, 2006 the Court denied Greenwich’s motion for summary judgment in part. In July we engaged in a court-mandated mediation with regard to this litigation but were unable to reach a resolution of the dispute. Discovery and other proceedings in the case are ongoing. We anticipate a trial date in November 2006.</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i w:val="1"/>
          <w:iCs w:val="1"/>
          <w:color w:val="auto"/>
        </w:rPr>
        <w:t>You should carefully consider the risks described in Part 1A of our Annual Report on Form 10-K and below before making a decision to invest in our common stock or in evaluating Active Power and our business. The risks and uncertainties described in our Annual report on Form 10-K and below are not the only ones we face. Additional risks and uncertainties that we do not presently know, or that we currently view as immaterial, may also impair our business operations. This report is qualified in its entirety by these risk factors.</w:t>
      </w:r>
    </w:p>
    <w:p>
      <w:pPr>
        <w:spacing w:after="0" w:line="14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i w:val="1"/>
          <w:iCs w:val="1"/>
          <w:color w:val="auto"/>
        </w:rPr>
        <w:t>The actual occurrence of any of the following risks could materially harm our business, financial condition and results of operations. In that case, the trading price of our common stock could decline.</w:t>
      </w:r>
    </w:p>
    <w:p>
      <w:pPr>
        <w:spacing w:after="0" w:line="126"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Our recently announced reduction in force and other cost reduction efforts may negatively impact our stock price and may make it difficult to retain our current personnel and hire additional personnel.</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July 2006 we reduced our workforce by approximately 19% or 32 people across all departments of the Company. These cost reduction efforts, or their announcement, could cause a decrease or significant fluctuations, in our stock price. In addition, this reduction in our workforce may adversely affect the morale of remaining employees, which may adversely affect our ability to retain or attract qualified employees. If we are unable to retain the personnel we currently employ, or if we are unable to quickly replace departing employees with new, qualified employees, our operations may suffer. There may also be an increased risk of litigation as a result of the reduction in our workforce.</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have recently introduced the CoolAir DC product but are not yet able to determine the rate of acceptance or likely success of this product.</w:t>
      </w:r>
    </w:p>
    <w:p>
      <w:pPr>
        <w:spacing w:after="0" w:line="119" w:lineRule="exact"/>
        <w:rPr>
          <w:sz w:val="20"/>
          <w:szCs w:val="20"/>
          <w:color w:val="auto"/>
        </w:rPr>
      </w:pPr>
    </w:p>
    <w:p>
      <w:pPr>
        <w:ind w:right="400"/>
        <w:spacing w:after="0" w:line="294" w:lineRule="auto"/>
        <w:rPr>
          <w:sz w:val="20"/>
          <w:szCs w:val="20"/>
          <w:color w:val="auto"/>
        </w:rPr>
      </w:pPr>
      <w:r>
        <w:rPr>
          <w:rFonts w:ascii="Arial" w:cs="Arial" w:eastAsia="Arial" w:hAnsi="Arial"/>
          <w:sz w:val="16"/>
          <w:szCs w:val="16"/>
          <w:color w:val="auto"/>
        </w:rPr>
        <w:t>We began commercial production of our new extended runtime product CoolAir DC in the second quarter of 2006. Based on our experience with flywheel products, we believe that the market for power quality products is reluctant and slow to adopt new technologies and we anticipate this with CoolAir, as well. Acceptance of this product is an important part of our growth strategy and therefore is critical to our future success. If the market does not embrace this new technology, or if the market accepts it at a rate slower than what we anticipate, this could adversely impair our revenue, profitability and overall financial prospects. The successful market acceptance of our CoolAir DC product depends upon a number of factors including:</w:t>
      </w:r>
    </w:p>
    <w:p>
      <w:pPr>
        <w:spacing w:after="0" w:line="35"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 competitiveness of this product compared to existing technologies;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quality and reliability compared to existing products;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sell the value and benefits of our technology and displace existing entrenched technologies and vendors;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provide adequate marketing and sales channel support to accelerate product acceptance.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did not repurchase any common stock in the second quarter of 2006.</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our annual meeting of stockholders held on May 4, 2006, our stockholders voted on the following matters:</w:t>
      </w:r>
    </w:p>
    <w:p>
      <w:pPr>
        <w:spacing w:after="0" w:line="90" w:lineRule="exact"/>
        <w:rPr>
          <w:sz w:val="20"/>
          <w:szCs w:val="20"/>
          <w:color w:val="auto"/>
        </w:rPr>
      </w:pPr>
    </w:p>
    <w:p>
      <w:pPr>
        <w:ind w:right="20" w:firstLine="464"/>
        <w:spacing w:after="0" w:line="268" w:lineRule="auto"/>
        <w:tabs>
          <w:tab w:leader="none" w:pos="70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election of three Class III directors to serve until our 2009 annual meeting or until their successors have been elected and qualified. The nominees of the board of directors were elected by the following vote:</w:t>
      </w:r>
    </w:p>
    <w:p>
      <w:pPr>
        <w:spacing w:after="0" w:line="156"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81"/>
        </w:trPr>
        <w:tc>
          <w:tcPr>
            <w:tcW w:w="4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Class III Director</w:t>
            </w:r>
          </w:p>
        </w:tc>
        <w:tc>
          <w:tcPr>
            <w:tcW w:w="26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Voted in Favor</w:t>
            </w:r>
          </w:p>
        </w:tc>
        <w:tc>
          <w:tcPr>
            <w:tcW w:w="240" w:type="dxa"/>
            <w:vAlign w:val="bottom"/>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Shares Withheld</w:t>
            </w:r>
          </w:p>
        </w:tc>
      </w:tr>
      <w:tr>
        <w:trPr>
          <w:trHeight w:val="195"/>
        </w:trPr>
        <w:tc>
          <w:tcPr>
            <w:tcW w:w="4520" w:type="dxa"/>
            <w:vAlign w:val="bottom"/>
          </w:tcPr>
          <w:p>
            <w:pPr>
              <w:spacing w:after="0" w:line="195" w:lineRule="exact"/>
              <w:rPr>
                <w:sz w:val="20"/>
                <w:szCs w:val="20"/>
                <w:color w:val="auto"/>
              </w:rPr>
            </w:pPr>
            <w:r>
              <w:rPr>
                <w:rFonts w:ascii="Arial" w:cs="Arial" w:eastAsia="Arial" w:hAnsi="Arial"/>
                <w:sz w:val="18"/>
                <w:szCs w:val="18"/>
                <w:color w:val="auto"/>
              </w:rPr>
              <w:t>Joseph F. Pinkerton, III</w:t>
            </w:r>
          </w:p>
        </w:tc>
        <w:tc>
          <w:tcPr>
            <w:tcW w:w="260" w:type="dxa"/>
            <w:vAlign w:val="bottom"/>
          </w:tcPr>
          <w:p>
            <w:pPr>
              <w:spacing w:after="0"/>
              <w:rPr>
                <w:sz w:val="16"/>
                <w:szCs w:val="16"/>
                <w:color w:val="auto"/>
              </w:rPr>
            </w:pPr>
          </w:p>
        </w:tc>
        <w:tc>
          <w:tcPr>
            <w:tcW w:w="860" w:type="dxa"/>
            <w:vAlign w:val="bottom"/>
          </w:tcPr>
          <w:p>
            <w:pPr>
              <w:jc w:val="center"/>
              <w:spacing w:after="0" w:line="195" w:lineRule="exact"/>
              <w:rPr>
                <w:sz w:val="20"/>
                <w:szCs w:val="20"/>
                <w:color w:val="auto"/>
              </w:rPr>
            </w:pPr>
            <w:r>
              <w:rPr>
                <w:rFonts w:ascii="Arial" w:cs="Arial" w:eastAsia="Arial" w:hAnsi="Arial"/>
                <w:sz w:val="18"/>
                <w:szCs w:val="18"/>
                <w:color w:val="auto"/>
                <w:w w:val="88"/>
              </w:rPr>
              <w:t>39,492,597</w:t>
            </w:r>
          </w:p>
        </w:tc>
        <w:tc>
          <w:tcPr>
            <w:tcW w:w="240" w:type="dxa"/>
            <w:vAlign w:val="bottom"/>
          </w:tcPr>
          <w:p>
            <w:pPr>
              <w:spacing w:after="0"/>
              <w:rPr>
                <w:sz w:val="16"/>
                <w:szCs w:val="16"/>
                <w:color w:val="auto"/>
              </w:rPr>
            </w:pPr>
          </w:p>
        </w:tc>
        <w:tc>
          <w:tcPr>
            <w:tcW w:w="960" w:type="dxa"/>
            <w:vAlign w:val="bottom"/>
          </w:tcPr>
          <w:p>
            <w:pPr>
              <w:jc w:val="center"/>
              <w:spacing w:after="0" w:line="195" w:lineRule="exact"/>
              <w:rPr>
                <w:sz w:val="20"/>
                <w:szCs w:val="20"/>
                <w:color w:val="auto"/>
              </w:rPr>
            </w:pPr>
            <w:r>
              <w:rPr>
                <w:rFonts w:ascii="Arial" w:cs="Arial" w:eastAsia="Arial" w:hAnsi="Arial"/>
                <w:sz w:val="18"/>
                <w:szCs w:val="18"/>
                <w:color w:val="auto"/>
                <w:w w:val="87"/>
              </w:rPr>
              <w:t>5,444,889</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Ake Almgren</w:t>
            </w:r>
          </w:p>
        </w:tc>
        <w:tc>
          <w:tcPr>
            <w:tcW w:w="1120" w:type="dxa"/>
            <w:vAlign w:val="bottom"/>
            <w:gridSpan w:val="2"/>
          </w:tcPr>
          <w:p>
            <w:pPr>
              <w:jc w:val="center"/>
              <w:ind w:left="152"/>
              <w:spacing w:after="0"/>
              <w:rPr>
                <w:sz w:val="20"/>
                <w:szCs w:val="20"/>
                <w:color w:val="auto"/>
              </w:rPr>
            </w:pPr>
            <w:r>
              <w:rPr>
                <w:rFonts w:ascii="Arial" w:cs="Arial" w:eastAsia="Arial" w:hAnsi="Arial"/>
                <w:sz w:val="18"/>
                <w:szCs w:val="18"/>
                <w:color w:val="auto"/>
                <w:w w:val="88"/>
              </w:rPr>
              <w:t>40,036,226</w:t>
            </w:r>
          </w:p>
        </w:tc>
        <w:tc>
          <w:tcPr>
            <w:tcW w:w="1200" w:type="dxa"/>
            <w:vAlign w:val="bottom"/>
            <w:gridSpan w:val="2"/>
          </w:tcPr>
          <w:p>
            <w:pPr>
              <w:jc w:val="center"/>
              <w:ind w:left="132"/>
              <w:spacing w:after="0"/>
              <w:rPr>
                <w:sz w:val="20"/>
                <w:szCs w:val="20"/>
                <w:color w:val="auto"/>
              </w:rPr>
            </w:pPr>
            <w:r>
              <w:rPr>
                <w:rFonts w:ascii="Arial" w:cs="Arial" w:eastAsia="Arial" w:hAnsi="Arial"/>
                <w:sz w:val="18"/>
                <w:szCs w:val="18"/>
                <w:color w:val="auto"/>
                <w:w w:val="87"/>
              </w:rPr>
              <w:t>4,901,620</w:t>
            </w:r>
          </w:p>
        </w:tc>
      </w:tr>
      <w:tr>
        <w:trPr>
          <w:trHeight w:val="222"/>
        </w:trPr>
        <w:tc>
          <w:tcPr>
            <w:tcW w:w="4520" w:type="dxa"/>
            <w:vAlign w:val="bottom"/>
          </w:tcPr>
          <w:p>
            <w:pPr>
              <w:spacing w:after="0"/>
              <w:rPr>
                <w:sz w:val="20"/>
                <w:szCs w:val="20"/>
                <w:color w:val="auto"/>
              </w:rPr>
            </w:pPr>
            <w:r>
              <w:rPr>
                <w:rFonts w:ascii="Arial" w:cs="Arial" w:eastAsia="Arial" w:hAnsi="Arial"/>
                <w:sz w:val="18"/>
                <w:szCs w:val="18"/>
                <w:color w:val="auto"/>
              </w:rPr>
              <w:t>Brad Boston</w:t>
            </w:r>
          </w:p>
        </w:tc>
        <w:tc>
          <w:tcPr>
            <w:tcW w:w="1120" w:type="dxa"/>
            <w:vAlign w:val="bottom"/>
            <w:gridSpan w:val="2"/>
          </w:tcPr>
          <w:p>
            <w:pPr>
              <w:jc w:val="center"/>
              <w:ind w:left="152"/>
              <w:spacing w:after="0"/>
              <w:rPr>
                <w:sz w:val="20"/>
                <w:szCs w:val="20"/>
                <w:color w:val="auto"/>
              </w:rPr>
            </w:pPr>
            <w:r>
              <w:rPr>
                <w:rFonts w:ascii="Arial" w:cs="Arial" w:eastAsia="Arial" w:hAnsi="Arial"/>
                <w:sz w:val="18"/>
                <w:szCs w:val="18"/>
                <w:color w:val="auto"/>
                <w:w w:val="88"/>
              </w:rPr>
              <w:t>40,030,678</w:t>
            </w:r>
          </w:p>
        </w:tc>
        <w:tc>
          <w:tcPr>
            <w:tcW w:w="1200" w:type="dxa"/>
            <w:vAlign w:val="bottom"/>
            <w:gridSpan w:val="2"/>
          </w:tcPr>
          <w:p>
            <w:pPr>
              <w:jc w:val="center"/>
              <w:ind w:left="132"/>
              <w:spacing w:after="0"/>
              <w:rPr>
                <w:sz w:val="20"/>
                <w:szCs w:val="20"/>
                <w:color w:val="auto"/>
              </w:rPr>
            </w:pPr>
            <w:r>
              <w:rPr>
                <w:rFonts w:ascii="Arial" w:cs="Arial" w:eastAsia="Arial" w:hAnsi="Arial"/>
                <w:sz w:val="18"/>
                <w:szCs w:val="18"/>
                <w:color w:val="auto"/>
                <w:w w:val="87"/>
              </w:rPr>
              <w:t>4,907,168</w:t>
            </w: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list of our other directors whose term of office continued after our annual meeting:</w:t>
      </w:r>
    </w:p>
    <w:p>
      <w:pPr>
        <w:spacing w:after="0" w:line="90" w:lineRule="exact"/>
        <w:rPr>
          <w:sz w:val="20"/>
          <w:szCs w:val="20"/>
          <w:color w:val="auto"/>
        </w:rPr>
      </w:pPr>
    </w:p>
    <w:p>
      <w:pPr>
        <w:ind w:left="900" w:right="12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Class I directors, Richard E. Anderson, Rodney S. Bond and Benjamin L. Scott, who will continue to serve until our 2007 Annual Meeting or until their successors have been elected and qualified.</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Class II directors, Terrence Rock and Jan H. Lindelow, who will continue to serve until our 2008 Annual Meeting or until their successors have been elected and qualified.</w:t>
      </w:r>
    </w:p>
    <w:p>
      <w:pPr>
        <w:spacing w:after="0" w:line="131" w:lineRule="exact"/>
        <w:rPr>
          <w:rFonts w:ascii="Arial" w:cs="Arial" w:eastAsia="Arial" w:hAnsi="Arial"/>
          <w:sz w:val="18"/>
          <w:szCs w:val="18"/>
          <w:color w:val="auto"/>
        </w:rPr>
      </w:pPr>
    </w:p>
    <w:p>
      <w:pPr>
        <w:ind w:right="100" w:firstLine="464"/>
        <w:spacing w:after="0" w:line="268" w:lineRule="auto"/>
        <w:tabs>
          <w:tab w:leader="none" w:pos="705"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approval of the appointment of Ernst &amp; Young LLP as independent auditors for the fiscal year ending December 31, 2006. The appointment was approved by the following vote:</w:t>
      </w:r>
    </w:p>
    <w:p>
      <w:pPr>
        <w:spacing w:after="0" w:line="156"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80" w:type="dxa"/>
            <w:vAlign w:val="bottom"/>
          </w:tcPr>
          <w:p>
            <w:pPr>
              <w:spacing w:after="0"/>
              <w:rPr>
                <w:sz w:val="14"/>
                <w:szCs w:val="14"/>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81"/>
              </w:rPr>
              <w:t>Shares</w:t>
            </w:r>
          </w:p>
        </w:tc>
        <w:tc>
          <w:tcPr>
            <w:tcW w:w="6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181"/>
        </w:trPr>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Voted in Favor</w:t>
            </w:r>
          </w:p>
        </w:tc>
        <w:tc>
          <w:tcPr>
            <w:tcW w:w="80" w:type="dxa"/>
            <w:vAlign w:val="bottom"/>
          </w:tcPr>
          <w:p>
            <w:pPr>
              <w:spacing w:after="0"/>
              <w:rPr>
                <w:sz w:val="15"/>
                <w:szCs w:val="15"/>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Voted Opposed</w:t>
            </w:r>
          </w:p>
        </w:tc>
        <w:tc>
          <w:tcPr>
            <w:tcW w:w="60" w:type="dxa"/>
            <w:vAlign w:val="bottom"/>
          </w:tcPr>
          <w:p>
            <w:pPr>
              <w:spacing w:after="0"/>
              <w:rPr>
                <w:sz w:val="15"/>
                <w:szCs w:val="15"/>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Shares Abstaining</w:t>
            </w:r>
          </w:p>
        </w:tc>
      </w:tr>
      <w:tr>
        <w:trPr>
          <w:trHeight w:val="209"/>
        </w:trPr>
        <w:tc>
          <w:tcPr>
            <w:tcW w:w="2320" w:type="dxa"/>
            <w:vAlign w:val="bottom"/>
          </w:tcPr>
          <w:p>
            <w:pPr>
              <w:jc w:val="center"/>
              <w:spacing w:after="0" w:line="202" w:lineRule="exact"/>
              <w:rPr>
                <w:sz w:val="20"/>
                <w:szCs w:val="20"/>
                <w:color w:val="auto"/>
              </w:rPr>
            </w:pPr>
            <w:r>
              <w:rPr>
                <w:rFonts w:ascii="Arial" w:cs="Arial" w:eastAsia="Arial" w:hAnsi="Arial"/>
                <w:sz w:val="18"/>
                <w:szCs w:val="18"/>
                <w:color w:val="auto"/>
                <w:w w:val="88"/>
              </w:rPr>
              <w:t>40,624,031</w:t>
            </w:r>
          </w:p>
        </w:tc>
        <w:tc>
          <w:tcPr>
            <w:tcW w:w="8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7"/>
              </w:rPr>
              <w:t>4,300,806</w:t>
            </w:r>
          </w:p>
        </w:tc>
        <w:tc>
          <w:tcPr>
            <w:tcW w:w="60" w:type="dxa"/>
            <w:vAlign w:val="bottom"/>
          </w:tcPr>
          <w:p>
            <w:pPr>
              <w:spacing w:after="0"/>
              <w:rPr>
                <w:sz w:val="18"/>
                <w:szCs w:val="18"/>
                <w:color w:val="auto"/>
              </w:rPr>
            </w:pPr>
          </w:p>
        </w:tc>
        <w:tc>
          <w:tcPr>
            <w:tcW w:w="2200" w:type="dxa"/>
            <w:vAlign w:val="bottom"/>
          </w:tcPr>
          <w:p>
            <w:pPr>
              <w:jc w:val="right"/>
              <w:ind w:right="782"/>
              <w:spacing w:after="0"/>
              <w:rPr>
                <w:sz w:val="20"/>
                <w:szCs w:val="20"/>
                <w:color w:val="auto"/>
              </w:rPr>
            </w:pPr>
            <w:r>
              <w:rPr>
                <w:rFonts w:ascii="Arial" w:cs="Arial" w:eastAsia="Arial" w:hAnsi="Arial"/>
                <w:sz w:val="18"/>
                <w:szCs w:val="18"/>
                <w:color w:val="auto"/>
              </w:rPr>
              <w:t>13,008</w:t>
            </w:r>
          </w:p>
        </w:tc>
      </w:tr>
    </w:tbl>
    <w:p>
      <w:pPr>
        <w:spacing w:after="0" w:line="147" w:lineRule="exact"/>
        <w:rPr>
          <w:sz w:val="20"/>
          <w:szCs w:val="20"/>
          <w:color w:val="auto"/>
        </w:rPr>
      </w:pPr>
    </w:p>
    <w:p>
      <w:pPr>
        <w:ind w:right="20" w:firstLine="464"/>
        <w:spacing w:after="0" w:line="306" w:lineRule="auto"/>
        <w:tabs>
          <w:tab w:leader="none" w:pos="705"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approval of amendments to our Amended and Restated Certificate of Incorporation to increase the authorized shares of common stock from 60,000,000 shares to 150,000,000 shares, to decrease the number of authorized shares of preferred stock from 10,420,000 to 10,000,000 and to eliminate certain provisions that are no longer applicable to Active Power. The amendments were approved by the following vote:</w:t>
      </w:r>
    </w:p>
    <w:p>
      <w:pPr>
        <w:spacing w:after="0" w:line="130"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80" w:type="dxa"/>
            <w:vAlign w:val="bottom"/>
          </w:tcPr>
          <w:p>
            <w:pPr>
              <w:spacing w:after="0"/>
              <w:rPr>
                <w:sz w:val="14"/>
                <w:szCs w:val="14"/>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81"/>
              </w:rPr>
              <w:t>Shares</w:t>
            </w:r>
          </w:p>
        </w:tc>
        <w:tc>
          <w:tcPr>
            <w:tcW w:w="6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181"/>
        </w:trPr>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Voted in Favor</w:t>
            </w:r>
          </w:p>
        </w:tc>
        <w:tc>
          <w:tcPr>
            <w:tcW w:w="80" w:type="dxa"/>
            <w:vAlign w:val="bottom"/>
          </w:tcPr>
          <w:p>
            <w:pPr>
              <w:spacing w:after="0"/>
              <w:rPr>
                <w:sz w:val="15"/>
                <w:szCs w:val="15"/>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Voted Opposed</w:t>
            </w:r>
          </w:p>
        </w:tc>
        <w:tc>
          <w:tcPr>
            <w:tcW w:w="60" w:type="dxa"/>
            <w:vAlign w:val="bottom"/>
          </w:tcPr>
          <w:p>
            <w:pPr>
              <w:spacing w:after="0"/>
              <w:rPr>
                <w:sz w:val="15"/>
                <w:szCs w:val="15"/>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Shares Abstaining</w:t>
            </w:r>
          </w:p>
        </w:tc>
      </w:tr>
      <w:tr>
        <w:trPr>
          <w:trHeight w:val="209"/>
        </w:trPr>
        <w:tc>
          <w:tcPr>
            <w:tcW w:w="2320" w:type="dxa"/>
            <w:vAlign w:val="bottom"/>
          </w:tcPr>
          <w:p>
            <w:pPr>
              <w:jc w:val="center"/>
              <w:spacing w:after="0" w:line="202" w:lineRule="exact"/>
              <w:rPr>
                <w:sz w:val="20"/>
                <w:szCs w:val="20"/>
                <w:color w:val="auto"/>
              </w:rPr>
            </w:pPr>
            <w:r>
              <w:rPr>
                <w:rFonts w:ascii="Arial" w:cs="Arial" w:eastAsia="Arial" w:hAnsi="Arial"/>
                <w:sz w:val="18"/>
                <w:szCs w:val="18"/>
                <w:color w:val="auto"/>
                <w:w w:val="88"/>
              </w:rPr>
              <w:t>27,983,276</w:t>
            </w:r>
          </w:p>
        </w:tc>
        <w:tc>
          <w:tcPr>
            <w:tcW w:w="8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7"/>
              </w:rPr>
              <w:t>6,943,316</w:t>
            </w:r>
          </w:p>
        </w:tc>
        <w:tc>
          <w:tcPr>
            <w:tcW w:w="60" w:type="dxa"/>
            <w:vAlign w:val="bottom"/>
          </w:tcPr>
          <w:p>
            <w:pPr>
              <w:spacing w:after="0"/>
              <w:rPr>
                <w:sz w:val="18"/>
                <w:szCs w:val="18"/>
                <w:color w:val="auto"/>
              </w:rPr>
            </w:pPr>
          </w:p>
        </w:tc>
        <w:tc>
          <w:tcPr>
            <w:tcW w:w="2200" w:type="dxa"/>
            <w:vAlign w:val="bottom"/>
          </w:tcPr>
          <w:p>
            <w:pPr>
              <w:jc w:val="right"/>
              <w:ind w:right="782"/>
              <w:spacing w:after="0"/>
              <w:rPr>
                <w:sz w:val="20"/>
                <w:szCs w:val="20"/>
                <w:color w:val="auto"/>
              </w:rPr>
            </w:pPr>
            <w:r>
              <w:rPr>
                <w:rFonts w:ascii="Arial" w:cs="Arial" w:eastAsia="Arial" w:hAnsi="Arial"/>
                <w:sz w:val="18"/>
                <w:szCs w:val="18"/>
                <w:color w:val="auto"/>
              </w:rPr>
              <w:t>36,142</w:t>
            </w:r>
          </w:p>
        </w:tc>
      </w:tr>
      <w:tr>
        <w:trPr>
          <w:trHeight w:val="356"/>
        </w:trPr>
        <w:tc>
          <w:tcPr>
            <w:tcW w:w="2320" w:type="dxa"/>
            <w:vAlign w:val="bottom"/>
          </w:tcPr>
          <w:p>
            <w:pPr>
              <w:spacing w:after="0"/>
              <w:rPr>
                <w:sz w:val="24"/>
                <w:szCs w:val="24"/>
                <w:color w:val="auto"/>
              </w:rPr>
            </w:pPr>
          </w:p>
        </w:tc>
        <w:tc>
          <w:tcPr>
            <w:tcW w:w="2260" w:type="dxa"/>
            <w:vAlign w:val="bottom"/>
            <w:gridSpan w:val="2"/>
          </w:tcPr>
          <w:p>
            <w:pPr>
              <w:jc w:val="right"/>
              <w:ind w:right="1006"/>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24"/>
                <w:szCs w:val="24"/>
                <w:color w:val="auto"/>
              </w:rPr>
            </w:pPr>
          </w:p>
        </w:tc>
        <w:tc>
          <w:tcPr>
            <w:tcW w:w="2200" w:type="dxa"/>
            <w:vAlign w:val="bottom"/>
          </w:tcPr>
          <w:p>
            <w:pPr>
              <w:spacing w:after="0"/>
              <w:rPr>
                <w:sz w:val="24"/>
                <w:szCs w:val="24"/>
                <w:color w:val="auto"/>
              </w:rPr>
            </w:pPr>
          </w:p>
        </w:tc>
      </w:tr>
    </w:tbl>
    <w:p>
      <w:pPr>
        <w:sectPr>
          <w:pgSz w:w="11900" w:h="16838" w:orient="portrait"/>
          <w:cols w:equalWidth="0" w:num="1">
            <w:col w:w="11280"/>
          </w:cols>
          <w:pgMar w:left="240" w:top="459" w:right="3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8920"/>
        <w:spacing w:after="0"/>
        <w:rPr>
          <w:sz w:val="20"/>
          <w:szCs w:val="20"/>
          <w:color w:val="auto"/>
        </w:rPr>
      </w:pPr>
      <w:r>
        <w:rPr>
          <w:rFonts w:ascii="Arial" w:cs="Arial" w:eastAsia="Arial" w:hAnsi="Arial"/>
          <w:sz w:val="16"/>
          <w:szCs w:val="16"/>
          <w:b w:val="1"/>
          <w:bCs w:val="1"/>
          <w:color w:val="auto"/>
        </w:rPr>
        <w:t>Item 5. Other Information.</w:t>
      </w:r>
    </w:p>
    <w:p>
      <w:pPr>
        <w:spacing w:after="0" w:line="119" w:lineRule="exact"/>
        <w:rPr>
          <w:sz w:val="20"/>
          <w:szCs w:val="20"/>
          <w:color w:val="auto"/>
        </w:rPr>
      </w:pPr>
    </w:p>
    <w:p>
      <w:pPr>
        <w:jc w:val="center"/>
        <w:ind w:right="8960"/>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documents are filed as exhibits to this report:</w:t>
      </w:r>
    </w:p>
    <w:p>
      <w:pPr>
        <w:spacing w:after="0" w:line="207" w:lineRule="exact"/>
        <w:rPr>
          <w:sz w:val="20"/>
          <w:szCs w:val="20"/>
          <w:color w:val="auto"/>
        </w:rPr>
      </w:pPr>
    </w:p>
    <w:p>
      <w:pPr>
        <w:spacing w:after="0"/>
        <w:tabs>
          <w:tab w:leader="none" w:pos="620" w:val="left"/>
        </w:tabs>
        <w:rPr>
          <w:sz w:val="20"/>
          <w:szCs w:val="20"/>
          <w:color w:val="auto"/>
        </w:rPr>
      </w:pPr>
      <w:r>
        <w:rPr>
          <w:rFonts w:ascii="Arial" w:cs="Arial" w:eastAsia="Arial" w:hAnsi="Arial"/>
          <w:sz w:val="14"/>
          <w:szCs w:val="14"/>
          <w:b w:val="1"/>
          <w:bCs w:val="1"/>
          <w:u w:val="single" w:color="auto"/>
          <w:color w:val="auto"/>
        </w:rPr>
        <w:t>Exhibit</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8890</wp:posOffset>
            </wp:positionV>
            <wp:extent cx="684339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43395" cy="8890"/>
                    </a:xfrm>
                    <a:prstGeom prst="rect">
                      <a:avLst/>
                    </a:prstGeom>
                    <a:noFill/>
                  </pic:spPr>
                </pic:pic>
              </a:graphicData>
            </a:graphic>
          </wp:anchor>
        </w:drawing>
      </w:r>
    </w:p>
    <w:p>
      <w:pPr>
        <w:spacing w:after="0" w:line="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color w:val="auto"/>
        </w:rPr>
        <w:t>Restated Certificate of Incorporation, dated June 7, 2006.</w:t>
      </w:r>
    </w:p>
    <w:p>
      <w:pPr>
        <w:spacing w:after="0" w:line="10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Summary of May 10, 2006 oral employment arrangements between Registrant and Jim Clishem, its President and Chief Executive Officer</w:t>
      </w:r>
    </w:p>
    <w:p>
      <w:pPr>
        <w:spacing w:after="0" w:line="117" w:lineRule="exact"/>
        <w:rPr>
          <w:sz w:val="20"/>
          <w:szCs w:val="20"/>
          <w:color w:val="auto"/>
        </w:rPr>
      </w:pPr>
    </w:p>
    <w:p>
      <w:pPr>
        <w:ind w:left="640" w:right="80" w:hanging="634"/>
        <w:spacing w:after="0" w:line="268" w:lineRule="auto"/>
        <w:tabs>
          <w:tab w:leader="none" w:pos="6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Summary of May 10, 2006 oral employment arrangements between Registrant and Joseph F. Pinkerton, III, its Chairman of the Board and former President and Chief Executive Officer</w:t>
      </w:r>
    </w:p>
    <w:p>
      <w:pPr>
        <w:spacing w:after="0" w:line="78" w:lineRule="exact"/>
        <w:rPr>
          <w:sz w:val="20"/>
          <w:szCs w:val="20"/>
          <w:color w:val="auto"/>
        </w:rPr>
      </w:pPr>
    </w:p>
    <w:p>
      <w:pPr>
        <w:ind w:left="640" w:hanging="634"/>
        <w:spacing w:after="0" w:line="332" w:lineRule="auto"/>
        <w:tabs>
          <w:tab w:leader="none" w:pos="62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Distributor Agreement by and between Eaton Electrical Inc. and Registrant, dated as of May 22, 2006 (filed as Exhibit 10.1 to Registrant’s Current Report on Form 8-K filed with the Securities and Exchange Commission May 24, 2006 and incorporated herein by reference)</w:t>
      </w:r>
    </w:p>
    <w:p>
      <w:pPr>
        <w:spacing w:after="0" w:line="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Rule 13a-15(e)/15d-15(e) Certification of Principal Executive Officer</w:t>
      </w:r>
    </w:p>
    <w:p>
      <w:pPr>
        <w:spacing w:after="0" w:line="11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Rule 13a-15(e)/15d-15(e) Certification of Principal Financial Officer</w:t>
      </w:r>
    </w:p>
    <w:p>
      <w:pPr>
        <w:spacing w:after="0" w:line="11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Section 1350 Certification of Principal Executive Officer</w:t>
      </w:r>
    </w:p>
    <w:p>
      <w:pPr>
        <w:spacing w:after="0" w:line="11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Section 1350 Certification of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6000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19" w:lineRule="exact"/>
        <w:rPr>
          <w:sz w:val="20"/>
          <w:szCs w:val="20"/>
          <w:color w:val="auto"/>
        </w:rPr>
      </w:pPr>
    </w:p>
    <w:p>
      <w:pPr>
        <w:ind w:left="5620" w:right="4420" w:hanging="5612"/>
        <w:spacing w:after="0" w:line="408" w:lineRule="auto"/>
        <w:tabs>
          <w:tab w:leader="none" w:pos="218" w:val="left"/>
        </w:tabs>
        <w:numPr>
          <w:ilvl w:val="0"/>
          <w:numId w:val="10"/>
        </w:numPr>
        <w:rPr>
          <w:rFonts w:ascii="Arial" w:cs="Arial" w:eastAsia="Arial" w:hAnsi="Arial"/>
          <w:sz w:val="15"/>
          <w:szCs w:val="15"/>
          <w:color w:val="auto"/>
        </w:rPr>
      </w:pPr>
      <w:r>
        <w:rPr>
          <w:rFonts w:ascii="Arial" w:cs="Arial" w:eastAsia="Arial" w:hAnsi="Arial"/>
          <w:sz w:val="15"/>
          <w:szCs w:val="15"/>
          <w:color w:val="auto"/>
        </w:rPr>
        <w:t>Portions of this exhibit have been omitted pursuant to a request for confidential treatment. 27</w:t>
      </w:r>
    </w:p>
    <w:p>
      <w:pPr>
        <w:sectPr>
          <w:pgSz w:w="11900" w:h="16838" w:orient="portrait"/>
          <w:cols w:equalWidth="0" w:num="1">
            <w:col w:w="10960"/>
          </w:cols>
          <w:pgMar w:left="240" w:top="459" w:right="6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30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5360" w:type="dxa"/>
            <w:vAlign w:val="bottom"/>
          </w:tcPr>
          <w:p>
            <w:pPr>
              <w:ind w:left="1760"/>
              <w:spacing w:after="0"/>
              <w:rPr>
                <w:sz w:val="20"/>
                <w:szCs w:val="20"/>
                <w:color w:val="auto"/>
              </w:rPr>
            </w:pPr>
            <w:r>
              <w:rPr>
                <w:rFonts w:ascii="Arial" w:cs="Arial" w:eastAsia="Arial" w:hAnsi="Arial"/>
                <w:sz w:val="18"/>
                <w:szCs w:val="18"/>
                <w:b w:val="1"/>
                <w:bCs w:val="1"/>
                <w:color w:val="auto"/>
              </w:rPr>
              <w:t>ACTIVE POWER, INC.</w:t>
            </w:r>
          </w:p>
        </w:tc>
      </w:tr>
      <w:tr>
        <w:trPr>
          <w:trHeight w:val="222"/>
        </w:trPr>
        <w:tc>
          <w:tcPr>
            <w:tcW w:w="330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5360" w:type="dxa"/>
            <w:vAlign w:val="bottom"/>
          </w:tcPr>
          <w:p>
            <w:pPr>
              <w:ind w:left="2260"/>
              <w:spacing w:after="0"/>
              <w:rPr>
                <w:sz w:val="20"/>
                <w:szCs w:val="20"/>
                <w:color w:val="auto"/>
              </w:rPr>
            </w:pPr>
            <w:r>
              <w:rPr>
                <w:rFonts w:ascii="Arial" w:cs="Arial" w:eastAsia="Arial" w:hAnsi="Arial"/>
                <w:sz w:val="18"/>
                <w:szCs w:val="18"/>
                <w:color w:val="auto"/>
              </w:rPr>
              <w:t>(Registrant)</w:t>
            </w:r>
          </w:p>
        </w:tc>
      </w:tr>
      <w:tr>
        <w:trPr>
          <w:trHeight w:val="432"/>
        </w:trPr>
        <w:tc>
          <w:tcPr>
            <w:tcW w:w="3300" w:type="dxa"/>
            <w:vAlign w:val="bottom"/>
          </w:tcPr>
          <w:p>
            <w:pPr>
              <w:spacing w:after="0"/>
              <w:rPr>
                <w:sz w:val="20"/>
                <w:szCs w:val="20"/>
                <w:color w:val="auto"/>
              </w:rPr>
            </w:pPr>
            <w:r>
              <w:rPr>
                <w:rFonts w:ascii="Arial" w:cs="Arial" w:eastAsia="Arial" w:hAnsi="Arial"/>
                <w:sz w:val="18"/>
                <w:szCs w:val="18"/>
                <w:color w:val="auto"/>
              </w:rPr>
              <w:t>July 27, 2006</w:t>
            </w:r>
          </w:p>
        </w:tc>
        <w:tc>
          <w:tcPr>
            <w:tcW w:w="2760" w:type="dxa"/>
            <w:vAlign w:val="bottom"/>
          </w:tcPr>
          <w:p>
            <w:pPr>
              <w:spacing w:after="0"/>
              <w:rPr>
                <w:sz w:val="24"/>
                <w:szCs w:val="24"/>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A. Clishem</w:t>
            </w:r>
          </w:p>
        </w:tc>
      </w:tr>
      <w:tr>
        <w:trPr>
          <w:trHeight w:val="217"/>
        </w:trPr>
        <w:tc>
          <w:tcPr>
            <w:tcW w:w="3300" w:type="dxa"/>
            <w:vAlign w:val="bottom"/>
          </w:tcPr>
          <w:p>
            <w:pPr>
              <w:spacing w:after="0"/>
              <w:rPr>
                <w:sz w:val="20"/>
                <w:szCs w:val="20"/>
                <w:color w:val="auto"/>
              </w:rPr>
            </w:pPr>
            <w:r>
              <w:rPr>
                <w:rFonts w:ascii="Arial" w:cs="Arial" w:eastAsia="Arial" w:hAnsi="Arial"/>
                <w:sz w:val="18"/>
                <w:szCs w:val="18"/>
                <w:color w:val="auto"/>
              </w:rPr>
              <w:t>(Date)</w:t>
            </w:r>
          </w:p>
        </w:tc>
        <w:tc>
          <w:tcPr>
            <w:tcW w:w="276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James A. Clishem</w:t>
            </w:r>
          </w:p>
        </w:tc>
      </w:tr>
      <w:tr>
        <w:trPr>
          <w:trHeight w:val="216"/>
        </w:trPr>
        <w:tc>
          <w:tcPr>
            <w:tcW w:w="33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r>
        <w:trPr>
          <w:trHeight w:val="222"/>
        </w:trPr>
        <w:tc>
          <w:tcPr>
            <w:tcW w:w="330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46"/>
        </w:trPr>
        <w:tc>
          <w:tcPr>
            <w:tcW w:w="3300" w:type="dxa"/>
            <w:vAlign w:val="bottom"/>
          </w:tcPr>
          <w:p>
            <w:pPr>
              <w:spacing w:after="0"/>
              <w:rPr>
                <w:sz w:val="20"/>
                <w:szCs w:val="20"/>
                <w:color w:val="auto"/>
              </w:rPr>
            </w:pPr>
            <w:r>
              <w:rPr>
                <w:rFonts w:ascii="Arial" w:cs="Arial" w:eastAsia="Arial" w:hAnsi="Arial"/>
                <w:sz w:val="18"/>
                <w:szCs w:val="18"/>
                <w:color w:val="auto"/>
              </w:rPr>
              <w:t>July 27, 2006</w:t>
            </w:r>
          </w:p>
        </w:tc>
        <w:tc>
          <w:tcPr>
            <w:tcW w:w="2760" w:type="dxa"/>
            <w:vAlign w:val="bottom"/>
          </w:tcPr>
          <w:p>
            <w:pPr>
              <w:spacing w:after="0"/>
              <w:rPr>
                <w:sz w:val="24"/>
                <w:szCs w:val="24"/>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K. Penver</w:t>
            </w:r>
          </w:p>
        </w:tc>
      </w:tr>
      <w:tr>
        <w:trPr>
          <w:trHeight w:val="217"/>
        </w:trPr>
        <w:tc>
          <w:tcPr>
            <w:tcW w:w="3300" w:type="dxa"/>
            <w:vAlign w:val="bottom"/>
          </w:tcPr>
          <w:p>
            <w:pPr>
              <w:spacing w:after="0"/>
              <w:rPr>
                <w:sz w:val="20"/>
                <w:szCs w:val="20"/>
                <w:color w:val="auto"/>
              </w:rPr>
            </w:pPr>
            <w:r>
              <w:rPr>
                <w:rFonts w:ascii="Arial" w:cs="Arial" w:eastAsia="Arial" w:hAnsi="Arial"/>
                <w:sz w:val="18"/>
                <w:szCs w:val="18"/>
                <w:color w:val="auto"/>
              </w:rPr>
              <w:t>(Date)</w:t>
            </w:r>
          </w:p>
        </w:tc>
        <w:tc>
          <w:tcPr>
            <w:tcW w:w="276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John K. Penver</w:t>
            </w:r>
          </w:p>
        </w:tc>
      </w:tr>
      <w:tr>
        <w:trPr>
          <w:trHeight w:val="216"/>
        </w:trPr>
        <w:tc>
          <w:tcPr>
            <w:tcW w:w="33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Vice President of Finance, Chief Financial Officer and Secretary</w:t>
            </w:r>
          </w:p>
        </w:tc>
      </w:tr>
      <w:tr>
        <w:trPr>
          <w:trHeight w:val="222"/>
        </w:trPr>
        <w:tc>
          <w:tcPr>
            <w:tcW w:w="330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(Principal Accounting Officer)</w:t>
            </w:r>
          </w:p>
        </w:tc>
      </w:tr>
      <w:tr>
        <w:trPr>
          <w:trHeight w:val="378"/>
        </w:trPr>
        <w:tc>
          <w:tcPr>
            <w:tcW w:w="3300" w:type="dxa"/>
            <w:vAlign w:val="bottom"/>
          </w:tcPr>
          <w:p>
            <w:pPr>
              <w:spacing w:after="0"/>
              <w:rPr>
                <w:sz w:val="24"/>
                <w:szCs w:val="24"/>
                <w:color w:val="auto"/>
              </w:rPr>
            </w:pPr>
          </w:p>
        </w:tc>
        <w:tc>
          <w:tcPr>
            <w:tcW w:w="2760" w:type="dxa"/>
            <w:vAlign w:val="bottom"/>
          </w:tcPr>
          <w:p>
            <w:pPr>
              <w:jc w:val="right"/>
              <w:ind w:right="172"/>
              <w:spacing w:after="0"/>
              <w:rPr>
                <w:sz w:val="20"/>
                <w:szCs w:val="20"/>
                <w:color w:val="auto"/>
              </w:rPr>
            </w:pPr>
            <w:r>
              <w:rPr>
                <w:rFonts w:ascii="Arial" w:cs="Arial" w:eastAsia="Arial" w:hAnsi="Arial"/>
                <w:sz w:val="18"/>
                <w:szCs w:val="18"/>
                <w:color w:val="auto"/>
              </w:rPr>
              <w:t>28</w:t>
            </w:r>
          </w:p>
        </w:tc>
        <w:tc>
          <w:tcPr>
            <w:tcW w:w="53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RESTATED CERTIFICATE OF INCORPORATION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Active Power, Inc., a corporation organized and existing under the Delaware General Corporation Law (the “DGCL”), D</w:t>
      </w:r>
      <w:r>
        <w:rPr>
          <w:rFonts w:ascii="Arial" w:cs="Arial" w:eastAsia="Arial" w:hAnsi="Arial"/>
          <w:sz w:val="13"/>
          <w:szCs w:val="13"/>
          <w:color w:val="auto"/>
        </w:rPr>
        <w:t>OES</w:t>
      </w:r>
      <w:r>
        <w:rPr>
          <w:rFonts w:ascii="Arial" w:cs="Arial" w:eastAsia="Arial" w:hAnsi="Arial"/>
          <w:sz w:val="16"/>
          <w:szCs w:val="16"/>
          <w:color w:val="auto"/>
        </w:rPr>
        <w:t xml:space="preserve"> H</w:t>
      </w:r>
      <w:r>
        <w:rPr>
          <w:rFonts w:ascii="Arial" w:cs="Arial" w:eastAsia="Arial" w:hAnsi="Arial"/>
          <w:sz w:val="13"/>
          <w:szCs w:val="13"/>
          <w:color w:val="auto"/>
        </w:rPr>
        <w:t>EREBY</w:t>
      </w:r>
      <w:r>
        <w:rPr>
          <w:rFonts w:ascii="Arial" w:cs="Arial" w:eastAsia="Arial" w:hAnsi="Arial"/>
          <w:sz w:val="16"/>
          <w:szCs w:val="16"/>
          <w:color w:val="auto"/>
        </w:rPr>
        <w:t xml:space="preserve"> C</w:t>
      </w:r>
      <w:r>
        <w:rPr>
          <w:rFonts w:ascii="Arial" w:cs="Arial" w:eastAsia="Arial" w:hAnsi="Arial"/>
          <w:sz w:val="13"/>
          <w:szCs w:val="13"/>
          <w:color w:val="auto"/>
        </w:rPr>
        <w:t>ERTIFY</w:t>
      </w:r>
      <w:r>
        <w:rPr>
          <w:rFonts w:ascii="Arial" w:cs="Arial" w:eastAsia="Arial" w:hAnsi="Arial"/>
          <w:sz w:val="16"/>
          <w:szCs w:val="16"/>
          <w:color w:val="auto"/>
        </w:rPr>
        <w:t>:</w:t>
      </w:r>
    </w:p>
    <w:p>
      <w:pPr>
        <w:spacing w:after="0" w:line="107" w:lineRule="exact"/>
        <w:rPr>
          <w:sz w:val="20"/>
          <w:szCs w:val="20"/>
          <w:color w:val="auto"/>
        </w:rPr>
      </w:pPr>
    </w:p>
    <w:p>
      <w:pPr>
        <w:ind w:right="100" w:firstLine="913"/>
        <w:spacing w:after="0" w:line="258" w:lineRule="auto"/>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IRST</w:t>
      </w:r>
      <w:r>
        <w:rPr>
          <w:rFonts w:ascii="Arial" w:cs="Arial" w:eastAsia="Arial" w:hAnsi="Arial"/>
          <w:sz w:val="18"/>
          <w:szCs w:val="18"/>
          <w:b w:val="1"/>
          <w:bCs w:val="1"/>
          <w:color w:val="auto"/>
        </w:rPr>
        <w:t xml:space="preserve">: </w:t>
      </w:r>
      <w:r>
        <w:rPr>
          <w:rFonts w:ascii="Arial" w:cs="Arial" w:eastAsia="Arial" w:hAnsi="Arial"/>
          <w:sz w:val="18"/>
          <w:szCs w:val="18"/>
          <w:color w:val="auto"/>
        </w:rPr>
        <w:t>The original Certificate of Incorporation of this corporation was filed with the Secretary of State of Delaware on March 29, 2000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name “Active Power, Inc.” An Amended and Restated Certificate of Incorporation was filed with the Secretary of State of Delaware on August 4, 2000, a Certificate of Correction was filed with the Secretary of State of Delaware on June 6, 2006 and a Certificate of Amendment to Amended and Restated Certificate of Incorporation was filed with the Secretary of State of Delaware on June 6, 2006.</w:t>
      </w:r>
    </w:p>
    <w:p>
      <w:pPr>
        <w:spacing w:after="0" w:line="136" w:lineRule="exact"/>
        <w:rPr>
          <w:sz w:val="20"/>
          <w:szCs w:val="20"/>
          <w:color w:val="auto"/>
        </w:rPr>
      </w:pPr>
    </w:p>
    <w:p>
      <w:pPr>
        <w:ind w:right="20" w:firstLine="913"/>
        <w:spacing w:after="0" w:line="258" w:lineRule="auto"/>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ECOND</w:t>
      </w:r>
      <w:r>
        <w:rPr>
          <w:rFonts w:ascii="Arial" w:cs="Arial" w:eastAsia="Arial" w:hAnsi="Arial"/>
          <w:sz w:val="18"/>
          <w:szCs w:val="18"/>
          <w:b w:val="1"/>
          <w:bCs w:val="1"/>
          <w:color w:val="auto"/>
        </w:rPr>
        <w:t xml:space="preserve">: </w:t>
      </w:r>
      <w:r>
        <w:rPr>
          <w:rFonts w:ascii="Arial" w:cs="Arial" w:eastAsia="Arial" w:hAnsi="Arial"/>
          <w:sz w:val="18"/>
          <w:szCs w:val="18"/>
          <w:color w:val="auto"/>
        </w:rPr>
        <w:t>The Restated Certificate of Incorporation of Active Power, Inc. in the form attached hereto as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Annex A</w:t>
      </w:r>
      <w:r>
        <w:rPr>
          <w:rFonts w:ascii="Arial" w:cs="Arial" w:eastAsia="Arial" w:hAnsi="Arial"/>
          <w:sz w:val="18"/>
          <w:szCs w:val="18"/>
          <w:b w:val="1"/>
          <w:bCs w:val="1"/>
          <w:color w:val="auto"/>
        </w:rPr>
        <w:t xml:space="preserve"> </w:t>
      </w:r>
      <w:r>
        <w:rPr>
          <w:rFonts w:ascii="Arial" w:cs="Arial" w:eastAsia="Arial" w:hAnsi="Arial"/>
          <w:sz w:val="18"/>
          <w:szCs w:val="18"/>
          <w:color w:val="auto"/>
        </w:rPr>
        <w:t>has been duly adopted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provisions of Section 245 of the DGCL by the directors of this corporation. Pursuant to Section 245 of the DGCL, this Restated Certificate of Incorporation of Active Power, Inc. is an integration into a single instrument of all provisions of Active Power’s certificate of incorporation that are no in effect and therefore approval by the stockholders of this corporation is not required.</w:t>
      </w:r>
    </w:p>
    <w:p>
      <w:pPr>
        <w:spacing w:after="0" w:line="136"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T</w:t>
      </w:r>
      <w:r>
        <w:rPr>
          <w:rFonts w:ascii="Arial" w:cs="Arial" w:eastAsia="Arial" w:hAnsi="Arial"/>
          <w:sz w:val="13"/>
          <w:szCs w:val="13"/>
          <w:b w:val="1"/>
          <w:bCs w:val="1"/>
          <w:color w:val="auto"/>
        </w:rPr>
        <w:t>HIRD</w:t>
      </w:r>
      <w:r>
        <w:rPr>
          <w:rFonts w:ascii="Arial" w:cs="Arial" w:eastAsia="Arial" w:hAnsi="Arial"/>
          <w:sz w:val="16"/>
          <w:szCs w:val="16"/>
          <w:b w:val="1"/>
          <w:bCs w:val="1"/>
          <w:color w:val="auto"/>
        </w:rPr>
        <w:t xml:space="preserve">: </w:t>
      </w:r>
      <w:r>
        <w:rPr>
          <w:rFonts w:ascii="Arial" w:cs="Arial" w:eastAsia="Arial" w:hAnsi="Arial"/>
          <w:sz w:val="16"/>
          <w:szCs w:val="16"/>
          <w:color w:val="auto"/>
        </w:rPr>
        <w:t>The Restated Certificate of Incorporation so adopted reads in full as set forth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Annex A</w:t>
      </w:r>
      <w:r>
        <w:rPr>
          <w:rFonts w:ascii="Arial" w:cs="Arial" w:eastAsia="Arial" w:hAnsi="Arial"/>
          <w:sz w:val="16"/>
          <w:szCs w:val="16"/>
          <w:b w:val="1"/>
          <w:bCs w:val="1"/>
          <w:color w:val="auto"/>
        </w:rPr>
        <w:t xml:space="preserve"> </w:t>
      </w:r>
      <w:r>
        <w:rPr>
          <w:rFonts w:ascii="Arial" w:cs="Arial" w:eastAsia="Arial" w:hAnsi="Arial"/>
          <w:sz w:val="16"/>
          <w:szCs w:val="16"/>
          <w:color w:val="auto"/>
        </w:rPr>
        <w:t>attached hereto and is incorporated herein by this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reference.</w:t>
      </w:r>
    </w:p>
    <w:p>
      <w:pPr>
        <w:spacing w:after="0" w:line="159" w:lineRule="exact"/>
        <w:rPr>
          <w:sz w:val="20"/>
          <w:szCs w:val="20"/>
          <w:color w:val="auto"/>
        </w:rPr>
      </w:pPr>
    </w:p>
    <w:p>
      <w:pPr>
        <w:ind w:right="340" w:firstLine="913"/>
        <w:spacing w:after="0" w:line="275" w:lineRule="auto"/>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color w:val="auto"/>
        </w:rPr>
        <w:t>, Active Power, Inc. has caused this Restated Certificate of Incorporation to be signed by its duly authorized and elected</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this 7th day of June, 2006.</w:t>
      </w:r>
    </w:p>
    <w:p>
      <w:pPr>
        <w:spacing w:after="0" w:line="16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ACTIVE POWER, INC.</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Michael Chibib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Michael Chibib</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Vice President and General Counsel</w:t>
      </w:r>
    </w:p>
    <w:p>
      <w:pPr>
        <w:sectPr>
          <w:pgSz w:w="11900" w:h="16838" w:orient="portrait"/>
          <w:cols w:equalWidth="0" w:num="1">
            <w:col w:w="11420"/>
          </w:cols>
          <w:pgMar w:left="240" w:top="125"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ANNEX A</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RESTATED CERTIFICATE OF INCORPORATION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159" w:lineRule="exact"/>
        <w:rPr>
          <w:sz w:val="20"/>
          <w:szCs w:val="20"/>
          <w:color w:val="auto"/>
        </w:rPr>
      </w:pPr>
    </w:p>
    <w:p>
      <w:pPr>
        <w:jc w:val="right"/>
        <w:ind w:right="5260"/>
        <w:spacing w:after="0"/>
        <w:rPr>
          <w:sz w:val="20"/>
          <w:szCs w:val="20"/>
          <w:color w:val="auto"/>
        </w:rPr>
      </w:pPr>
      <w:r>
        <w:rPr>
          <w:rFonts w:ascii="Arial" w:cs="Arial" w:eastAsia="Arial" w:hAnsi="Arial"/>
          <w:sz w:val="18"/>
          <w:szCs w:val="18"/>
          <w:b w:val="1"/>
          <w:bCs w:val="1"/>
          <w:color w:val="auto"/>
        </w:rPr>
        <w:t>ARTICLE I</w:t>
      </w:r>
    </w:p>
    <w:p>
      <w:pPr>
        <w:spacing w:after="0" w:line="177" w:lineRule="exact"/>
        <w:rPr>
          <w:sz w:val="20"/>
          <w:szCs w:val="20"/>
          <w:color w:val="auto"/>
        </w:rPr>
      </w:pPr>
    </w:p>
    <w:p>
      <w:pPr>
        <w:jc w:val="right"/>
        <w:ind w:right="5220"/>
        <w:spacing w:after="0"/>
        <w:rPr>
          <w:sz w:val="20"/>
          <w:szCs w:val="20"/>
          <w:color w:val="auto"/>
        </w:rPr>
      </w:pPr>
      <w:r>
        <w:rPr>
          <w:rFonts w:ascii="Arial" w:cs="Arial" w:eastAsia="Arial" w:hAnsi="Arial"/>
          <w:sz w:val="18"/>
          <w:szCs w:val="18"/>
          <w:color w:val="auto"/>
        </w:rPr>
        <w:t>The name of this corporation shall be Active Power, Inc.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177" w:lineRule="exact"/>
        <w:rPr>
          <w:sz w:val="20"/>
          <w:szCs w:val="20"/>
          <w:color w:val="auto"/>
        </w:rPr>
      </w:pPr>
    </w:p>
    <w:p>
      <w:pPr>
        <w:ind w:right="380" w:firstLine="913"/>
        <w:spacing w:after="0" w:line="268" w:lineRule="auto"/>
        <w:rPr>
          <w:sz w:val="20"/>
          <w:szCs w:val="20"/>
          <w:color w:val="auto"/>
        </w:rPr>
      </w:pPr>
      <w:r>
        <w:rPr>
          <w:rFonts w:ascii="Arial" w:cs="Arial" w:eastAsia="Arial" w:hAnsi="Arial"/>
          <w:sz w:val="18"/>
          <w:szCs w:val="18"/>
          <w:color w:val="auto"/>
        </w:rPr>
        <w:t>The address of the registered office of the Company in the State of Delaware is 1209 Orange Street, City of Wilmington, County of New Castle, State of Delaware. The name of the registered agent at that address is The Corporation Trust Company.</w:t>
      </w:r>
    </w:p>
    <w:p>
      <w:pPr>
        <w:spacing w:after="0" w:line="288"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ARTICLE III</w:t>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purpose of the Company is to engage in any lawful act or activity for which corporations may be organized under the DGCL.</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1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Authorized Shares</w:t>
      </w:r>
      <w:r>
        <w:rPr>
          <w:rFonts w:ascii="Arial" w:cs="Arial" w:eastAsia="Arial" w:hAnsi="Arial"/>
          <w:sz w:val="16"/>
          <w:szCs w:val="16"/>
          <w:color w:val="auto"/>
        </w:rPr>
        <w:t>. The aggregate number of shares that the Company shall have authority to issue is One Hundred Sixty Million (160,000,000), (a) One Hundred Fifty Million (150,000,000) shares of which shall be common stock, par value $0.001 per share (“</w:t>
      </w:r>
      <w:r>
        <w:rPr>
          <w:rFonts w:ascii="Arial" w:cs="Arial" w:eastAsia="Arial" w:hAnsi="Arial"/>
          <w:sz w:val="16"/>
          <w:szCs w:val="16"/>
          <w:u w:val="single" w:color="auto"/>
          <w:color w:val="auto"/>
        </w:rPr>
        <w:t>Common Stock</w:t>
      </w:r>
      <w:r>
        <w:rPr>
          <w:rFonts w:ascii="Arial" w:cs="Arial" w:eastAsia="Arial" w:hAnsi="Arial"/>
          <w:sz w:val="16"/>
          <w:szCs w:val="16"/>
          <w:color w:val="auto"/>
        </w:rPr>
        <w:t>”), and (b) Ten Million</w:t>
      </w:r>
    </w:p>
    <w:p>
      <w:pPr>
        <w:ind w:right="40"/>
        <w:spacing w:after="0" w:line="302" w:lineRule="auto"/>
        <w:rPr>
          <w:sz w:val="20"/>
          <w:szCs w:val="20"/>
          <w:color w:val="auto"/>
        </w:rPr>
      </w:pPr>
      <w:r>
        <w:rPr>
          <w:rFonts w:ascii="Arial" w:cs="Arial" w:eastAsia="Arial" w:hAnsi="Arial"/>
          <w:sz w:val="16"/>
          <w:szCs w:val="16"/>
          <w:color w:val="auto"/>
        </w:rPr>
        <w:t>(10,000,000) shares of which shall be preferred stock, par value $0.001 per share (“</w:t>
      </w:r>
      <w:r>
        <w:rPr>
          <w:rFonts w:ascii="Arial" w:cs="Arial" w:eastAsia="Arial" w:hAnsi="Arial"/>
          <w:sz w:val="16"/>
          <w:szCs w:val="16"/>
          <w:u w:val="single" w:color="auto"/>
          <w:color w:val="auto"/>
        </w:rPr>
        <w:t>Preferred Stock</w:t>
      </w:r>
      <w:r>
        <w:rPr>
          <w:rFonts w:ascii="Arial" w:cs="Arial" w:eastAsia="Arial" w:hAnsi="Arial"/>
          <w:sz w:val="16"/>
          <w:szCs w:val="16"/>
          <w:color w:val="auto"/>
        </w:rPr>
        <w:t>”). Of such shares of Preferred Stock, Four Hundred Thousand (400,000) shall be designated as “Series A Junior Participating Preferred Stock,” the rights, preferences and privileges of which are set forth in the Certificate of Designation of Series A Junior Participating Preferred Stock of Active Power filed with the Secretary of State of Delaware on December 18, 2001.</w:t>
      </w:r>
    </w:p>
    <w:p>
      <w:pPr>
        <w:spacing w:after="0" w:line="10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Common Stock</w:t>
      </w:r>
      <w:r>
        <w:rPr>
          <w:rFonts w:ascii="Arial" w:cs="Arial" w:eastAsia="Arial" w:hAnsi="Arial"/>
          <w:sz w:val="16"/>
          <w:szCs w:val="16"/>
          <w:color w:val="auto"/>
        </w:rPr>
        <w:t>. Each share of Common Stock shall have one vote on each matter submitted to a vote of the stockholders of the Company. Subject to the provisions of applicable law and the rights of the holders of the outstanding shares of Preferred Stock, if any, the holders of shares of Common Stock shall be entitled to receive, when and as declared by the Board of Directors of the Company, out of the assets of the Company legally available therefor, dividends or other distributions, whether payable in cash, property or securities of the Company. The holders of shares of Common Stock shall be entitled to receive, in proportion to the number of shares of Common Stock held, the net assets of the Company upon dissolution after any preferential amounts required to be paid or distributed to holders of outstanding shares of Preferred Stock, if any, are so paid or distributed.</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Preferred Stock</w:t>
      </w:r>
      <w:r>
        <w:rPr>
          <w:rFonts w:ascii="Arial" w:cs="Arial" w:eastAsia="Arial" w:hAnsi="Arial"/>
          <w:sz w:val="18"/>
          <w:szCs w:val="18"/>
          <w:color w:val="auto"/>
        </w:rPr>
        <w:t>.</w:t>
      </w:r>
    </w:p>
    <w:p>
      <w:pPr>
        <w:spacing w:after="0" w:line="90" w:lineRule="exact"/>
        <w:rPr>
          <w:sz w:val="20"/>
          <w:szCs w:val="20"/>
          <w:color w:val="auto"/>
        </w:rPr>
      </w:pPr>
    </w:p>
    <w:p>
      <w:pPr>
        <w:ind w:right="180" w:firstLine="921"/>
        <w:spacing w:after="0" w:line="332" w:lineRule="auto"/>
        <w:tabs>
          <w:tab w:leader="none" w:pos="1088"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Series</w:t>
      </w:r>
      <w:r>
        <w:rPr>
          <w:rFonts w:ascii="Arial" w:cs="Arial" w:eastAsia="Arial" w:hAnsi="Arial"/>
          <w:sz w:val="16"/>
          <w:szCs w:val="16"/>
          <w:color w:val="auto"/>
        </w:rPr>
        <w:t>. The Preferred Stock may be issued from time to time by the Board of Directors as shares of one or more series. The description of shares of each additional series of Preferred Stock, including any designations, preferences, conversion and other rights, voting</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4" w:right="239" w:bottom="1440" w:gutter="0" w:footer="0" w:header="0"/>
        </w:sectPr>
      </w:pPr>
    </w:p>
    <w:bookmarkStart w:id="32" w:name="page33"/>
    <w:bookmarkEnd w:id="32"/>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powers, restrictions, limitations as to dividends, qualifications, and terms and conditions of redemption shall be as set forth in resolutions adopted by the Board of Directors.</w:t>
      </w:r>
    </w:p>
    <w:p>
      <w:pPr>
        <w:spacing w:after="0" w:line="132" w:lineRule="exact"/>
        <w:rPr>
          <w:sz w:val="20"/>
          <w:szCs w:val="20"/>
          <w:color w:val="auto"/>
        </w:rPr>
      </w:pPr>
    </w:p>
    <w:p>
      <w:pPr>
        <w:ind w:right="120" w:firstLine="921"/>
        <w:spacing w:after="0" w:line="291" w:lineRule="auto"/>
        <w:tabs>
          <w:tab w:leader="none" w:pos="1088"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Rights and Preferences</w:t>
      </w:r>
      <w:r>
        <w:rPr>
          <w:rFonts w:ascii="Arial" w:cs="Arial" w:eastAsia="Arial" w:hAnsi="Arial"/>
          <w:sz w:val="16"/>
          <w:szCs w:val="16"/>
          <w:color w:val="auto"/>
        </w:rPr>
        <w:t>. The Board of Directors is expressly authorized, at any time, by adopting resolutions providing for the issuance of, or providing for a change in the number of, shares of any particular series of Preferred Stock and, if and to the extent from time to time required by law, by filing certificates of amendment or designation which are effective without stockholder action, to increase or decrease the number of shares included in each series of Preferred Stock, but not below the number of shares then issued, and to set in any one or more respects the designations, preferences, conversion or other rights, voting powers, restrictions, limitations as to dividends, qualifications, or terms and conditions of redemption relating to the shares of each such series. The authority of the Board of Directors with respect to each series of Preferred Stock shall include, but not be limited to, setting or changing the following:</w:t>
      </w:r>
    </w:p>
    <w:p>
      <w:pPr>
        <w:spacing w:after="0" w:line="39" w:lineRule="exact"/>
        <w:rPr>
          <w:rFonts w:ascii="Arial" w:cs="Arial" w:eastAsia="Arial" w:hAnsi="Arial"/>
          <w:sz w:val="16"/>
          <w:szCs w:val="16"/>
          <w:color w:val="auto"/>
        </w:rPr>
      </w:pPr>
    </w:p>
    <w:p>
      <w:pPr>
        <w:ind w:right="560" w:firstLine="1492"/>
        <w:spacing w:after="0" w:line="268" w:lineRule="auto"/>
        <w:tabs>
          <w:tab w:leader="none" w:pos="1649"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dividend rate, if any, on shares of such series, the times of payment and the date from which dividends shall be accumulated, if dividends are to be cumulative;</w:t>
      </w:r>
    </w:p>
    <w:p>
      <w:pPr>
        <w:spacing w:after="0" w:line="131" w:lineRule="exact"/>
        <w:rPr>
          <w:rFonts w:ascii="Arial" w:cs="Arial" w:eastAsia="Arial" w:hAnsi="Arial"/>
          <w:sz w:val="18"/>
          <w:szCs w:val="18"/>
          <w:color w:val="auto"/>
        </w:rPr>
      </w:pPr>
    </w:p>
    <w:p>
      <w:pPr>
        <w:ind w:left="1660" w:hanging="168"/>
        <w:spacing w:after="0"/>
        <w:tabs>
          <w:tab w:leader="none" w:pos="16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whether the shares of such series shall be redeemable and, if so, the redemption price and the terms and conditions of such redemption;</w:t>
      </w:r>
    </w:p>
    <w:p>
      <w:pPr>
        <w:spacing w:after="0" w:line="194" w:lineRule="exact"/>
        <w:rPr>
          <w:rFonts w:ascii="Arial" w:cs="Arial" w:eastAsia="Arial" w:hAnsi="Arial"/>
          <w:sz w:val="16"/>
          <w:szCs w:val="16"/>
          <w:color w:val="auto"/>
        </w:rPr>
      </w:pPr>
    </w:p>
    <w:p>
      <w:pPr>
        <w:ind w:left="1660" w:hanging="168"/>
        <w:spacing w:after="0"/>
        <w:tabs>
          <w:tab w:leader="none" w:pos="1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obligation, if any, of the Company to redeem shares of such series pursuant to a sinking fund;</w:t>
      </w:r>
    </w:p>
    <w:p>
      <w:pPr>
        <w:spacing w:after="0" w:line="171" w:lineRule="exact"/>
        <w:rPr>
          <w:rFonts w:ascii="Arial" w:cs="Arial" w:eastAsia="Arial" w:hAnsi="Arial"/>
          <w:sz w:val="18"/>
          <w:szCs w:val="18"/>
          <w:color w:val="auto"/>
        </w:rPr>
      </w:pPr>
    </w:p>
    <w:p>
      <w:pPr>
        <w:ind w:right="180" w:firstLine="1492"/>
        <w:spacing w:after="0" w:line="259" w:lineRule="auto"/>
        <w:tabs>
          <w:tab w:leader="none" w:pos="1659" w:val="left"/>
        </w:tabs>
        <w:numPr>
          <w:ilvl w:val="1"/>
          <w:numId w:val="12"/>
        </w:numPr>
        <w:rPr>
          <w:rFonts w:ascii="Arial" w:cs="Arial" w:eastAsia="Arial" w:hAnsi="Arial"/>
          <w:sz w:val="18"/>
          <w:szCs w:val="18"/>
          <w:color w:val="auto"/>
        </w:rPr>
      </w:pPr>
      <w:r>
        <w:rPr>
          <w:rFonts w:ascii="Arial" w:cs="Arial" w:eastAsia="Arial" w:hAnsi="Arial"/>
          <w:sz w:val="18"/>
          <w:szCs w:val="18"/>
          <w:color w:val="auto"/>
        </w:rPr>
        <w:t>whether shares of such series shall be convertible into, or exchangeable for, shares of stock of any other class or classes and, if so, the terms and conditions of such conversion or exchange, including the price or prices or the rate or rates of conversion or exchange and the terms of adjustment, if any;</w:t>
      </w:r>
    </w:p>
    <w:p>
      <w:pPr>
        <w:spacing w:after="0" w:line="140" w:lineRule="exact"/>
        <w:rPr>
          <w:rFonts w:ascii="Arial" w:cs="Arial" w:eastAsia="Arial" w:hAnsi="Arial"/>
          <w:sz w:val="18"/>
          <w:szCs w:val="18"/>
          <w:color w:val="auto"/>
        </w:rPr>
      </w:pPr>
    </w:p>
    <w:p>
      <w:pPr>
        <w:ind w:left="1660" w:hanging="168"/>
        <w:spacing w:after="0"/>
        <w:tabs>
          <w:tab w:leader="none" w:pos="16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whether the shares of such series shall have voting rights, in addition to the voting rights provided by law, and, if so, the extent of such</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voting rights;</w:t>
      </w:r>
    </w:p>
    <w:p>
      <w:pPr>
        <w:spacing w:after="0" w:line="164" w:lineRule="exact"/>
        <w:rPr>
          <w:rFonts w:ascii="Arial" w:cs="Arial" w:eastAsia="Arial" w:hAnsi="Arial"/>
          <w:sz w:val="16"/>
          <w:szCs w:val="16"/>
          <w:color w:val="auto"/>
        </w:rPr>
      </w:pPr>
    </w:p>
    <w:p>
      <w:pPr>
        <w:ind w:left="1640" w:hanging="148"/>
        <w:spacing w:after="0"/>
        <w:tabs>
          <w:tab w:leader="none" w:pos="1640" w:val="left"/>
        </w:tabs>
        <w:numPr>
          <w:ilvl w:val="1"/>
          <w:numId w:val="12"/>
        </w:numPr>
        <w:rPr>
          <w:rFonts w:ascii="Arial" w:cs="Arial" w:eastAsia="Arial" w:hAnsi="Arial"/>
          <w:sz w:val="16"/>
          <w:szCs w:val="16"/>
          <w:color w:val="auto"/>
        </w:rPr>
      </w:pPr>
      <w:r>
        <w:rPr>
          <w:rFonts w:ascii="Arial" w:cs="Arial" w:eastAsia="Arial" w:hAnsi="Arial"/>
          <w:sz w:val="16"/>
          <w:szCs w:val="16"/>
          <w:color w:val="auto"/>
        </w:rPr>
        <w:t>the rights of the shares of such series in the event of voluntary or involuntary liquidation, dissolution or winding-up of the Company; and</w:t>
      </w:r>
    </w:p>
    <w:p>
      <w:pPr>
        <w:spacing w:after="0" w:line="194" w:lineRule="exact"/>
        <w:rPr>
          <w:rFonts w:ascii="Arial" w:cs="Arial" w:eastAsia="Arial" w:hAnsi="Arial"/>
          <w:sz w:val="16"/>
          <w:szCs w:val="16"/>
          <w:color w:val="auto"/>
        </w:rPr>
      </w:pPr>
    </w:p>
    <w:p>
      <w:pPr>
        <w:ind w:left="1660" w:hanging="168"/>
        <w:spacing w:after="0"/>
        <w:tabs>
          <w:tab w:leader="none" w:pos="1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other relative rights, powers, preferences, qualifications, limitations or restrictions thereof relating to such series.</w:t>
      </w: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w:t>
      </w:r>
    </w:p>
    <w:p>
      <w:pPr>
        <w:spacing w:after="0" w:line="177" w:lineRule="exact"/>
        <w:rPr>
          <w:sz w:val="20"/>
          <w:szCs w:val="20"/>
          <w:color w:val="auto"/>
        </w:rPr>
      </w:pPr>
    </w:p>
    <w:p>
      <w:pPr>
        <w:ind w:right="100" w:firstLine="913"/>
        <w:spacing w:after="0" w:line="291" w:lineRule="auto"/>
        <w:rPr>
          <w:sz w:val="20"/>
          <w:szCs w:val="20"/>
          <w:color w:val="auto"/>
        </w:rPr>
      </w:pPr>
      <w:r>
        <w:rPr>
          <w:rFonts w:ascii="Arial" w:cs="Arial" w:eastAsia="Arial" w:hAnsi="Arial"/>
          <w:sz w:val="16"/>
          <w:szCs w:val="16"/>
          <w:color w:val="auto"/>
        </w:rPr>
        <w:t>A director of the Company shall not be personally liable to the Company or its stockholders for monetary damages for breach of fiduciary duty as a director, except for liability (a) for any breach of the director’s duty of loyalty to the Company or its stockholders, (b) for acts or omissions not in good faith or which involve intentional misconduct or a knowing violation of law, (c) under Section 174 of the Delaware General Corporation Law or (d) for any transaction from which the director derived any improper personal benefit. If the Delaware General Corporation Law is amended after approval by the stockholders of this Article to authorize corporate action further eliminating or limiting the personal liability of directors, then the liability of a director of the Company shall be eliminated or limited to the fullest extent permitted by the Delaware General Corporation Law as so amended.</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380"/>
          </w:cols>
          <w:pgMar w:left="240" w:top="280" w:right="27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VI</w:t>
      </w:r>
    </w:p>
    <w:p>
      <w:pPr>
        <w:spacing w:after="0" w:line="17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management of the business and the conduct of the affairs of the Company shall be vested in its Board of Directors. The number of directors which shall constitute the whole Board of Directors shall be fixed by, or in the manner provided in, the Bylaws of the Company.</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177"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Meetings of stockholders may be held within or without the State of Delaware, as the Bylaws of the Company may provide. The books of the Company may be kept (subject to any provision contained in the statutes) outside the State of Delaware at such place or places as may be designated from time to time by the Board of Directors or in the Bylaws of the Company.</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177"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Election of directors at an annual or special meeting of stockholders need not be by written ballot unless the Bylaws of the Company shall so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provide.</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1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 At each annual meeting of stockholders, directors of the Company shall be elected to hold office until the expiration of the term for which they are elected, and until their successors have been duly elected and qualified. Effective immediately following the closing of the initial public offering of the Company’s capital stock pursuant to an effective registration statement filed under the Securities Act of 1933, as amended (the “</w:t>
      </w:r>
      <w:r>
        <w:rPr>
          <w:rFonts w:ascii="Arial" w:cs="Arial" w:eastAsia="Arial" w:hAnsi="Arial"/>
          <w:sz w:val="16"/>
          <w:szCs w:val="16"/>
          <w:u w:val="single" w:color="auto"/>
          <w:color w:val="auto"/>
        </w:rPr>
        <w:t>Initial Public Offering</w:t>
      </w:r>
      <w:r>
        <w:rPr>
          <w:rFonts w:ascii="Arial" w:cs="Arial" w:eastAsia="Arial" w:hAnsi="Arial"/>
          <w:sz w:val="16"/>
          <w:szCs w:val="16"/>
          <w:color w:val="auto"/>
        </w:rPr>
        <w:t>”), the directors of the Company shall be divided into three classes as nearly equal in size as is practicable, hereby designated as Class I, Class II and Class III. The initial Class I, Class II and Class III directors shall be those directors designated and elected by resolution of the Board of Directors or stockholders prior to the Initial Public Offering. The term of office of the initial Class I directors shall expire at the first annual meeting of stockholders following the closing of the Initial Public Offering (the “</w:t>
      </w:r>
      <w:r>
        <w:rPr>
          <w:rFonts w:ascii="Arial" w:cs="Arial" w:eastAsia="Arial" w:hAnsi="Arial"/>
          <w:sz w:val="16"/>
          <w:szCs w:val="16"/>
          <w:u w:val="single" w:color="auto"/>
          <w:color w:val="auto"/>
        </w:rPr>
        <w:t>First Public Company Annual Meeting</w:t>
      </w:r>
      <w:r>
        <w:rPr>
          <w:rFonts w:ascii="Arial" w:cs="Arial" w:eastAsia="Arial" w:hAnsi="Arial"/>
          <w:sz w:val="16"/>
          <w:szCs w:val="16"/>
          <w:color w:val="auto"/>
        </w:rPr>
        <w:t>”); the term of office of the initial Class II directors shall expire at the next succeeding annual meeting of stockholders; and the term of office of the initial Class III directors shall expire at the second succeeding annual meeting of stockholders. At each annual meeting after the First Public Company Annual Meeting, directors to replace those of a Class whose terms expire at such annual meeting shall be elected to hold office until the third succeeding annual meeting and until their respective successors shall have been duly elected and qualified. If the number of directors is hereafter changed, any newly created directorships or decrease in directorships shall be so apportioned among the classes as to make all classes as nearly equal in number as is practicable.</w:t>
      </w:r>
    </w:p>
    <w:p>
      <w:pPr>
        <w:spacing w:after="0" w:line="124"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B. Vacancies occurring on the Board of Directors for any reason may be filled by vote of a majority of the remaining members of the Board of Directors, although less than a quorum, at a meeting of the Board of Directors. A person so elected by the Board of Directors to fill a vacancy shall hold office until the next succeeding annual meeting of stockholders of the Company and until his or her successor shall have been duly elected and qualified.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274" w:right="23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X</w:t>
      </w:r>
    </w:p>
    <w:p>
      <w:pPr>
        <w:spacing w:after="0" w:line="177"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In furtherance and not in limitation of the powers conferred by statute, the Board of Directors is expressly authorized to make, alter, amend or repeal the Bylaws of the Company.</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w:t>
      </w:r>
    </w:p>
    <w:p>
      <w:pPr>
        <w:spacing w:after="0" w:line="177"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Effective upon the closing of the Initial Public Offering, stockholders of the Company may not take action by written consent in lieu of a meeting but must take any actions at a duly called annual or special meeting.</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XII</w:t>
      </w:r>
    </w:p>
    <w:p>
      <w:pPr>
        <w:spacing w:after="0" w:line="177" w:lineRule="exact"/>
        <w:rPr>
          <w:sz w:val="20"/>
          <w:szCs w:val="20"/>
          <w:color w:val="auto"/>
        </w:rPr>
      </w:pPr>
    </w:p>
    <w:p>
      <w:pPr>
        <w:ind w:right="40" w:firstLine="913"/>
        <w:spacing w:after="0" w:line="298" w:lineRule="auto"/>
        <w:rPr>
          <w:sz w:val="20"/>
          <w:szCs w:val="20"/>
          <w:color w:val="auto"/>
        </w:rPr>
      </w:pPr>
      <w:r>
        <w:rPr>
          <w:rFonts w:ascii="Arial" w:cs="Arial" w:eastAsia="Arial" w:hAnsi="Arial"/>
          <w:sz w:val="16"/>
          <w:szCs w:val="16"/>
          <w:color w:val="auto"/>
        </w:rPr>
        <w:t>Notwithstanding any other provisions of this Certificate of Incorporation or any provision of law which might otherwise permit a lesser vote or no vote, but in addition to any affirmative vote of the holders of the capital stock required by law or this Certificate of Incorporation, effective as of the Initial Public Offering, the affirmative vote of the holders of at least two-thirds (2/3) of the combined voting power of all of the then-outstanding shares of the Company entitled to vote shall be required to alter, amend or repeal Articles IX or XI or this Article XII, or any provisions thereof.</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XIII</w:t>
      </w:r>
    </w:p>
    <w:p>
      <w:pPr>
        <w:spacing w:after="0" w:line="177" w:lineRule="exact"/>
        <w:rPr>
          <w:sz w:val="20"/>
          <w:szCs w:val="20"/>
          <w:color w:val="auto"/>
        </w:rPr>
      </w:pPr>
    </w:p>
    <w:p>
      <w:pPr>
        <w:ind w:right="620" w:firstLine="913"/>
        <w:spacing w:after="0" w:line="370" w:lineRule="auto"/>
        <w:rPr>
          <w:sz w:val="20"/>
          <w:szCs w:val="20"/>
          <w:color w:val="auto"/>
        </w:rPr>
      </w:pPr>
      <w:r>
        <w:rPr>
          <w:rFonts w:ascii="Arial" w:cs="Arial" w:eastAsia="Arial" w:hAnsi="Arial"/>
          <w:sz w:val="15"/>
          <w:szCs w:val="15"/>
          <w:color w:val="auto"/>
        </w:rPr>
        <w:t>Subject to Article XII above, the Company reserves the right to amend, alter, change or repeal any provision contained in this Certificate of Incorporation, in the manner now or hereafter prescribed by statute, and all rights conferred on stockholders herein are granted subject to this reservation.</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 * *</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00"/>
          </w:cols>
          <w:pgMar w:left="240" w:top="274" w:right="25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10.1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May 10, 2006 oral agreement with James A. Clishem, its President and Chief Executive Officer</w:t>
      </w:r>
    </w:p>
    <w:p>
      <w:pPr>
        <w:spacing w:after="0" w:line="17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On May 10, 2006, Active Power entered into an oral agreement with James A. Clishem in connection with his appointment as Chief Executive Officer of the company. Pursuant to the terms of such agreement, Mr. Clishem will receive an annual base salary of $300,000 and his annual bonus target under Active Power’s Executive Compensation Plan will be 100% of his annual base salary. Mr. Clishem also was granted, effective May 10, 2006, an option to purchase 200,000 shares of Active Power common stock at an exercise price equal to the per-share fair market value on the date of grant, which shall vest at a rate of 25% per year over four years. Mr. Clishem will continue to participate in Active Power’s employee benefit programs and will be entitled to a severance payment equal to six months of his then current salary in the event his employment is terminated by Active Power for reasons other than cause.</w:t>
      </w:r>
    </w:p>
    <w:p>
      <w:pPr>
        <w:sectPr>
          <w:pgSz w:w="11900" w:h="16838" w:orient="portrait"/>
          <w:cols w:equalWidth="0" w:num="1">
            <w:col w:w="11420"/>
          </w:cols>
          <w:pgMar w:left="240" w:top="125"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10.2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May 10, 2006 oral agreement with Joseph F. Pinkerton, III, its Chairman of the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and its former President and Chief Executive Officer</w:t>
      </w:r>
    </w:p>
    <w:p>
      <w:pPr>
        <w:spacing w:after="0" w:line="16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On May 10, 2006, Active Power entered into an oral agreement with Joseph F. Pinkerton, IIII in connection with his departure as Chief Executive Officer of the company and his continuation as its Chairman of the Board. Pursuant to the terms of such agreement, Mr. Pinkerton will receive an annual base salary of $90,000 and his annual bonus target under Active Power’s Executive Compensation Plan will be 100% of his annual base salary. Mr. Pinkerton will continue to participate in Active Power’s employee benefit programs.</w:t>
      </w:r>
    </w:p>
    <w:p>
      <w:pPr>
        <w:sectPr>
          <w:pgSz w:w="11900" w:h="16838" w:orient="portrait"/>
          <w:cols w:equalWidth="0" w:num="1">
            <w:col w:w="11420"/>
          </w:cols>
          <w:pgMar w:left="240" w:top="125"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James A. Clishem, certify that:</w:t>
      </w:r>
    </w:p>
    <w:p>
      <w:pPr>
        <w:spacing w:after="0" w:line="90"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Active Power,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July 27, 2006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James A. Clishem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127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James A. Clishem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John K. Penver, certify that:</w:t>
      </w:r>
    </w:p>
    <w:p>
      <w:pPr>
        <w:spacing w:after="0" w:line="90"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Active Power,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July 27, 2006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John K. Penver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127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John K. Penver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of Finance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125"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In connection with the Quarterly Report on Form 10-Q of Active Power, Inc. (the “Company”) for the period ending June 30, 2006, as filed with the Securities and Exchange Commission on the date hereof (the “Report”), I, James A. Clishem, Chief Executive Officer of the Company, certify, pursuant to 18 U.S.C. Section 1350, as adopted pursuant to Section 906 of the Sarbanes-Oxley Act of 2002, that, to my knowledge:</w:t>
      </w:r>
    </w:p>
    <w:p>
      <w:pPr>
        <w:spacing w:after="0" w:line="26"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 James A. Clishem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127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James A. Clishem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27, 2006</w:t>
      </w:r>
    </w:p>
    <w:p>
      <w:pPr>
        <w:sectPr>
          <w:pgSz w:w="11900" w:h="16838" w:orient="portrait"/>
          <w:cols w:equalWidth="0" w:num="1">
            <w:col w:w="11420"/>
          </w:cols>
          <w:pgMar w:left="240" w:top="125"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connection with the Quarterly Report on Form 10-Q of Active Power, Inc. (the “Company”) for the period ending June 30, 2006 as filed with the Securities and Exchange Commission on the date hereof (the “Report”), I, John K. Penver, Chief Financial Officer of the Company, certify, pursuant to 18 U.S.C. Section 1350, as adopted pursuant to Section 906 of the Sarbanes-Oxley Act of 2002, that, to my knowledge:</w:t>
      </w:r>
    </w:p>
    <w:p>
      <w:pPr>
        <w:spacing w:after="0" w:line="59"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 John K. Penver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127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John K. Penver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of Finance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27, 2006</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1)"/>
      <w:numFmt w:val="lowerLetter"/>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
      <w:numFmt w:val="bullet"/>
      <w:start w:val="1"/>
    </w:lvl>
    <w:lvl w:ilvl="1">
      <w:lvlJc w:val="left"/>
      <w:lvlText w:val="(%2)"/>
      <w:numFmt w:val="decimal"/>
      <w:start w:val="2"/>
    </w:lvl>
  </w:abstractNum>
  <w:abstractNum w:abstractNumId="8">
    <w:nsid w:val="140E0F76"/>
    <w:multiLevelType w:val="hybridMultilevel"/>
    <w:lvl w:ilvl="0">
      <w:lvlJc w:val="left"/>
      <w:lvlText w:val="(%1)"/>
      <w:numFmt w:val="decimal"/>
      <w:start w:val="3"/>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2"/>
    </w:lvl>
    <w:lvl w:ilvl="1">
      <w:lvlJc w:val="left"/>
      <w:lvlText w:val="%2."/>
      <w:numFmt w:val="lowerLetter"/>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2019-12-12T01:43:24Z</dcterms:created>
  <dcterms:modified xsi:type="dcterms:W3CDTF">2019-12-12T01:43:24Z</dcterms:modified>
</cp:coreProperties>
</file>