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210 Capital,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P10,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4514 COLE AVENUE, SUITE 1600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P10, Inc.</w:t>
              </w:r>
            </w:hyperlink>
            <w:r>
              <w:rPr/>
              <w:t xml:space="preserve"> [ </w:t>
            </w:r>
            <w:r>
              <w:rPr>
                <w:rFonts w:ascii="Times;serif" w:hAnsi="Times;serif"/>
                <w:color w:val="0000FF"/>
                <w:sz w:val="24"/>
                <w:shd w:fill="FFFFFF" w:val="clear"/>
              </w:rPr>
              <w:t>PX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26"/>
        <w:gridCol w:w="909"/>
        <w:gridCol w:w="781"/>
        <w:gridCol w:w="604"/>
        <w:gridCol w:w="335"/>
        <w:gridCol w:w="994"/>
        <w:gridCol w:w="412"/>
        <w:gridCol w:w="983"/>
        <w:gridCol w:w="1231"/>
        <w:gridCol w:w="950"/>
        <w:gridCol w:w="108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8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A Common Stock</w:t>
            </w:r>
            <w:r>
              <w:rPr>
                <w:rFonts w:ascii="Times;serif" w:hAnsi="Times;serif"/>
                <w:color w:val="008000"/>
                <w:position w:val="7"/>
                <w:sz w:val="16"/>
                <w:sz w:val="20"/>
                <w:shd w:fill="FFFFFF" w:val="clear"/>
              </w:rPr>
              <w:t>(1)(2)</w:t>
            </w:r>
            <w:r>
              <w:rPr/>
              <w:t xml:space="preserve"> </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10/15/2024</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15,094</w:t>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11.2541</w:t>
            </w:r>
            <w:r>
              <w:rPr>
                <w:rFonts w:ascii="Times;serif" w:hAnsi="Times;serif"/>
                <w:color w:val="008000"/>
                <w:position w:val="7"/>
                <w:sz w:val="16"/>
                <w:sz w:val="20"/>
                <w:shd w:fill="FFFFFF" w:val="clear"/>
              </w:rPr>
              <w:t>(4)</w:t>
            </w:r>
            <w:r>
              <w:rPr/>
              <w:t xml:space="preserve"> </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2,734,906</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r>
              <w:rPr/>
              <w:t xml:space="preserve"> </w:t>
            </w:r>
          </w:p>
        </w:tc>
      </w:tr>
      <w:tr>
        <w:trPr/>
        <w:tc>
          <w:tcPr>
            <w:tcW w:w="19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A Common Stock</w:t>
            </w:r>
            <w:r>
              <w:rPr>
                <w:rFonts w:ascii="Times;serif" w:hAnsi="Times;serif"/>
                <w:color w:val="008000"/>
                <w:position w:val="7"/>
                <w:sz w:val="16"/>
                <w:sz w:val="20"/>
                <w:shd w:fill="FFFFFF" w:val="clear"/>
              </w:rPr>
              <w:t>(1)(2)</w:t>
            </w:r>
            <w:r>
              <w:rPr/>
              <w:t xml:space="preserve"> </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10/16/2024</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119,906</w:t>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11.3464</w:t>
            </w:r>
            <w:r>
              <w:rPr>
                <w:rFonts w:ascii="Times;serif" w:hAnsi="Times;serif"/>
                <w:color w:val="008000"/>
                <w:position w:val="7"/>
                <w:sz w:val="16"/>
                <w:sz w:val="20"/>
                <w:shd w:fill="FFFFFF" w:val="clear"/>
              </w:rPr>
              <w:t>(6)</w:t>
            </w:r>
            <w:r>
              <w:rPr/>
              <w:t xml:space="preserve"> </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2,615,000</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r>
              <w:rPr/>
              <w:t xml:space="preserve"> </w:t>
            </w:r>
          </w:p>
        </w:tc>
      </w:tr>
      <w:tr>
        <w:trPr/>
        <w:tc>
          <w:tcPr>
            <w:tcW w:w="19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A Common Stock</w:t>
            </w:r>
            <w:r>
              <w:rPr>
                <w:rFonts w:ascii="Times;serif" w:hAnsi="Times;serif"/>
                <w:color w:val="008000"/>
                <w:position w:val="7"/>
                <w:sz w:val="16"/>
                <w:sz w:val="20"/>
                <w:shd w:fill="FFFFFF" w:val="clear"/>
              </w:rPr>
              <w:t>(1)(2)</w:t>
            </w:r>
            <w:r>
              <w:rPr/>
              <w:t xml:space="preserve"> </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10/17/2024</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46,554</w:t>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11.2673</w:t>
            </w:r>
            <w:r>
              <w:rPr>
                <w:rFonts w:ascii="Times;serif" w:hAnsi="Times;serif"/>
                <w:color w:val="008000"/>
                <w:position w:val="7"/>
                <w:sz w:val="16"/>
                <w:sz w:val="20"/>
                <w:shd w:fill="FFFFFF" w:val="clear"/>
              </w:rPr>
              <w:t>(7)</w:t>
            </w:r>
            <w:r>
              <w:rPr/>
              <w:t xml:space="preserve"> </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2,568,446</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r>
              <w:rPr/>
              <w:t xml:space="preserve"> </w:t>
            </w:r>
          </w:p>
        </w:tc>
      </w:tr>
      <w:tr>
        <w:trPr/>
        <w:tc>
          <w:tcPr>
            <w:tcW w:w="19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A Common Stock</w:t>
            </w:r>
            <w:r>
              <w:rPr>
                <w:rFonts w:ascii="Times;serif" w:hAnsi="Times;serif"/>
                <w:color w:val="008000"/>
                <w:position w:val="7"/>
                <w:sz w:val="16"/>
                <w:sz w:val="20"/>
                <w:shd w:fill="FFFFFF" w:val="clear"/>
              </w:rPr>
              <w:t>(1)(2)</w:t>
            </w:r>
            <w:r>
              <w:rPr/>
              <w:t xml:space="preserve"> </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339,028</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(8)</w:t>
            </w:r>
            <w:r>
              <w:rPr/>
              <w:t xml:space="preserve"> </w:t>
            </w:r>
          </w:p>
        </w:tc>
        <w:tc>
          <w:tcPr>
            <w:tcW w:w="10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A Common Stock</w:t>
            </w:r>
            <w:r>
              <w:rPr>
                <w:rFonts w:ascii="Times;serif" w:hAnsi="Times;serif"/>
                <w:color w:val="008000"/>
                <w:position w:val="7"/>
                <w:sz w:val="16"/>
                <w:sz w:val="20"/>
                <w:shd w:fill="FFFFFF" w:val="clear"/>
              </w:rPr>
              <w:t>(1)(2)</w:t>
            </w:r>
            <w:r>
              <w:rPr/>
              <w:t xml:space="preserve"> </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334,150</w:t>
            </w:r>
          </w:p>
        </w:tc>
        <w:tc>
          <w:tcPr>
            <w:tcW w:w="9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(9)</w:t>
            </w:r>
            <w:r>
              <w:rPr/>
              <w:t xml:space="preserve"> </w:t>
            </w:r>
          </w:p>
        </w:tc>
        <w:tc>
          <w:tcPr>
            <w:tcW w:w="10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210 Capital,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P10,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4514 COLE AVENUE, SUITE 1600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Alpert Robert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4514 COLE AVENUE, SUITE 1600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Webb C Clark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4514 COLE AVENUE, SUITE 1600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COVENANT RHA PARTNERS,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4514 COLE AVENUE, SUITE 1600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CCW/LAW Holdings,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4514 COLE AVENUE, SUITE 1600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RHA Investments,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4514 COLE AVENUE, SUITE 1600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 is being filed by: (i) 210 Capital, LLC ("210 Capital"), in its capacity as the sole member of 210/P10 Acquisition Partners, LLC, the direct holder of shares of Class B Common Stock ("210/P10"); (ii) Covenant RHA Partners, L.P. ("RHA Partners"), in its capacity as member of 210 Capital; (iii) CCW/LAW Holdings, LLC ("CCW Holdings"), in its capacity as member of 210 Capital; (iv) Mr. Webb, individually and in his capacity as sole member of CCW Holdings, and in his capacity as Executive Vice Chairman and a director of the Issuer; (v) RHA Investments, Inc. ("RHA Investments"), in its capacity as general partner of RHA Partners; and (vi) Mr. Alpert, individually and in his capacity as President and sole shareholder of RHA Investments, and in his capacity as a director of the Issuer (collectively, the "Reporting Persons").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(Continued from footnote 1) Each Reporting Person disclaims beneficial ownership of the securities of the Issuer reported herein, except to the extent of his or its pecuniary interest therein, and the filing of this Form 4 shall not be construed as an admission that such persons are beneficial owners of the securities of the Issuer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sales reported on this Form 4 were effected pursuant to a Rule 10b5-1 trading plan adopted by 210/P10 on December 10,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$11.25 to $11.275, inclusive.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securities are owned directly by 210/P10. By virtue of their relationship with 210/P10 described in Footnote 1, each Reporting Person may be deemed to beneficially own the securities of the Issuer owned directly by 210/P10.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$11.25 to $11.455, inclusive.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$11.25 to $11.38, inclusive.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securities are owned directly by Mr. Alpert.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These securities are owned directly by Mr. Webb.</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Persons may be deemed to be members of group under Section 13 that collectively beneficially owns more than 10% of the Issuer's Common Stock. In addition, Mr. Webb serves as Executive Vice Chairman of the Issuer, and Mr. Alpert and Mr. Webb each serve as a director on the Board of Directors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/s/C. Clark Webb, as Attorney-in-Fact for the Reporting Persons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10/17/2024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94780" TargetMode="External"/><Relationship Id="rId5" Type="http://schemas.openxmlformats.org/officeDocument/2006/relationships/hyperlink" Target="http://www.sec.gov/cgi-bin/browse-edgar?action=getcompany&amp;CIK=00018419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hyperlink" Target="http://www.sec.gov/cgi-bin/browse-edgar?action=getcompany&amp;CIK=0001694780" TargetMode="External"/><Relationship Id="rId11" Type="http://schemas.openxmlformats.org/officeDocument/2006/relationships/hyperlink" Target="http://www.sec.gov/cgi-bin/browse-edgar?action=getcompany&amp;CIK=0001694574" TargetMode="External"/><Relationship Id="rId12" Type="http://schemas.openxmlformats.org/officeDocument/2006/relationships/hyperlink" Target="http://www.sec.gov/cgi-bin/browse-edgar?action=getcompany&amp;CIK=0001694507" TargetMode="External"/><Relationship Id="rId13" Type="http://schemas.openxmlformats.org/officeDocument/2006/relationships/hyperlink" Target="http://www.sec.gov/cgi-bin/browse-edgar?action=getcompany&amp;CIK=0001274195" TargetMode="External"/><Relationship Id="rId14" Type="http://schemas.openxmlformats.org/officeDocument/2006/relationships/hyperlink" Target="http://www.sec.gov/cgi-bin/browse-edgar?action=getcompany&amp;CIK=0001694778" TargetMode="External"/><Relationship Id="rId15" Type="http://schemas.openxmlformats.org/officeDocument/2006/relationships/hyperlink" Target="http://www.sec.gov/cgi-bin/browse-edgar?action=getcompany&amp;CIK=0001694781"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1293</Words>
  <Characters>6824</Characters>
  <CharactersWithSpaces>7963</CharactersWithSpaces>
  <Paragraphs>212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