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x-20250930.htm"/>
      <w:bookmarkStart w:id="1" w:name="kspx20250930"/>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8"/>
        </w:rPr>
      </w:pPr>
      <w:r>
        <w:rPr>
          <w:rFonts w:ascii="Times New Roman" w:hAnsi="Times New Roman"/>
          <w:b/>
          <w:color w:val="000000"/>
          <w:sz w:val="28"/>
        </w:rPr>
        <w:t>FORM 10-Q</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September 30, 2025</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____________________ to ____________________</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001-40937</w:t>
      </w:r>
    </w:p>
    <w:p>
      <w:pPr>
        <w:pStyle w:val="TextBody"/>
        <w:bidi w:val="0"/>
        <w:jc w:val="center"/>
        <w:rPr>
          <w:rFonts w:ascii="Times New Roman" w:hAnsi="Times New Roman"/>
          <w:b/>
          <w:color w:val="000000"/>
          <w:sz w:val="40"/>
        </w:rPr>
      </w:pPr>
      <w:r>
        <w:rPr>
          <w:rFonts w:ascii="Times New Roman" w:hAnsi="Times New Roman"/>
          <w:b/>
          <w:color w:val="000000"/>
          <w:sz w:val="40"/>
        </w:rPr>
        <w:t>P10,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87-2908160</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2699 Howell Street, Suite 1000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Dallas, TX</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75204</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 (214) 865-7998</w:t>
      </w:r>
    </w:p>
    <w:p>
      <w:pPr>
        <w:pStyle w:val="TextBody"/>
        <w:bidi w:val="0"/>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tbl>
      <w:tblPr>
        <w:tblW w:w="8111" w:type="dxa"/>
        <w:jc w:val="left"/>
        <w:tblInd w:w="0" w:type="dxa"/>
        <w:tblLayout w:type="fixed"/>
        <w:tblCellMar>
          <w:top w:w="28" w:type="dxa"/>
          <w:left w:w="28" w:type="dxa"/>
          <w:bottom w:w="28" w:type="dxa"/>
          <w:right w:w="28" w:type="dxa"/>
        </w:tblCellMar>
      </w:tblPr>
      <w:tblGrid>
        <w:gridCol w:w="3751"/>
        <w:gridCol w:w="109"/>
        <w:gridCol w:w="826"/>
        <w:gridCol w:w="109"/>
        <w:gridCol w:w="3316"/>
      </w:tblGrid>
      <w:tr>
        <w:trPr/>
        <w:tc>
          <w:tcPr>
            <w:tcW w:w="3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A Common Stock, $0.001 par value per share</w:t>
            </w:r>
            <w:r>
              <w:rPr>
                <w:rFonts w:ascii="Times New Roman" w:hAnsi="Times New Roman"/>
                <w:color w:val="000000"/>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PX</w:t>
            </w:r>
          </w:p>
          <w:p>
            <w:pPr>
              <w:pStyle w:val="TableContents"/>
              <w:bidi w:val="0"/>
              <w:spacing w:before="0" w:after="283"/>
              <w:jc w:val="center"/>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NYSE</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NYSE Texas, Inc.</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56" w:type="dxa"/>
        <w:jc w:val="left"/>
        <w:tblInd w:w="0" w:type="dxa"/>
        <w:tblLayout w:type="fixed"/>
        <w:tblCellMar>
          <w:top w:w="28" w:type="dxa"/>
          <w:left w:w="28" w:type="dxa"/>
          <w:bottom w:w="28" w:type="dxa"/>
          <w:right w:w="28" w:type="dxa"/>
        </w:tblCellMar>
      </w:tblPr>
      <w:tblGrid>
        <w:gridCol w:w="2041"/>
        <w:gridCol w:w="109"/>
        <w:gridCol w:w="316"/>
        <w:gridCol w:w="109"/>
        <w:gridCol w:w="2011"/>
        <w:gridCol w:w="109"/>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 xml:space="preserve">Yes </w:t>
      </w:r>
      <w:r>
        <w:rPr>
          <w:rFonts w:ascii="Times New Roman" w:hAnsi="Times New Roman"/>
          <w:color w:val="000000"/>
          <w:sz w:val="20"/>
        </w:rPr>
        <w:t xml:space="preserve">☐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As of November 3, 2025, there were 78,067,335</w:t>
      </w:r>
      <w:r>
        <w:rPr>
          <w:rFonts w:ascii="Times New Roman" w:hAnsi="Times New Roman"/>
          <w:color w:val="000000"/>
          <w:sz w:val="20"/>
        </w:rPr>
        <w:t xml:space="preserve"> </w:t>
      </w:r>
      <w:r>
        <w:rPr>
          <w:rFonts w:ascii="Times New Roman" w:hAnsi="Times New Roman"/>
          <w:color w:val="000000"/>
          <w:sz w:val="16"/>
        </w:rPr>
        <w:t>shares of the registrant's Class A common stock and 31,947,755</w:t>
      </w:r>
      <w:r>
        <w:rPr>
          <w:rFonts w:ascii="Times New Roman" w:hAnsi="Times New Roman"/>
          <w:color w:val="000000"/>
          <w:sz w:val="20"/>
        </w:rPr>
        <w:t xml:space="preserve"> </w:t>
      </w:r>
      <w:r>
        <w:rPr>
          <w:rFonts w:ascii="Times New Roman" w:hAnsi="Times New Roman"/>
          <w:color w:val="000000"/>
          <w:sz w:val="16"/>
        </w:rPr>
        <w:t>shares of the Registrant's Class B common stock, issued and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tbl>
      <w:tblPr>
        <w:tblW w:w="8823" w:type="dxa"/>
        <w:jc w:val="left"/>
        <w:tblInd w:w="0" w:type="dxa"/>
        <w:tblLayout w:type="fixed"/>
        <w:tblCellMar>
          <w:top w:w="28" w:type="dxa"/>
          <w:left w:w="28" w:type="dxa"/>
          <w:bottom w:w="28" w:type="dxa"/>
          <w:right w:w="28" w:type="dxa"/>
        </w:tblCellMar>
      </w:tblPr>
      <w:tblGrid>
        <w:gridCol w:w="976"/>
        <w:gridCol w:w="7336"/>
        <w:gridCol w:w="511"/>
      </w:tblGrid>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1">
              <w:r>
                <w:rPr>
                  <w:rStyle w:val="InternetLink"/>
                  <w:rFonts w:ascii="Times New Roman" w:hAnsi="Times New Roman"/>
                  <w:b/>
                  <w:color w:val="0000FF"/>
                  <w:sz w:val="20"/>
                  <w:u w:val="single"/>
                </w:rPr>
                <w:t>PART I</w:t>
              </w:r>
            </w:hyperlink>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FINANCIAL INFORMATION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omp_income">
              <w:r>
                <w:rPr>
                  <w:rStyle w:val="InternetLink"/>
                  <w:rFonts w:ascii="Times New Roman" w:hAnsi="Times New Roman"/>
                  <w:color w:val="0000FF"/>
                  <w:sz w:val="20"/>
                  <w:u w:val="single"/>
                </w:rPr>
                <w:t>Consolidated Statements of Comprehensive Income</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hanges_in_st">
              <w:r>
                <w:rPr>
                  <w:rStyle w:val="InternetLink"/>
                  <w:rFonts w:ascii="Times New Roman" w:hAnsi="Times New Roman"/>
                  <w:color w:val="0000FF"/>
                  <w:sz w:val="20"/>
                  <w:u w:val="single"/>
                </w:rPr>
                <w:t>Consolidated Statements of Changes in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s">
              <w:r>
                <w:rPr>
                  <w:rStyle w:val="InternetLink"/>
                  <w:rFonts w:ascii="Times New Roman" w:hAnsi="Times New Roman"/>
                  <w:color w:val="0000FF"/>
                  <w:sz w:val="20"/>
                  <w:u w:val="single"/>
                </w:rPr>
                <w:t>Notes to Unaudited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l_quan">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2">
              <w:r>
                <w:rPr>
                  <w:rStyle w:val="InternetLink"/>
                  <w:rFonts w:ascii="Times New Roman" w:hAnsi="Times New Roman"/>
                  <w:b/>
                  <w:color w:val="0000FF"/>
                  <w:sz w:val="20"/>
                  <w:u w:val="single"/>
                </w:rPr>
                <w:t>PART II</w:t>
              </w:r>
            </w:hyperlink>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INFORMATION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unregistered_sale">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other_info">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a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part_1"/>
      <w:bookmarkEnd w:id="3"/>
      <w:r>
        <w:rPr>
          <w:rFonts w:ascii="Times New Roman" w:hAnsi="Times New Roman"/>
          <w:b/>
          <w:color w:val="000000"/>
          <w:sz w:val="20"/>
        </w:rPr>
        <w:t>PART I</w:t>
      </w:r>
      <w:r>
        <w:rPr>
          <w:rFonts w:ascii="Times New Roman" w:hAnsi="Times New Roman"/>
          <w:color w:val="000000"/>
          <w:sz w:val="20"/>
        </w:rPr>
        <w:t xml:space="preserve"> </w:t>
      </w:r>
      <w:r>
        <w:rPr>
          <w:rFonts w:ascii="Times New Roman" w:hAnsi="Times New Roman"/>
          <w:b/>
          <w:color w:val="000000"/>
          <w:sz w:val="20"/>
        </w:rPr>
        <w:t>- FINANCIAL INFORMATION</w:t>
      </w:r>
    </w:p>
    <w:p>
      <w:pPr>
        <w:pStyle w:val="TextBody"/>
        <w:bidi w:val="0"/>
        <w:jc w:val="left"/>
        <w:rPr>
          <w:rFonts w:ascii="Times New Roman" w:hAnsi="Times New Roman"/>
          <w:b/>
          <w:color w:val="000000"/>
          <w:sz w:val="20"/>
        </w:rPr>
      </w:pPr>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bookmarkStart w:id="4" w:name="consolidated_bs"/>
      <w:bookmarkStart w:id="5" w:name="consolidated_balance_sheets"/>
      <w:bookmarkEnd w:id="4"/>
      <w:bookmarkEnd w:id="5"/>
      <w:r>
        <w:rPr>
          <w:rFonts w:ascii="Times New Roman" w:hAnsi="Times New Roman"/>
          <w:color w:val="000000"/>
          <w:sz w:val="20"/>
        </w:rPr>
        <w:t>Consolidated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41"/>
        <w:gridCol w:w="146"/>
        <w:gridCol w:w="222"/>
        <w:gridCol w:w="889"/>
        <w:gridCol w:w="166"/>
        <w:gridCol w:w="146"/>
        <w:gridCol w:w="220"/>
        <w:gridCol w:w="880"/>
        <w:gridCol w:w="595"/>
      </w:tblGrid>
      <w:tr>
        <w:trPr/>
        <w:tc>
          <w:tcPr>
            <w:tcW w:w="6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As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As of</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December 31,</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2024</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87"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67,455</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660</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32,313</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7,534</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Due from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81,909</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Investment in unconsolidated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2,781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5,108</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6,760</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17,555</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Contingent payments to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10,028</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tax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33,545</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Intangibles,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97,589</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558,866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506,038</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936,010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869,275</w:t>
            </w:r>
          </w:p>
        </w:tc>
        <w:tc>
          <w:tcPr>
            <w:tcW w:w="5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EQUITY</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30,208</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69,544</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3,374</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184</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2,214</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contingent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23,878</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12,609</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20,591</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393,394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319,783</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8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539,220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8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482,385</w:t>
            </w:r>
          </w:p>
        </w:tc>
        <w:tc>
          <w:tcPr>
            <w:tcW w:w="5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COMMITMENTS AND CONTINGENCIES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Class A common stock, $0.001</w:t>
            </w:r>
            <w:r>
              <w:rPr>
                <w:rFonts w:ascii="Times New Roman" w:hAnsi="Times New Roman"/>
                <w:color w:val="000000"/>
                <w:sz w:val="20"/>
              </w:rPr>
              <w:t> </w:t>
            </w:r>
            <w:r>
              <w:rPr>
                <w:rFonts w:ascii="Times New Roman" w:hAnsi="Times New Roman"/>
                <w:color w:val="000000"/>
                <w:sz w:val="19"/>
              </w:rPr>
              <w:t>par value; 510,000,000</w:t>
            </w:r>
            <w:r>
              <w:rPr>
                <w:rFonts w:ascii="Times New Roman" w:hAnsi="Times New Roman"/>
                <w:color w:val="000000"/>
                <w:sz w:val="20"/>
              </w:rPr>
              <w:t> </w:t>
            </w:r>
            <w:r>
              <w:rPr>
                <w:rFonts w:ascii="Times New Roman" w:hAnsi="Times New Roman"/>
                <w:color w:val="000000"/>
                <w:sz w:val="19"/>
              </w:rPr>
              <w:t>shares authorized; 90,100,041</w:t>
            </w:r>
            <w:r>
              <w:rPr>
                <w:rFonts w:ascii="Times New Roman" w:hAnsi="Times New Roman"/>
                <w:color w:val="000000"/>
                <w:sz w:val="20"/>
              </w:rPr>
              <w:t> </w:t>
            </w:r>
            <w:r>
              <w:rPr>
                <w:rFonts w:ascii="Times New Roman" w:hAnsi="Times New Roman"/>
                <w:color w:val="000000"/>
                <w:sz w:val="19"/>
              </w:rPr>
              <w:t>issued and 77,914,619</w:t>
            </w:r>
            <w:r>
              <w:rPr>
                <w:rFonts w:ascii="Times New Roman" w:hAnsi="Times New Roman"/>
                <w:color w:val="000000"/>
                <w:sz w:val="20"/>
              </w:rPr>
              <w:t> </w:t>
            </w:r>
            <w:r>
              <w:rPr>
                <w:rFonts w:ascii="Times New Roman" w:hAnsi="Times New Roman"/>
                <w:color w:val="000000"/>
                <w:sz w:val="19"/>
              </w:rPr>
              <w:t>outstanding as of September 30, 2025, and 75,974,076</w:t>
            </w:r>
            <w:r>
              <w:rPr>
                <w:rFonts w:ascii="Times New Roman" w:hAnsi="Times New Roman"/>
                <w:color w:val="000000"/>
                <w:sz w:val="20"/>
              </w:rPr>
              <w:t> </w:t>
            </w:r>
            <w:r>
              <w:rPr>
                <w:rFonts w:ascii="Times New Roman" w:hAnsi="Times New Roman"/>
                <w:color w:val="000000"/>
                <w:sz w:val="19"/>
              </w:rPr>
              <w:t>issued and 67,614,875</w:t>
            </w:r>
            <w:r>
              <w:rPr>
                <w:rFonts w:ascii="Times New Roman" w:hAnsi="Times New Roman"/>
                <w:color w:val="000000"/>
                <w:sz w:val="20"/>
              </w:rPr>
              <w:t> </w:t>
            </w:r>
            <w:r>
              <w:rPr>
                <w:rFonts w:ascii="Times New Roman" w:hAnsi="Times New Roman"/>
                <w:color w:val="000000"/>
                <w:sz w:val="19"/>
              </w:rPr>
              <w:t>outstanding as of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Class B common stock, $0.001</w:t>
            </w:r>
            <w:r>
              <w:rPr>
                <w:rFonts w:ascii="Times New Roman" w:hAnsi="Times New Roman"/>
                <w:color w:val="000000"/>
                <w:sz w:val="20"/>
              </w:rPr>
              <w:t> </w:t>
            </w:r>
            <w:r>
              <w:rPr>
                <w:rFonts w:ascii="Times New Roman" w:hAnsi="Times New Roman"/>
                <w:color w:val="000000"/>
                <w:sz w:val="19"/>
              </w:rPr>
              <w:t>par value; 180,000,000</w:t>
            </w:r>
            <w:r>
              <w:rPr>
                <w:rFonts w:ascii="Times New Roman" w:hAnsi="Times New Roman"/>
                <w:color w:val="000000"/>
                <w:sz w:val="20"/>
              </w:rPr>
              <w:t> </w:t>
            </w:r>
            <w:r>
              <w:rPr>
                <w:rFonts w:ascii="Times New Roman" w:hAnsi="Times New Roman"/>
                <w:color w:val="000000"/>
                <w:sz w:val="19"/>
              </w:rPr>
              <w:t>shares authorized; 32,126,425</w:t>
            </w:r>
            <w:r>
              <w:rPr>
                <w:rFonts w:ascii="Times New Roman" w:hAnsi="Times New Roman"/>
                <w:color w:val="000000"/>
                <w:sz w:val="20"/>
              </w:rPr>
              <w:t> </w:t>
            </w:r>
            <w:r>
              <w:rPr>
                <w:rFonts w:ascii="Times New Roman" w:hAnsi="Times New Roman"/>
                <w:color w:val="000000"/>
                <w:sz w:val="19"/>
              </w:rPr>
              <w:t>shares issued and 32,002,974</w:t>
            </w:r>
            <w:r>
              <w:rPr>
                <w:rFonts w:ascii="Times New Roman" w:hAnsi="Times New Roman"/>
                <w:color w:val="000000"/>
                <w:sz w:val="20"/>
              </w:rPr>
              <w:t> </w:t>
            </w:r>
            <w:r>
              <w:rPr>
                <w:rFonts w:ascii="Times New Roman" w:hAnsi="Times New Roman"/>
                <w:color w:val="000000"/>
                <w:sz w:val="19"/>
              </w:rPr>
              <w:t>shares outstanding as of September 30, 2025, and 43,584,893</w:t>
            </w:r>
            <w:r>
              <w:rPr>
                <w:rFonts w:ascii="Times New Roman" w:hAnsi="Times New Roman"/>
                <w:color w:val="000000"/>
                <w:sz w:val="20"/>
              </w:rPr>
              <w:t> </w:t>
            </w:r>
            <w:r>
              <w:rPr>
                <w:rFonts w:ascii="Times New Roman" w:hAnsi="Times New Roman"/>
                <w:color w:val="000000"/>
                <w:sz w:val="19"/>
              </w:rPr>
              <w:t>shares issued and 43,461,442</w:t>
            </w:r>
            <w:r>
              <w:rPr>
                <w:rFonts w:ascii="Times New Roman" w:hAnsi="Times New Roman"/>
                <w:color w:val="000000"/>
                <w:sz w:val="20"/>
              </w:rPr>
              <w:t> </w:t>
            </w:r>
            <w:r>
              <w:rPr>
                <w:rFonts w:ascii="Times New Roman" w:hAnsi="Times New Roman"/>
                <w:color w:val="000000"/>
                <w:sz w:val="19"/>
              </w:rPr>
              <w:t>shares outstanding as of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(76,648</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663,990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637,848</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(214,312</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39,891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396,790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386,890</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936,010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869,275</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bookmarkStart w:id="6" w:name="consolidated_statements_of_operations"/>
      <w:bookmarkEnd w:id="6"/>
      <w:r>
        <w:rPr>
          <w:rFonts w:ascii="Times New Roman" w:hAnsi="Times New Roman"/>
          <w:color w:val="000000"/>
          <w:sz w:val="20"/>
        </w:rPr>
        <w:t>Consolidated Statements of Operations</w:t>
      </w:r>
    </w:p>
    <w:p>
      <w:pPr>
        <w:pStyle w:val="TextBody"/>
        <w:bidi w:val="0"/>
        <w:jc w:val="center"/>
        <w:rPr>
          <w:rFonts w:ascii="Times New Roman" w:hAnsi="Times New Roman"/>
          <w:i/>
          <w:color w:val="000000"/>
          <w:sz w:val="20"/>
        </w:rPr>
      </w:pPr>
      <w:r>
        <w:rPr>
          <w:rFonts w:ascii="Times New Roman" w:hAnsi="Times New Roman"/>
          <w:i/>
          <w:color w:val="000000"/>
          <w:sz w:val="20"/>
        </w:rPr>
        <w:t>(Unaudited, 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564"/>
        <w:gridCol w:w="146"/>
        <w:gridCol w:w="211"/>
        <w:gridCol w:w="781"/>
        <w:gridCol w:w="166"/>
        <w:gridCol w:w="146"/>
        <w:gridCol w:w="211"/>
        <w:gridCol w:w="781"/>
        <w:gridCol w:w="166"/>
        <w:gridCol w:w="146"/>
        <w:gridCol w:w="211"/>
        <w:gridCol w:w="781"/>
        <w:gridCol w:w="166"/>
        <w:gridCol w:w="146"/>
        <w:gridCol w:w="211"/>
        <w:gridCol w:w="781"/>
        <w:gridCol w:w="591"/>
      </w:tblGrid>
      <w:tr>
        <w:trPr/>
        <w:tc>
          <w:tcPr>
            <w:tcW w:w="4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and advisory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206,192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211,434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administrative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Strategic alliance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(loss)/income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net (income)/loss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P10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112,954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120,738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7" w:name="consolidated_statements_of_comp_income"/>
      <w:bookmarkEnd w:id="7"/>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Consolidated Statements of Comprehensive Income</w:t>
      </w:r>
    </w:p>
    <w:p>
      <w:pPr>
        <w:pStyle w:val="TextBody"/>
        <w:bidi w:val="0"/>
        <w:jc w:val="center"/>
        <w:rPr>
          <w:rFonts w:ascii="Times New Roman" w:hAnsi="Times New Roman"/>
          <w:i/>
          <w:color w:val="000000"/>
          <w:sz w:val="20"/>
        </w:rPr>
      </w:pPr>
      <w:r>
        <w:rPr>
          <w:rFonts w:ascii="Times New Roman" w:hAnsi="Times New Roman"/>
          <w:i/>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4"/>
        <w:gridCol w:w="146"/>
        <w:gridCol w:w="211"/>
        <w:gridCol w:w="571"/>
        <w:gridCol w:w="166"/>
        <w:gridCol w:w="146"/>
        <w:gridCol w:w="211"/>
        <w:gridCol w:w="571"/>
        <w:gridCol w:w="146"/>
        <w:gridCol w:w="146"/>
        <w:gridCol w:w="211"/>
        <w:gridCol w:w="676"/>
        <w:gridCol w:w="166"/>
        <w:gridCol w:w="146"/>
        <w:gridCol w:w="211"/>
        <w:gridCol w:w="676"/>
        <w:gridCol w:w="391"/>
      </w:tblGrid>
      <w:tr>
        <w:trPr/>
        <w:tc>
          <w:tcPr>
            <w:tcW w:w="5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fair value remeasurement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attributable to P10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bookmarkStart w:id="8" w:name="consolidated_statements_of_changes_in_st"/>
      <w:bookmarkEnd w:id="8"/>
      <w:r>
        <w:rPr>
          <w:rFonts w:ascii="Times New Roman" w:hAnsi="Times New Roman"/>
          <w:color w:val="000000"/>
          <w:sz w:val="20"/>
        </w:rPr>
        <w:t>Consolidated Statements of Changes in Equity</w:t>
      </w:r>
    </w:p>
    <w:p>
      <w:pPr>
        <w:pStyle w:val="TextBody"/>
        <w:bidi w:val="0"/>
        <w:jc w:val="center"/>
        <w:rPr>
          <w:rFonts w:ascii="Times New Roman" w:hAnsi="Times New Roman"/>
          <w:i/>
          <w:color w:val="000000"/>
          <w:sz w:val="20"/>
        </w:rPr>
      </w:pPr>
      <w:r>
        <w:rPr>
          <w:rFonts w:ascii="Times New Roman" w:hAnsi="Times New Roman"/>
          <w:i/>
          <w:color w:val="000000"/>
          <w:sz w:val="20"/>
        </w:rPr>
        <w:t>(Unaudited, in thousands)</w:t>
      </w:r>
    </w:p>
    <w:p>
      <w:pPr>
        <w:pStyle w:val="TextBody"/>
        <w:bidi w:val="0"/>
        <w:jc w:val="left"/>
        <w:rPr/>
      </w:pPr>
      <w:r>
        <w:rPr/>
        <w:t> </w:t>
      </w:r>
    </w:p>
    <w:tbl>
      <w:tblPr>
        <w:tblW w:w="11003" w:type="dxa"/>
        <w:jc w:val="left"/>
        <w:tblInd w:w="0" w:type="dxa"/>
        <w:tblLayout w:type="fixed"/>
        <w:tblCellMar>
          <w:top w:w="28" w:type="dxa"/>
          <w:left w:w="28" w:type="dxa"/>
          <w:bottom w:w="28" w:type="dxa"/>
          <w:right w:w="28" w:type="dxa"/>
        </w:tblCellMar>
      </w:tblPr>
      <w:tblGrid>
        <w:gridCol w:w="1071"/>
        <w:gridCol w:w="146"/>
        <w:gridCol w:w="436"/>
        <w:gridCol w:w="151"/>
        <w:gridCol w:w="146"/>
        <w:gridCol w:w="170"/>
        <w:gridCol w:w="356"/>
        <w:gridCol w:w="151"/>
        <w:gridCol w:w="146"/>
        <w:gridCol w:w="146"/>
        <w:gridCol w:w="436"/>
        <w:gridCol w:w="151"/>
        <w:gridCol w:w="146"/>
        <w:gridCol w:w="170"/>
        <w:gridCol w:w="356"/>
        <w:gridCol w:w="151"/>
        <w:gridCol w:w="146"/>
        <w:gridCol w:w="146"/>
        <w:gridCol w:w="376"/>
        <w:gridCol w:w="146"/>
        <w:gridCol w:w="146"/>
        <w:gridCol w:w="166"/>
        <w:gridCol w:w="481"/>
        <w:gridCol w:w="151"/>
        <w:gridCol w:w="214"/>
        <w:gridCol w:w="642"/>
        <w:gridCol w:w="151"/>
        <w:gridCol w:w="369"/>
        <w:gridCol w:w="547"/>
        <w:gridCol w:w="146"/>
        <w:gridCol w:w="186"/>
        <w:gridCol w:w="610"/>
        <w:gridCol w:w="151"/>
        <w:gridCol w:w="190"/>
        <w:gridCol w:w="501"/>
        <w:gridCol w:w="151"/>
        <w:gridCol w:w="166"/>
        <w:gridCol w:w="496"/>
        <w:gridCol w:w="396"/>
      </w:tblGrid>
      <w:tr>
        <w:trPr/>
        <w:tc>
          <w:tcPr>
            <w:tcW w:w="1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 - Class A</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 - Class B</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 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57,623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58,474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(17,588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636,073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(233,012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39,573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425,162</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5,243</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6,175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Issuance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Exchange of Class B common stock for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Repurchase of common stock for employee tax withholding and strike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Stock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(30,038</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Accrual for excise tax associated with stock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Distributions to non-controlling interests,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Dividends paid per share $0.03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54,583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58,439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(47,622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635,944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(227,991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39,642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400,086</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7,390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6,654</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Issuance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Issuance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Exchange of Class B common stock for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Repurchase of common stock for employee tax withholding and strike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Stock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(12,465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Accrual for excise tax associated with stock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Distributions to non-controlling interests,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Dividends paid per share $0.04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(3,934</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53,471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58,208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(60,085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637,971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(220,998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39,868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396,867</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6,952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Exchange of Class B common stock for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Repurchase of common stock for employee tax withholding and strike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Stock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(6,188</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Accrual for excise tax associated with stock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Distributions to non-controlling interests,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Dividends paid per share $0.04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(3,889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(3,889</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September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53,814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57,408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(66,273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640,204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(219,592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39,644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394,094</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1123" w:type="dxa"/>
        <w:jc w:val="left"/>
        <w:tblInd w:w="0" w:type="dxa"/>
        <w:tblLayout w:type="fixed"/>
        <w:tblCellMar>
          <w:top w:w="28" w:type="dxa"/>
          <w:left w:w="28" w:type="dxa"/>
          <w:bottom w:w="28" w:type="dxa"/>
          <w:right w:w="28" w:type="dxa"/>
        </w:tblCellMar>
      </w:tblPr>
      <w:tblGrid>
        <w:gridCol w:w="1071"/>
        <w:gridCol w:w="146"/>
        <w:gridCol w:w="436"/>
        <w:gridCol w:w="151"/>
        <w:gridCol w:w="146"/>
        <w:gridCol w:w="170"/>
        <w:gridCol w:w="356"/>
        <w:gridCol w:w="151"/>
        <w:gridCol w:w="146"/>
        <w:gridCol w:w="146"/>
        <w:gridCol w:w="436"/>
        <w:gridCol w:w="151"/>
        <w:gridCol w:w="146"/>
        <w:gridCol w:w="170"/>
        <w:gridCol w:w="356"/>
        <w:gridCol w:w="151"/>
        <w:gridCol w:w="146"/>
        <w:gridCol w:w="146"/>
        <w:gridCol w:w="436"/>
        <w:gridCol w:w="146"/>
        <w:gridCol w:w="146"/>
        <w:gridCol w:w="166"/>
        <w:gridCol w:w="541"/>
        <w:gridCol w:w="151"/>
        <w:gridCol w:w="214"/>
        <w:gridCol w:w="642"/>
        <w:gridCol w:w="151"/>
        <w:gridCol w:w="348"/>
        <w:gridCol w:w="568"/>
        <w:gridCol w:w="146"/>
        <w:gridCol w:w="186"/>
        <w:gridCol w:w="610"/>
        <w:gridCol w:w="151"/>
        <w:gridCol w:w="190"/>
        <w:gridCol w:w="501"/>
        <w:gridCol w:w="151"/>
        <w:gridCol w:w="166"/>
        <w:gridCol w:w="496"/>
        <w:gridCol w:w="396"/>
      </w:tblGrid>
      <w:tr>
        <w:trPr/>
        <w:tc>
          <w:tcPr>
            <w:tcW w:w="1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 - Class A</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 - Class B</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 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67,615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43,461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(76,648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637,848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(214,312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39,891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386,890</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4,696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6,565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Issuance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Exchange of Class B common stock for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Repurchase of common stock for employee tax withholding and strike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(4,693</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Stock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(14,971</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Accrual for excise tax associated with stock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Distributions to non-controlling interests,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Dividends paid per share $0.04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(3,868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(3,868</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75,816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34,622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(91,618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635,625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(209,790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39,927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374,255</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4,200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4,180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Issuance of equity consideration related to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19,283</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Issuance of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Exchange of Class B common stock for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Repurchase of common stock for employee tax withholding and strike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Stock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(26,260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Accrual for excise tax associated with stock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Issuance of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9,524</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Distributions to non-controlling interests,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Dividends paid per share $0.04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(4,226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(4,226</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77,841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32,036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(117,875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657,800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(206,407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51,277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388,941</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11,259</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Issuance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Exchange of Class B common stock for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Repurchase of common stock for employee tax withholding and strike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Stock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Accrual for excise tax associated with stock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Distributions to non-controlling interests,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Dividends paid per share $0.04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(4,119</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September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77,915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32,003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(119,125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663,990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(204,262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52,012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396,790</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bookmarkStart w:id="9" w:name="consolidated_statements_of_cash_flows"/>
      <w:bookmarkEnd w:id="9"/>
      <w:r>
        <w:rPr>
          <w:rFonts w:ascii="Times New Roman" w:hAnsi="Times New Roman"/>
          <w:color w:val="000000"/>
          <w:sz w:val="20"/>
        </w:rPr>
        <w:t>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(Unaudited, in thousands)</w:t>
      </w:r>
    </w:p>
    <w:p>
      <w:pPr>
        <w:pStyle w:val="TextBody"/>
        <w:bidi w:val="0"/>
        <w:jc w:val="center"/>
        <w:rPr/>
      </w:pPr>
      <w:r>
        <w:rPr/>
        <w:t> </w:t>
      </w:r>
    </w:p>
    <w:tbl>
      <w:tblPr>
        <w:tblW w:w="8189" w:type="dxa"/>
        <w:jc w:val="left"/>
        <w:tblInd w:w="0" w:type="dxa"/>
        <w:tblLayout w:type="fixed"/>
        <w:tblCellMar>
          <w:top w:w="28" w:type="dxa"/>
          <w:left w:w="28" w:type="dxa"/>
          <w:bottom w:w="28" w:type="dxa"/>
          <w:right w:w="28" w:type="dxa"/>
        </w:tblCellMar>
      </w:tblPr>
      <w:tblGrid>
        <w:gridCol w:w="5201"/>
        <w:gridCol w:w="146"/>
        <w:gridCol w:w="181"/>
        <w:gridCol w:w="556"/>
        <w:gridCol w:w="151"/>
        <w:gridCol w:w="146"/>
        <w:gridCol w:w="181"/>
        <w:gridCol w:w="631"/>
        <w:gridCol w:w="996"/>
      </w:tblGrid>
      <w:tr>
        <w:trPr/>
        <w:tc>
          <w:tcPr>
            <w:tcW w:w="5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Nine Months</w:t>
              <w:br/>
              <w:t>Ended September 30,</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13,966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23,039</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646</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Amortization of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19,312</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Amortization of debt issuance costs and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1,063</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Income from unconsolidated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(668</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Deferred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4,809</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Loss on issuance of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Remeasurement of contra-revenue put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Amortization of contingent payment to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1,235</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Remeasurement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Change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(6,508</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Due from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(16,366</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10,289</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2,828</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9,179</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Accrued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14,681</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(689</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(3,164</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73,258</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Acquisitions,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(40,237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Purchase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Funding of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Proceeds from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Investments in unconsolidated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Distributions from investments in unconsolidated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683</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Software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(3,440</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(3,358</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Borrowings on 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386,805</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Repayments on debt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(356,575</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Repurchase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(48,691</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Repurchase of Class A common stock for employee tax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(3,574</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Payment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(2,565</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(11,597</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of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Distributions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(634</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(1,858</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13,768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(38,689</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Effect of foreign currency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31,211</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CASH EQUIVALENTS AND RESTRICTED CASH, beginning</w:t>
              <w:br/>
              <w:t>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68,115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32,057</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CASH EQUIVALENTS AND RESTRICTED CASH, end of</w:t>
              <w:br/>
              <w:t>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40,823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63,268</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(Unaudited, in thousands)</w:t>
      </w:r>
    </w:p>
    <w:p>
      <w:pPr>
        <w:pStyle w:val="TextBody"/>
        <w:bidi w:val="0"/>
        <w:jc w:val="center"/>
        <w:rPr/>
      </w:pPr>
      <w:r>
        <w:rPr/>
        <w:t> </w:t>
      </w:r>
    </w:p>
    <w:tbl>
      <w:tblPr>
        <w:tblW w:w="6524" w:type="dxa"/>
        <w:jc w:val="left"/>
        <w:tblInd w:w="0" w:type="dxa"/>
        <w:tblLayout w:type="fixed"/>
        <w:tblCellMar>
          <w:top w:w="28" w:type="dxa"/>
          <w:left w:w="28" w:type="dxa"/>
          <w:bottom w:w="28" w:type="dxa"/>
          <w:right w:w="28" w:type="dxa"/>
        </w:tblCellMar>
      </w:tblPr>
      <w:tblGrid>
        <w:gridCol w:w="4111"/>
        <w:gridCol w:w="146"/>
        <w:gridCol w:w="181"/>
        <w:gridCol w:w="511"/>
        <w:gridCol w:w="146"/>
        <w:gridCol w:w="146"/>
        <w:gridCol w:w="181"/>
        <w:gridCol w:w="511"/>
        <w:gridCol w:w="5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Nine Months</w:t>
              <w:br/>
              <w:t>Ended September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15,231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Net 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Additions to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Additions to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Loss on issuance of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RECONCILIATION OF CASH, CASH EQUIVALENTS AND</w:t>
              <w:br/>
              <w: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61,451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40,823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63,268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jc w:val="both"/>
        <w:rPr>
          <w:rFonts w:ascii="Times New Roman" w:hAnsi="Times New Roman"/>
          <w:b/>
          <w:color w:val="000000"/>
          <w:sz w:val="20"/>
        </w:rPr>
      </w:pPr>
      <w:bookmarkStart w:id="10" w:name="notes_to_fs"/>
      <w:bookmarkEnd w:id="10"/>
      <w:r>
        <w:rPr>
          <w:rFonts w:ascii="Times New Roman" w:hAnsi="Times New Roman"/>
          <w:b/>
          <w:color w:val="000000"/>
          <w:sz w:val="20"/>
        </w:rPr>
        <w:t>Note 1. Description of Business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20, 2021, P10 Holdings, Inc. ("P10 Holdings"), in connection with its Initial Public Offering ("IPO"), completed a reorganization and restructure. In connection with the reorganization, P10, Inc. ("P10") became the parent company and all of the existing equity of P10 Holdings, and its consolidated subsidiaries. The offering and reorganization included a reverse stock split of P10 Holdings common stock on a 0.7-for-1 basis pursuant to which every outstanding share of common stock decreased to 0.7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reorganization and IPO, P10 has two classes of common stock, Class A common stock and Class B common stock. Each share of Class B common stock is entitled to ten votes while each share of Class A common stock is entitled to one vote.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P10, Inc. and its consolidated subsidiaries (the "Company")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direct and indirect subsidiaries of the Company include P10 Holdings, P10 Intermediate Holdings, LLC ("P10 Intermediate"), which owns the subsidiaries P10 RCP Holdco, LLC ("Holdco"), Five Points Capital, Inc. ("Five Points"), TrueBridge Capital Partners, LLC ("TrueBridge"), Enhanced Capital Group, LLC ("ECG"), Bonaccord Capital Advisors, LLC ("Bonaccord"), Hark Capital Advisors, LLC ("Hark"), P10 Advisors, LLC ("P10 Advisors"), Western Technology Investment Advisors LLC ("WTI"), and Qualitas Equity Funds SGEIC, S.A. ("Qualitas").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November 19, 2016, P10,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 2017, the Company changed its name from P10 Industries, Inc. to P10 Holdings, Inc. We were founded as a Texas corporation in 1992 and reincorporated in Delaware in 2000. Our headquarters are in Dallas, Texas.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5, 2017, we closed on the acquisition of RCP Advisors 2, LLC ("RCP 2") and entered into a purchase agreement to acquire RCP Advisors 3, LLC ("RCP 3", and collectively with RCP 2, "RCP") in January 2018. On January 3, 2018, we closed on the acquisition of RCP 3. RCP 2 and RCP 3 are registered investment advisors with the United States Securities and Exchange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1, 2020, the Company completed the acquisition of Five Points. Five Points is a leading lower middle market alternative investment manager focused on providing both equity and debt capital to private, growth-oriented companies and limited partner capital to other private equity funds, with all strategies focused exclusively in the U.S. lower middle market. In 2022, Five Points established the Reynolda brand that specializes in direct equity funds. Five Points is a registered investment advisor with the United States Securities and Exchange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14, 2020, the Company completed the acquisition of 100% of the equity interest in ECG, and a noncontrolling interest in Enhanced Capital Partners, LLC ("ECP", and collectively with ECG, "Enhanced"). Enhanced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Effective April 1, 2025, a third party acquired 20% of the equity at Bonaccord. See Note 5 for further details.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2022, the Company formed P10 Advisors, a wholly-owned consolidated subsidiary, to manage investment opportunities that are sourced across the P10 platform but do not fit within an existing investment mandate.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Simultaneously with the acquisition of WTI, the Company completed a restructuring of P10 Intermediate and subsidiaries to LLC entities that are considered disregarded entities for federal income tax purposes. This allowed the WTI sellers to obtain a partnership interest in P10 Intermediate and all of its subsidiaries. As a result of the acquisition, the WTI sellers obtained 3,916,666 membership units of P10 Intermediate, which can be exchanged into 3,916,666 shares of P10 Class A common stock. As of September 30, 2025, no units have been exchanged into shares of P10 Class A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4, 2025, the Company completed the acquisition of Qualitas. Qualitas is a Madrid-based private equity investing platform that provides fund-of-funds, direct co-investing and net asset value ("NAV") financing opportunities in the European lower-middle market to limited partners across the ultra-high-net-worth, family office, and institutional channels.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approved a program to repurchase shares of our Class A and Class B common stock (the "Share Repurchase Program"). As of September 30, 2025 and December 31, 2024, the Board has approved $157.0 million and $92.0 million, respectively, for share repurchase under the Share Repurchase Program. These shares may be repurchased from time to time in the open market at prevailing market prices, in privately negotiated transactions, in block trades, in accordance with Rule 10b5-1 trading plans and/or through other legally permissible means. As of September 30, 2025, $131.0 million has been spent to buy back shares under this program and there is $26.0 million remaining for authorized repurchases under this program. </w:t>
      </w:r>
    </w:p>
    <w:p>
      <w:pPr>
        <w:pStyle w:val="TextBody"/>
        <w:bidi w:val="0"/>
        <w:spacing w:before="360" w:after="283"/>
        <w:jc w:val="left"/>
        <w:rPr>
          <w:rFonts w:ascii="Times New Roman" w:hAnsi="Times New Roman"/>
          <w:sz w:val="20"/>
        </w:rPr>
      </w:pPr>
      <w:r>
        <w:rPr>
          <w:rFonts w:ascii="Times New Roman" w:hAnsi="Times New Roman"/>
          <w:b/>
          <w:color w:val="000000"/>
          <w:sz w:val="20"/>
        </w:rPr>
        <w:t>Note 2.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The results for the three and nine months ended September 30, 2025 are not necessarily indicative of the results to be expected for the full year ended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determining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7 for further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Primarily due to the governance structure at subsidiaries, 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The assets and liabilities of the consolidated VIEs are presented on a gross basis in the Consolidated Balance Sheets. See Note 7 for more information on both consolidated and unconsolidated VIEs.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Entities that do not qualify as VIEs are assessed for consolidation under the voting interest model. Under the voting interest model, the Company consolidates those entities it controls through a majority voting interest or other means.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highly liquid instruments with original maturities of three months or less to be cash equivalents. As of September 30, 2025 and December 31, 2024, $1.6 million and $0, respectively, of cash and cash equivalents held at consolidated funds, which represents cash, that although not legally restricted, is not available to support the general liquidity needs of the Company, as the use of such amounts is generally limited to the activities of the consolidated funds until the consolidated funds' first closing, are included within cash and cash equivalents. As of September 30, 2025, and December 31, 2024, cash equivalents include money market funds of $25.7 million and $41.3 million, respectively, which approximates fair value. The Company maintains its cash balances at various financial institutions among multiple accounts, which may periodically exceed the Federal Deposit Insurance Corporation ("FDIC") insured limits. The Company's credit risk in the event of failure of these financial institutions is represented by the difference between the FDIC limit and the total amounts on deposit. Management monitors the financial institutions' credit worthiness in conjunction with balances on deposit to minimize risk. The Company from time to time may have amounts on deposit in excess of the insured limits.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as of September 30, 2025 and December 31, 2024 was primarily cash on deposit related to certain leases and cash on deposit from third parties related to pending tax credit projects. There are deposit liabilities associated with restricted cash related to the pending tax credit projects reported in other liabilities on the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Accounts Receivable and Due from 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is equal to contractual amounts reduced for allowances, if applicable.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acquisitions of ECG and any supplemental agreements entered into after acquisition, ("Advisory Agreements") where ECG provides advisory services to Enhanced Permanent Capital, LLC ("Enhanced PC") are reflected in due from related parties on the Consolidated Balance Sheets.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Notes receivable is primarily related to contractual amounts owed from signed, secured promissory notes with BCP Partners Holdings, LP ("BCP") as well as certain employees. In addition to contractual amounts, borrowers are obligated to pay interest on outstanding amounts. Refer to Note 6 for further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Current Expected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estimates that accounts receivable, due from related parties and notes receivable are fully collectible; based on actual historical losses, current conditions, and reasonable and supportable forecasts; accordingly, no allowances have been established as of September 30, 2025 and December 31, 2024. If accounts are subsequently determined to be uncollectible they will be expensed in the period that determination is made.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Prepaid Expenses and Other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assets consist primarily of prepaid expenses related to technology, insurance, and professional fees. From time to time, there are also investments in allocable state tax credits on the Consolidated Balance Sheets due to timing differences associated with the purchase and sale of state tax credits in the tax credit finance business. As of September 30, 2025 and December 31, 2024, respectively, there is $12.8 million and $0 within prepaid expenses and other assets on the Consolidated Balance Sheets associated with allocable state tax credits purchases.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Investment in Unconsolidated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discontinues applying the equity method if the investment (and net advances) is reduced to zero and shall not record additional losses unless the Company has guaranteed obligations of the investee or is otherwise committed to provide further financial support for the investee. The Company evaluates its equity method investments for impairment whenever events or changes in circumstances indicate that the carrying amounts of such investments may not be recoverable. The Company accounts for its investment in ECP, Enhanced PC, and the ECG's asset management businesses using the equity method of accounting.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certain entities in which the Company does not have significant influence and fair value is not readily determinable, these investments are not accounted for on the equity method, but instead as equity securities and we value these investments under the measurement alternative. Financial Accounting Standards Board (“FASB”) Accounting Standards Codification (“ASC”) 825, </w:t>
      </w:r>
      <w:r>
        <w:rPr>
          <w:rFonts w:ascii="Times New Roman" w:hAnsi="Times New Roman"/>
          <w:i/>
          <w:color w:val="000000"/>
          <w:sz w:val="20"/>
        </w:rPr>
        <w:t>Financial Instruments</w:t>
      </w:r>
      <w:r>
        <w:rPr>
          <w:rFonts w:ascii="Times New Roman" w:hAnsi="Times New Roman"/>
          <w:color w:val="000000"/>
          <w:sz w:val="20"/>
        </w:rPr>
        <w:t xml:space="preserve">, requires equity securities to be recorded at cost and adjusted to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at each reporting period. However, the guidance allows for a measurement alternative, which is to record the investments at cost, less impairment, if any, and subsequently adjust for observable price changes of identical or similar investments of the same issuer. All other investments in unconsolidated subsidiaries are accounted for under the measurement alternative.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including furniture and fixtures, computer and purchased software, leasehold improvements, and internal-use software,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Direct costs associated with developing, purchasing or otherwise acquiring software for internal use are capitalized and amortized on a straight-line basis over the expected useful life of the software, beginning when the software is ready for its intended purpose.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pStyle w:val="TextBody"/>
        <w:bidi w:val="0"/>
        <w:jc w:val="left"/>
        <w:rPr/>
      </w:pPr>
      <w:r>
        <w:rPr/>
        <w:t> </w:t>
      </w:r>
    </w:p>
    <w:tbl>
      <w:tblPr>
        <w:tblW w:w="4460" w:type="dxa"/>
        <w:jc w:val="left"/>
        <w:tblInd w:w="0" w:type="dxa"/>
        <w:tblLayout w:type="fixed"/>
        <w:tblCellMar>
          <w:top w:w="28" w:type="dxa"/>
          <w:left w:w="28" w:type="dxa"/>
          <w:bottom w:w="28" w:type="dxa"/>
          <w:right w:w="28" w:type="dxa"/>
        </w:tblCellMar>
      </w:tblPr>
      <w:tblGrid>
        <w:gridCol w:w="2941"/>
        <w:gridCol w:w="146"/>
        <w:gridCol w:w="146"/>
        <w:gridCol w:w="146"/>
        <w:gridCol w:w="108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purchased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3 - 5 years</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7 - 10 years</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Long-lived Assets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Long-lived assets including property and equipment, lease right-of-use assets, and definite lived intangibles are evaluated for impairment under FASB ASC 360, </w:t>
      </w:r>
      <w:r>
        <w:rPr>
          <w:rFonts w:ascii="Times New Roman" w:hAnsi="Times New Roman"/>
          <w:i/>
          <w:color w:val="000000"/>
          <w:sz w:val="20"/>
        </w:rPr>
        <w:t>Property, Plant, and Equipment</w:t>
      </w:r>
      <w:r>
        <w:rPr>
          <w:rFonts w:ascii="Times New Roman" w:hAnsi="Times New Roman"/>
          <w:color w:val="000000"/>
          <w:sz w:val="20"/>
        </w:rPr>
        <w:t xml:space="preserve">. Long-lived assets are reviewed for possible impairment whenever events or changes in circumstances indicate that the carrying amount may not be recoverable. The carrying values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which is when the Company obtains control of the asset,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and the Company would account for this when it is reasonably certain that the Company will exercise those options. Lease expense is recognized on a straight-line basis over the lease term. Additionally, upon amendments or other events, the Company may be required to remeasure our lease liability and right-of-use asset.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does not recognize a lease liability or right-of-use asset on our Consolidated Balance Sheets for short-term leases. Instead, the Company recognizes short-term lease payments as an expense when incurred.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Revenue Share and Repurchase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accrued contingent liabilities and contingent payments to customers assets in our Consolidated Balance Sheets for an agreement between ECG and various third parties. The agreement requires ECG to share in certain revenues earned with the third parties and also includes an option for the third parties to sell back the revenue share to ECG at a set multiple. Additionally, ECG holds the option to buy back 50% of the revenue share at a set multiple. The Company believes it is probable that the remaining third parties will exercise their option to sell back the revenue share and has recognized a liability on the Consolidated Balance Sheets. The Company has also recognized a contingent payment to customers associated with the agreement and will amortize the asset against revenue over the contractual term of the management contract. The amortization is reported in management and advisory fees on the Consolidated Statements of Operations. On December 23, 2024, the Company became a guarantor for a related party on a related put option and call option with the same third party customers and terms. The Company would be required to settle either the put or call options if either are exercised and the related party does not have the means to settle themselves. The Company's accrued contingent liabilities are recognized once determined that it is probable the Company would need to settle as guarantor and estimable and would record a loss at the same time. The Company will reassess at each reporting period. Refer to Note 14 for further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Goodwill and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is initially measured as the excess of the cost of the acquired business over the sum of the amounts assigned to identifiable assets acquired, less the liabilities assumed. As of September 30, 2025, goodwill recorded on our Consolidated Balance Sheets relates to prior acquisitions. As of September 30, 2025, the intangible assets are comprised of indefinite-lived intangible assets and finite-lived intangible assets related to prior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generally amortized over 10 years, and for certain assets over 20 years when the trade name is expected to introduce new investor bases or broader access to a geographic region. This in line with the pattern in which the economic benefits are expected to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Goodwill and indefinite lived intangibles are reviewed for impairment at least annually as of September 30 utilizing a qualitative or quantitative approach and more frequently if circumstances indicate impairment may have occurred. The impairment testing for goodwill and indefinite lived intangibles under the qualitative approach is based first on a qualitative assessment to determine if it is more likely than not that the fair value of the Company’s reporting unit or asset is less than the respective carrying value. The reporting unit is the reporting level for testing the impairment of goodwill and indefinite lived intangibles. If it is determined that it is more likely than not that an asset's or reporting unit’s fair value is less than its carrying value, then the Company will determine the fair value of the reporting unit or asset and record an impairment charge for the difference between fair value and carrying value (not to exceed the carrying amount of goodwill or indefinite lived intangible).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Contingent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Contingent consideration is initially measured at fair value on the date of the acquisition. The liabilities are remeasured at fair value on each reporting date, with changes in the fair value reflected in operating expenses on our Consolidated Statements of Operations. As of September 30, 2025 and December 31, 2024, the contingent consideration on the Consolidated Balance Sheets is related to the acquisition of Qualitas and the acquisition of Bonaccord,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Accrued Compensation and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compensation and benefits consists of employee salaries, bonuses, management profit shares, benefits, severance, and acquisition-related earnouts (contingent on employment) that has not yet been paid. Refer to Note 14 for further information.</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Debt 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Noncontrolling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Noncontrolling interests ("NCI") reflect the portion of income or loss and the corresponding equity attributable to third-party equity holders that are not 100% owned by the Company. Noncontrolling interests is presented as a separate component in our Consolidated Balance Sheets to clearly distinguish between our interests and the economic interests of third parties in those entities. Net income attributable to P10, as reported in the Consolidated Statements of Operations, is presented net of the portion of net income attributable to holders of non-controlling interest. NCI is allocated a share of income or loss in the respective consolidated subsidiaries in proportion to their relative ownership interest.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Treasury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common stock purchased for treasury at cost. At the date of subsequent reissuance, the treasury stock account is reduced by the cost of such stock using the average cost method.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Foreign Currency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and substantially all of its subsidiaries utilize the U.S. dollar as their functional currency. The assets and liabilities of the Company’s foreign subsidiaries with non-U.S. dollar functional currencies are translated at exchange rates prevailing at the end of each reporting period. The results of foreign operations are translated using the exchange rate on the respective transaction dates. The resulting translation adjustments are included as a separate component of equity on the Consolidated Balance Sheets and on the Consolidated Statements of Comprehensive Income until realized. Foreign currency transaction gains and losses are included in general, administrative and other expenses in the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and December 31, 2024, we used the following valuation techniques to measure fair value for assets and there were no changes to these methodologies during the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1—Assets were valued using the closing price reported in the active market in which the individual security was traded.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2—Assets were valued using quoted prices in markets that are not active, broker dealer quotations, and other methods by which all significant inputs were observable at the measurement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3—Assets were valued using unobservable inputs in which little or no market data exists as reported by the respective institutions at the measurement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values of financial instruments comprising cash and cash equivalents, restricted cash, prepaid assets, accounts payable, accounts receivable, and due from related parties receivables excluding the receivables from the Advisory Agreements approximate fair values due to the short-term maturities of these instruments.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estimates the fair value of the credit facility using Level 2 inputs. The Company discounts the future cash flows using current interest rates which the Company could obtain similar borrowings.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derivative assets and liabilities consist principally of interest rate collars, which are carried at fair value based on Level 2 inputs. Derivatives entered into by the Company are typically executed over-the-counter and are valued using discounted cash flows along with Black-Scholes option valuation models, where applicable, that primarily use market observable inputs. These models take into account a variety of factors including, where applicable, maturity, interest rate yield curves, and counterparty credit risks. See Note 11 for additional information.</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estimates the fair value of the due from related parties associated with the Advisory Agreements based on the current expectation of payments. If the payments are not expected to be made on a short-term basis, the fair value is estimated using Level 3 inputs and a discounted cash flow model. See Note 13 for further details on the Advisory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a contingent consideration liability related to the acquisition of Bonaccord that was measured at fair value using Level 3 inputs and a discounted cash flow model. The contingent consideration was considered fully earned and was paid on January 24, 2025. As of December 31, 2024, the value was carried at the full balance of unpaid contingent consideration and is no longer subject to fair value measurements. As of September 30, 2025, the Company has a contingent consideration liability related to the acquisition of Qualitas that is measured at fair value using Level 3 inputs and a discounted cash flow model. See Note 11 for additional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Derivative Instruments and Hedging Activities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is exposed to interest rate risk on our variable rate borrowings. To manage exposure to changes in interest rates, the Company uses derivative instruments, including interest rate collars, which limit exposure to rising rates while allowing partial participation in lower rates. The accounting for changes in the value of derivatives depends on whether the derivative has been designated and qualifies for hedge accounting in accordance with ASC 815, </w:t>
      </w:r>
      <w:r>
        <w:rPr>
          <w:rFonts w:ascii="Times New Roman" w:hAnsi="Times New Roman"/>
          <w:i/>
          <w:color w:val="000000"/>
          <w:sz w:val="20"/>
        </w:rPr>
        <w:t xml:space="preserve">Derivatives and Hedging </w:t>
      </w:r>
      <w:r>
        <w:rPr>
          <w:rFonts w:ascii="Times New Roman" w:hAnsi="Times New Roman"/>
          <w:color w:val="000000"/>
          <w:sz w:val="20"/>
        </w:rPr>
        <w:t>("ASC 815"). Derivatives that are not designated as hedges are recorded at fair value with changes recognized in net income on the Consolidated Statements of Operations.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 applies cash flow hedge accounting to its interest rate collar agreements. To qualify for hedge accounting treatment, a derivative must be highly effective in offsetting changes in the expected future cash flows of the hedged item attributable to the hedged risk. Documentation of the hedging relationship, risk management objectives, and the method for assessing hedge effectiveness is completed at hedge inception and updated on an ongoing basis.</w:t>
      </w:r>
    </w:p>
    <w:p>
      <w:pPr>
        <w:pStyle w:val="TextBody"/>
        <w:bidi w:val="0"/>
        <w:spacing w:before="240" w:after="283"/>
        <w:jc w:val="left"/>
        <w:rPr>
          <w:rFonts w:ascii="Times New Roman" w:hAnsi="Times New Roman"/>
          <w:sz w:val="20"/>
        </w:rPr>
      </w:pPr>
      <w:r>
        <w:rPr>
          <w:rFonts w:ascii="Times New Roman" w:hAnsi="Times New Roman"/>
          <w:b/>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is recognized when, or as, the Company transfers promised goods or services to customers in an amount that reflects the consideration to which the Company expects to be entitled to in exchange for those goods or services. While the determination of who the customer is in a contractual arrangement will be made on a contract-by-contract basis, the customer will generally be the investment fund or the limited partners for the Company’s significant management and advisory contracts.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Management and Advisory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 not being satisfied at the time of collection.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and advisory services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a right to invoice.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advisory services include transaction and management fees associated with managing the origination and ongoing compliance of certain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1-10 years as services are provided to the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Catch-up fees are earned from investors that make commitments to a previously launched fund after the first fund closing occurs, but during the fundraising period. Contractual terms require the investors to pay a catch-up fee as if they had committed to the fund at the first closing. Catch-up fees are recorded as revenue when such commitments are made as variable consideration.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revenue on our Consolidated Statements of Operations primarily consists of subscriptions, consulting agreements, interest income, and referral fees. Interest income is from interest bearing fund bank accounts managed by the Company and is consideration per the Limited Partner Agreements. Interest income is recognized as it is earned. The subscription and consulting agreements typically have renewable one-year lives, and revenue is recognized ratably over the current term of the subscription or the agreement. If subscriptions or fees have been paid in advance, these fees are recorded as deferred revenues on our Consolidated Balance Sheets. Referral fee revenue is recognized upon closing of certain opportunities.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Current income tax expense represents our estimated taxes to be paid or refunded for the current period. In accordance with ASC 740, </w:t>
      </w:r>
      <w:r>
        <w:rPr>
          <w:rFonts w:ascii="Times New Roman" w:hAnsi="Times New Roman"/>
          <w:i/>
          <w:color w:val="000000"/>
          <w:sz w:val="20"/>
        </w:rPr>
        <w:t xml:space="preserve">Income Taxes </w:t>
      </w:r>
      <w:r>
        <w:rPr>
          <w:rFonts w:ascii="Times New Roman" w:hAnsi="Times New Roman"/>
          <w:color w:val="000000"/>
          <w:sz w:val="20"/>
        </w:rPr>
        <w:t>("ASC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file various federal, state, and local tax returns based on federal, state, and local consolidation and stand-alone tax rules as applicable.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earnings per share (“EPS”) is calculated by dividing net income attributable to common stockholders by the weighted-average number of common shares. Diluted EPS includes the determinants of basic EPS and common stock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equivalents outstanding during the period adjusted to give effect to potentially dilutive securities, if the Company is in a net income position. Because the impact of these items is generally anti-dilutive during periods of net loss, there is no difference between basic and diluted loss per common share for periods with net losses. See Note 17 for additional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the Company is in a net income position, 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as well as the vesting of restricted stock units or vesting upon the termination of an acquisition holdback period. Also included in the diluted EPS denominator are the units of P10 Intermediate owned by the sellers of WTI, assuming the option to exchange the units for shares of Class A common stock of the Company is exercised in full. Under the treasury stock method, the unexercised options are assumed to be exercised at the beginning of the period or at issuance, if later. The assumed proceeds are then used to purchase shares of common stock at the average market price during the period.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a service period or both a service condition and a performance condition that is likely to be met is recorded ratably over the vesting period at the fair market value on the grant date. For awards with graded-vesting, and vesting only requires a service condition, the Company elected, in accordance with ASC 718, </w:t>
      </w:r>
      <w:r>
        <w:rPr>
          <w:rFonts w:ascii="Times New Roman" w:hAnsi="Times New Roman"/>
          <w:i/>
          <w:color w:val="000000"/>
          <w:sz w:val="20"/>
        </w:rPr>
        <w:t xml:space="preserve">Compensation - Stock Compensation </w:t>
      </w:r>
      <w:r>
        <w:rPr>
          <w:rFonts w:ascii="Times New Roman" w:hAnsi="Times New Roman"/>
          <w:color w:val="000000"/>
          <w:sz w:val="20"/>
        </w:rPr>
        <w:t xml:space="preserve">("ASC 718"), to treat these awards as single awards for recognition purposes and recognize compensation on a straight-line basis over the requisite service period of the entire award. For awards with graded vesting and require a market condition to vest, the Company treats each expected vesting tranche as an individual award and recognizes expense ratably over the vesting period at the fair market value on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a liability or equity, in accordance with GAAP, on the Consolidated Balance Sheets. Forfeitures are recognized as they occur. Refer to Note 16 for further discussion.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According to ASC 280, </w:t>
      </w:r>
      <w:r>
        <w:rPr>
          <w:rFonts w:ascii="Times New Roman" w:hAnsi="Times New Roman"/>
          <w:i/>
          <w:color w:val="000000"/>
          <w:sz w:val="20"/>
        </w:rPr>
        <w:t>Segment Reporting</w:t>
      </w:r>
      <w:r>
        <w:rPr>
          <w:rFonts w:ascii="Times New Roman" w:hAnsi="Times New Roman"/>
          <w:color w:val="000000"/>
          <w:sz w:val="20"/>
        </w:rPr>
        <w:t>, operating segments are defined as components of a company that engage in business activities from which they may earn revenues and incur expenses, and for which discrete financial information is available and is evaluated regularly by the chief operating decision maker ("CODM") in deciding how to allocate resources and in assessing performance. The Company operates our business as a single operating segment, which is how our CODM evaluates financial performance and makes decisions regarding the allocation of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CODM, who is responsible for allocating resources and assessing performance of the reportable segment, has been identified as the Chief Executive Officer. The CODM assesses performance for the single segment and decides how to allocate resources based on consolidated net income that also is reported on the Consolidated Statements of Operations as net income. The measure of segment assets is reported on the Consolidated Balance Sheets as total assets. The CODM uses these metrics for purposes of making operating decisions and assessing financial performance. The CODM considers forecast to actual variances when making decisions about allocation capital and personnel.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Acquisitions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ASC 805, </w:t>
      </w:r>
      <w:r>
        <w:rPr>
          <w:rFonts w:ascii="Times New Roman" w:hAnsi="Times New Roman"/>
          <w:i/>
          <w:color w:val="000000"/>
          <w:sz w:val="20"/>
        </w:rPr>
        <w:t>Business Combinations</w:t>
      </w:r>
      <w:r>
        <w:rPr>
          <w:rFonts w:ascii="Times New Roman" w:hAnsi="Times New Roman"/>
          <w:color w:val="000000"/>
          <w:sz w:val="20"/>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accumulation model, the cost of the acquisition, including certain transaction costs, is allocated to the assets acquired on the basis of relative fair values.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and tax assets and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business acquisitions, the Company recognizes the fair value of goodwill and other acquired intangible assets, and estimated contingent consideration at the acquisition date as part of purchase price. These non-recurring fair value measurements are based on unobservable (Level 3) inputs.</w:t>
      </w:r>
    </w:p>
    <w:p>
      <w:pPr>
        <w:pStyle w:val="TextBody"/>
        <w:bidi w:val="0"/>
        <w:spacing w:before="360" w:after="283"/>
        <w:jc w:val="both"/>
        <w:rPr>
          <w:rFonts w:ascii="Times New Roman" w:hAnsi="Times New Roman"/>
          <w:sz w:val="20"/>
        </w:rPr>
      </w:pPr>
      <w:r>
        <w:rPr>
          <w:rFonts w:ascii="Times New Roman" w:hAnsi="Times New Roman"/>
          <w:b/>
          <w:color w:val="000000"/>
          <w:sz w:val="20"/>
        </w:rPr>
        <w:t>Dividends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Dividends are reflected in the consolidated financial statements when declared.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Pronouncements Recently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Effective January 1, 2024, the Company adopted ASU 2024-01, </w:t>
      </w:r>
      <w:r>
        <w:rPr>
          <w:rFonts w:ascii="Times New Roman" w:hAnsi="Times New Roman"/>
          <w:i/>
          <w:color w:val="000000"/>
          <w:sz w:val="20"/>
        </w:rPr>
        <w:t xml:space="preserve">Compensation - Stock Compensation (Topic 718) - Scope Application of Profits Interest and Similar Awards </w:t>
      </w:r>
      <w:r>
        <w:rPr>
          <w:rFonts w:ascii="Times New Roman" w:hAnsi="Times New Roman"/>
          <w:color w:val="000000"/>
          <w:sz w:val="20"/>
        </w:rPr>
        <w:t xml:space="preserve">("ASU 2024-01"), which is intended to reduce the complexity in determining whether a profits interest award is subject to Topic 718. The adoption of the update did not have an impact on the Company's consolidated financial statements.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Effective January 1, 2024, the Company adopted ASU 2023-07, </w:t>
      </w:r>
      <w:r>
        <w:rPr>
          <w:rFonts w:ascii="Times New Roman" w:hAnsi="Times New Roman"/>
          <w:i/>
          <w:color w:val="000000"/>
          <w:sz w:val="20"/>
        </w:rPr>
        <w:t>Improvements to Reportable Segment Disclosure</w:t>
      </w:r>
      <w:r>
        <w:rPr>
          <w:rFonts w:ascii="Times New Roman" w:hAnsi="Times New Roman"/>
          <w:color w:val="000000"/>
          <w:sz w:val="20"/>
        </w:rPr>
        <w:t xml:space="preserve"> ("ASU 2023-07"), which requires incremental disclosures related to a public entity's reportable segments. Required disclosures include, on an annual and interim basis, significant segment expenses that are regularly provided to the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The Company included the additional required disclosures above in the consolidated financial statements. Refer to Note 18.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December 14, 2023, the FASB issued ASU 2023-09, </w:t>
      </w:r>
      <w:r>
        <w:rPr>
          <w:rFonts w:ascii="Times New Roman" w:hAnsi="Times New Roman"/>
          <w:i/>
          <w:color w:val="000000"/>
          <w:sz w:val="20"/>
        </w:rPr>
        <w:t xml:space="preserve">Improvements to Income Tax Disclosures </w:t>
      </w:r>
      <w:r>
        <w:rPr>
          <w:rFonts w:ascii="Times New Roman" w:hAnsi="Times New Roman"/>
          <w:color w:val="000000"/>
          <w:sz w:val="20"/>
        </w:rPr>
        <w:t xml:space="preserve">("ASU 2023-09"), to expand the disclosure requirements for income taxes, specifically related to the rate reconciliation and income taxes paid. ASU 2023-09 is effective for our annual periods beginning January 1, 2025. The Company plans to include expanded disclosures beginning with its annual report on Form 10-K for the year ending December 31, 2025.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November 4, 2024, the FASB issued ASU 2024-03, </w:t>
      </w:r>
      <w:r>
        <w:rPr>
          <w:rFonts w:ascii="Times New Roman" w:hAnsi="Times New Roman"/>
          <w:i/>
          <w:color w:val="000000"/>
          <w:sz w:val="20"/>
        </w:rPr>
        <w:t xml:space="preserve">Income Statement - Reporting Comprehensive Income - Expense Disaggregation Disclosures </w:t>
      </w:r>
      <w:r>
        <w:rPr>
          <w:rFonts w:ascii="Times New Roman" w:hAnsi="Times New Roman"/>
          <w:color w:val="000000"/>
          <w:sz w:val="20"/>
        </w:rPr>
        <w:t xml:space="preserve">("ASU 2024-03"), which requires additional disclosure of the nature of expenses included in the Consolidated Statements of Operations. The standard requires disclosures about specific types of expenses included in the expense captions presented on the face of the Consolidated Statements of Operations as well as disclosures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about selling expenses. ASU 2024-03 is effective for our fiscal year beginning on January 1, 2027, and interim periods beginning on January 1, 2028. Entities should apply the guidance prospectively although retrospective application is permitted. The Company is evaluating the effects of these amendments on our financial reporting.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September 18, 2025, the FASB issued ASU 2025-06, </w:t>
      </w:r>
      <w:r>
        <w:rPr>
          <w:rFonts w:ascii="Times New Roman" w:hAnsi="Times New Roman"/>
          <w:i/>
          <w:color w:val="000000"/>
          <w:sz w:val="20"/>
        </w:rPr>
        <w:t xml:space="preserve">Targeted Improvements to the Accounting for Internal-Use Software </w:t>
      </w:r>
      <w:r>
        <w:rPr>
          <w:rFonts w:ascii="Times New Roman" w:hAnsi="Times New Roman"/>
          <w:color w:val="000000"/>
          <w:sz w:val="20"/>
        </w:rPr>
        <w:t xml:space="preserve">("ASU 2025-06"), which removed all references to project stages throughout Subtopic 350-40. This standard requires entities to start capitalizing software costs when both management has authorized and committed to funding the software project, and it is probable that the project will be completed and the software will be used. ASU 2025-06 is effective for our fiscal year beginning on January 1, 2028. The Company is evaluating the effects of these amendments on our financial reporting.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May 12, 2025, the FASB issued ASU 2025-03, </w:t>
      </w:r>
      <w:r>
        <w:rPr>
          <w:rFonts w:ascii="Times New Roman" w:hAnsi="Times New Roman"/>
          <w:i/>
          <w:color w:val="000000"/>
          <w:sz w:val="20"/>
        </w:rPr>
        <w:t xml:space="preserve">Determining the Accounting Acquirer in the Acquisition of a VIE </w:t>
      </w:r>
      <w:r>
        <w:rPr>
          <w:rFonts w:ascii="Times New Roman" w:hAnsi="Times New Roman"/>
          <w:color w:val="000000"/>
          <w:sz w:val="20"/>
        </w:rPr>
        <w:t xml:space="preserve">("ASU 2025-03"), which replaces the requirement that the primary beneficiary always is the acquirer in an acquisition transaction of a VIE with language to require the entities to determine the accounting acquirer through consideration of the factors listed in ASC 805-10-55-12 through 55-15. ASU 2025-03 is effective for our fiscal year beginning on January 1, 2026. The Company is evaluating the effects of these amendments on our financial reporting.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3. Acquisitions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Qualitas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4, 2025, the Company completed the Qualitas purchase for total consideration of $73.8 million. The acquisition was accounted for as a business combination under the acquisition method of accounting pursuant to ASC 805. Qualitas is a Madrid-based private equity investing platform that provides fund-of-funds, direct co-investing and NAV financing opportunities in the European lower-middle market to limited partners across the ultra-high-net-worth, family office, and institutional channels. The provisional fair value consisted of $24.4 million in net assets and $49.4 million in goodwill.</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is a summary of consideration paid:</w:t>
      </w:r>
    </w:p>
    <w:tbl>
      <w:tblPr>
        <w:tblW w:w="4750" w:type="dxa"/>
        <w:jc w:val="left"/>
        <w:tblInd w:w="0" w:type="dxa"/>
        <w:tblLayout w:type="fixed"/>
        <w:tblCellMar>
          <w:top w:w="28" w:type="dxa"/>
          <w:left w:w="28" w:type="dxa"/>
          <w:bottom w:w="28" w:type="dxa"/>
          <w:right w:w="28" w:type="dxa"/>
        </w:tblCellMar>
      </w:tblPr>
      <w:tblGrid>
        <w:gridCol w:w="3226"/>
        <w:gridCol w:w="246"/>
        <w:gridCol w:w="211"/>
        <w:gridCol w:w="676"/>
        <w:gridCol w:w="391"/>
      </w:tblGrid>
      <w:tr>
        <w:trPr/>
        <w:tc>
          <w:tcPr>
            <w:tcW w:w="32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equity consideration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contingent consideration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purchase consideration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fair value of the contingent consideration was calculated using a Monte Carlo simulation based on future net revenue projections of Qualitas, acquisition specific terms and conditions, and a risk adjusted discount rate. The determined risk adjusted discount rate for the contingent consideration of 12.8% is a significant unobservable input.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acquisition date fair value of certain assets and liabilities, including intangible assets acquired and related weighted average expected lives are provisional and subject to revision within one year of the acquisition date. As such, our estimates of fair value are pending finalization,which may result in adjustments to goodwill.</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presents the provisional fair value of the net assets acquired as of the acquisition date:</w:t>
      </w:r>
    </w:p>
    <w:tbl>
      <w:tblPr>
        <w:tblW w:w="5300" w:type="dxa"/>
        <w:jc w:val="left"/>
        <w:tblInd w:w="0" w:type="dxa"/>
        <w:tblLayout w:type="fixed"/>
        <w:tblCellMar>
          <w:top w:w="28" w:type="dxa"/>
          <w:left w:w="28" w:type="dxa"/>
          <w:bottom w:w="28" w:type="dxa"/>
          <w:right w:w="28" w:type="dxa"/>
        </w:tblCellMar>
      </w:tblPr>
      <w:tblGrid>
        <w:gridCol w:w="3476"/>
        <w:gridCol w:w="346"/>
        <w:gridCol w:w="211"/>
        <w:gridCol w:w="676"/>
        <w:gridCol w:w="591"/>
      </w:tblGrid>
      <w:tr>
        <w:trPr/>
        <w:tc>
          <w:tcPr>
            <w:tcW w:w="34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Due from related parties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acquired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 and accrued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Compensation and benefits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assumed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identifiable assets acquired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assets acquired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provisional fair value of the identifiable intangible assets was calculated using a discounted cash flow model based on a risk adjusted discount rate. The determined risk adjusted discount rates for the identifiable intangible assets ranged from 15.5% to 17%. The determined risk adjusted discount rates were a significant unobservable input. The following table presents the fair value of the identifiable intangible assets acquired:</w:t>
      </w:r>
    </w:p>
    <w:tbl>
      <w:tblPr>
        <w:tblW w:w="7918" w:type="dxa"/>
        <w:jc w:val="left"/>
        <w:tblInd w:w="0" w:type="dxa"/>
        <w:tblLayout w:type="fixed"/>
        <w:tblCellMar>
          <w:top w:w="28" w:type="dxa"/>
          <w:left w:w="28" w:type="dxa"/>
          <w:bottom w:w="28" w:type="dxa"/>
          <w:right w:w="28" w:type="dxa"/>
        </w:tblCellMar>
      </w:tblPr>
      <w:tblGrid>
        <w:gridCol w:w="4621"/>
        <w:gridCol w:w="246"/>
        <w:gridCol w:w="211"/>
        <w:gridCol w:w="676"/>
        <w:gridCol w:w="346"/>
        <w:gridCol w:w="346"/>
        <w:gridCol w:w="340"/>
        <w:gridCol w:w="741"/>
        <w:gridCol w:w="391"/>
      </w:tblGrid>
      <w:tr>
        <w:trPr/>
        <w:tc>
          <w:tcPr>
            <w:tcW w:w="46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management and advisory contracts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direct investors and intermediary relationships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trade name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technology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identifiable intangible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goodwill recorded as part of the acquisition includes the expected benefits that management believes will result from the acquisition, including the Company's build out of its investment product offering.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4.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presents revenues disaggregated by nature:</w:t>
      </w:r>
    </w:p>
    <w:p>
      <w:pPr>
        <w:pStyle w:val="TextBody"/>
        <w:bidi w:val="0"/>
        <w:jc w:val="both"/>
        <w:rPr/>
      </w:pPr>
      <w:r>
        <w:rPr/>
        <w:t> </w:t>
      </w:r>
    </w:p>
    <w:tbl>
      <w:tblPr>
        <w:tblW w:w="6717" w:type="dxa"/>
        <w:jc w:val="left"/>
        <w:tblInd w:w="0" w:type="dxa"/>
        <w:tblLayout w:type="fixed"/>
        <w:tblCellMar>
          <w:top w:w="28" w:type="dxa"/>
          <w:left w:w="28" w:type="dxa"/>
          <w:bottom w:w="28" w:type="dxa"/>
          <w:right w:w="28" w:type="dxa"/>
        </w:tblCellMar>
      </w:tblPr>
      <w:tblGrid>
        <w:gridCol w:w="1546"/>
        <w:gridCol w:w="146"/>
        <w:gridCol w:w="211"/>
        <w:gridCol w:w="676"/>
        <w:gridCol w:w="146"/>
        <w:gridCol w:w="146"/>
        <w:gridCol w:w="211"/>
        <w:gridCol w:w="676"/>
        <w:gridCol w:w="146"/>
        <w:gridCol w:w="146"/>
        <w:gridCol w:w="211"/>
        <w:gridCol w:w="781"/>
        <w:gridCol w:w="146"/>
        <w:gridCol w:w="146"/>
        <w:gridCol w:w="211"/>
        <w:gridCol w:w="781"/>
        <w:gridCol w:w="3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Advisory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Contract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contract liabilities represent deferred revenue. We record contract liabilities when cash payments are received in advance of our performance. We recognized $0.1 million and $11.8 million of revenue for the three and nine months ended September 30, 2025, respectively, that was included in the contract liabilities balance as of December 31, 2024.</w:t>
      </w:r>
    </w:p>
    <w:p>
      <w:pPr>
        <w:pStyle w:val="TextBody"/>
        <w:bidi w:val="0"/>
        <w:spacing w:before="360" w:after="283"/>
        <w:jc w:val="both"/>
        <w:rPr>
          <w:rFonts w:ascii="Times New Roman" w:hAnsi="Times New Roman"/>
          <w:sz w:val="20"/>
        </w:rPr>
      </w:pPr>
      <w:r>
        <w:rPr>
          <w:rFonts w:ascii="Times New Roman" w:hAnsi="Times New Roman"/>
          <w:b/>
          <w:color w:val="000000"/>
          <w:sz w:val="20"/>
        </w:rPr>
        <w:t>Note 5. Strategic Alliance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Bonaccord acquisition, Bonaccord entered into a Strategic Alliance Agreement ("SAA") with a third-party investor. This SAA provides the third-party the right to receive 15% of the net management fee earnings, which includes the management fees minus applicable expenses, for Bonaccord Fund I and subsequent funds, paid quarterly, in exchange for funding certain amounts of capital commitments to the fund. Net management fee earnings the third-party has the right to receive is based on the total capital committed. For the three and nine months ended September 30, 2025, the strategic alliance expense reported was $0 and $0.7 million, respectively. For the three and nine months ended September 30, 2024, the strategic alliance expense reported was $0.6 million and $2.2 million, respectively. This is reported on the Consolidated Statements of Operations as strategic alliance expense in operating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After the final closing of Bonaccord Fund II ("Fund II"), the third-party had the opportunity to acquire, at the price at the time of the original acquisition, equity interests in Bonaccord based on the amount of commitment made. For each $5.0 million, up to a maximum of $250.0 million in irrevocable capital commitments to Fund II, the third-party could acquire 10 basis points up to a maximum of 5% equity in Bonaccord. The third party would be entitled to receive distributions of net management fee earnings by the percentage acquired, retroactive to the date of the first close in Fund II. The maximum commitment requirement has been met and Fund II reached the final close on December 24, 2024. Effective April 1, 2025, the third-party exercised their option to acquire equity in Bonaccord which entitled them to receive the distributions of net management fee earnings by the the maximum 5% percentage acquired.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Simultaneously with the third-party exercising their option to acquire equity in Bonaccord, the Company and the third party entered into an agreement whereby the 15% of the net management fee earnings was converted into a 15% equity interest in Bonaccord. As a result of these transactions, the third-party now has a total of 20% equity interest in Bonaccord. The new agreement allows for quarterly cash distributions to the third party equal to 20% net management fee earnings, with all other distributions being provided to the Company. The portion of income or loss and the corresponding equity attributable to third-party equity holder is recognized in non-controlling interest on the consolidated financial statements. The Company recognized $0 and $6.5 million loss on the conversion of the right to receive 15% of net management fee earnings to a 15% equity interest in Bonaccord for the three and nine months ended September 30, 2025, which is included in other income/(loss) on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same third-party also has the option to purchase equity in Bonaccord under similar terms for Bonaccord Fund III ("Fund III"), except for every $5 million committed, up to a maximum of $250.0 million in irrevocable capital commitments to Fund III, the third party can purchase 9.8 basis points, up to a maximum of 4.9%. This maximum commitment has been met as of September 30, 2025. Fund III has not yet reached the final close, but the Company believes it is probable that the third-party will exercise the option to acquire equity in Bonaccord. If exercised, the purchase price shall be reduced by the amount of management fee distributions which the third-party would have been paid as of the initial closing of Fund III. For funds subsequent to Fund III, the third-party has continual commitment conditions. If these commitment conditions are not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satisfied, then within 60 days of the final closing of such subsequent fund, the Company may elect to repurchase the equity granted to the third-party from exercising their options related to Fund II and Fund III. The repurchase shall be at the fair market value of such equity at that point in time.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6. Notes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three significant types of notes receivable. The first is an Advance Agreement and Secured Promissory Note that was executed on September 30, 2021 between the Company and BCP to lend funds to certain employees to be used to pay general partner commitments to certain funds managed by Bonaccord. This agreement provides for a note to BCP for $5.0 million. The note will earn interest at the greater of (i) the applicable federal rate that must be charged to avoid imputation of interest under Section 1274(d) of the U.S. Internal Revenue Code and (ii) 5.5%. The stated interest rate is the effective rate. Interest will be paid on December 31st of each year commencing December 31, 2021, with any unpaid accrued interest being capitalized and added to the outstanding principal balance. Principal payments will be made periodically from mandatorily required payments from available cash flows at BCP. As of September 30, 2025, the balance outstanding is $5.0 million, which includes unpaid accrued interest added to the outstanding principal balance. The maturity date of the note receivable is September 30, 2031. </w:t>
      </w:r>
    </w:p>
    <w:p>
      <w:pPr>
        <w:pStyle w:val="TextBody"/>
        <w:bidi w:val="0"/>
        <w:spacing w:before="240" w:after="283"/>
        <w:jc w:val="left"/>
        <w:rPr>
          <w:rFonts w:ascii="Times New Roman" w:hAnsi="Times New Roman"/>
          <w:sz w:val="20"/>
        </w:rPr>
      </w:pPr>
      <w:r>
        <w:rPr>
          <w:rFonts w:ascii="Times New Roman" w:hAnsi="Times New Roman"/>
          <w:color w:val="000000"/>
          <w:sz w:val="20"/>
        </w:rPr>
        <w:t>The second consists of Secured Promissory Notes that were executed on October 13, 2023 between the Company and certain employees of Bonaccord to lend funds to be used to pay general partner commitments to certain funds managed by Bonaccord. The notes provided $1.0 million of cash, in aggregate, to certain employees and are collateralized by such employees' privately owned shares of the Company. The term of the additional notes is five years, maturing on October 13, 2028 with all principal due at maturity. The notes accrue interest at Secured Overnight Financing Rate ("SOFR") plus 2.10% and are payable annually on October 13</w:t>
      </w:r>
      <w:r>
        <w:rPr>
          <w:rFonts w:ascii="Times New Roman" w:hAnsi="Times New Roman"/>
          <w:color w:val="000000"/>
          <w:sz w:val="13"/>
        </w:rPr>
        <w:t>th</w:t>
      </w:r>
      <w:r>
        <w:rPr>
          <w:rFonts w:ascii="Times New Roman" w:hAnsi="Times New Roman"/>
          <w:color w:val="000000"/>
          <w:sz w:val="20"/>
        </w:rPr>
        <w:t xml:space="preserve"> in arrears, with any unpaid interest being capitalized and added to the outstanding principal balance. As of September 30, 2025, the balance outstanding is $1.1 million, which includes unpaid accrued interest added to the outstanding principal balance.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third consists of a Loan Agreement and Secured Promissory Notes that were executed on September 26, 2024 between Bonaccord and certain general partners to lend funds to pay general partners commitments to certain funds managed by Bonaccord. The notes provide an aggregate maximum facility of $4.0 million and are collateralized by such general partners' interest in the funds with a maturity date of September 26, 2034. The notes accrue interest at SOFR plus 2.10% and are payable quarterly, with any unpaid accrued interest being capitalized and added to the outstanding principal balance. SOFR is determined on the first day of each quarter. As of September 30, 2025, the balance outstanding is $0.2 million, which includes unpaid accrued interest added to the outstanding principal balance.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and December 31, 2024, the total notes receivable balance associated with these notes was $6.3 million and $7.5 million, respectively. The Company recognized interest income of $0.1 million and $0.3 million for the three and nine months ended September 30, 2025, respectively, and $0.1 million and $0.3 million for the three and nine months ended September 30, 2024,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Variable Interest Entities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Consolidated VIEs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consolidates certain VIEs for which it is the primary beneficiary. VIEs consist of certain operating entities not wholly owned by the Company and include P10 Intermediate, Holdco, RCP 2, RCP 3, TrueBridge, Hark, Bonaccord, WTI, and Qualitas. The assets of the consolidated VIEs totaled $649.7 million and $587.9 million as of September 30, 2025 and December 31, 2024, respectively. The liabilities of the consolidated VIEs totaled $530.0 million and $463.3 million as of September 30, 2025 and December 31, 2024, respectively. The assets of our consolidated VIEs are owned by those entities and not generally available to satisfy P10’s obligations. With the exception of the Company's credit facilities, the liabilities of our consolidated VIEs are obligations of those entities and their creditors do not generally have recourse to the assets of P10.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Unconsolidated VIEs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its subsidiary, ECG, the Company holds variable interests in the form of direct equity interests in certain VIEs that are not consolidated because the Company is not the primary beneficiary. The Company's maximum exposure to loss is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to the potential loss of assets recognized relating to these unconsolidated entities. These variable interests are included in investment in unconsolidated subsidiaries on the accompanying Consolidated Balance Sheets.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8. Investment in Unconsolidated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investment in unconsolidated subsidiaries consist of unconsolidated equity method investments primarily related to ECG’s tax credit finance and asset management activities. Additionally, the investment in Enhanced Capital Partners and Enhanced PC is recorded at zero. The Company, therefore, suspended the use of the equity method of accounting because the Company has no guaranteed obligations or commitments to provide financial support to the investee.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investment in unconsolidated subsidiaries totaled $1.4 million, of which $0.8 million related to RCP's investment in a privately held investment manager, $0.5 million related to ECG’s asset management businesses, and $0.1 related to ECG’s tax credit finance businesses. As of December 31, 2024, investment in unconsolidated subsidiaries totaled $2.8 million, of which $0.8 million related to RCP's investment in a privately held investment manager, $1.9 million related to ECG’s asset management businesses, and $0.1 million related to ECG’s tax credit finance businesses.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9.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consist of the following:</w:t>
      </w:r>
    </w:p>
    <w:p>
      <w:pPr>
        <w:pStyle w:val="TextBody"/>
        <w:bidi w:val="0"/>
        <w:jc w:val="both"/>
        <w:rPr/>
      </w:pPr>
      <w:r>
        <w:rPr/>
        <w:t> </w:t>
      </w:r>
    </w:p>
    <w:tbl>
      <w:tblPr>
        <w:tblW w:w="7040" w:type="dxa"/>
        <w:jc w:val="left"/>
        <w:tblInd w:w="0" w:type="dxa"/>
        <w:tblLayout w:type="fixed"/>
        <w:tblCellMar>
          <w:top w:w="28" w:type="dxa"/>
          <w:left w:w="28" w:type="dxa"/>
          <w:bottom w:w="28" w:type="dxa"/>
          <w:right w:w="28" w:type="dxa"/>
        </w:tblCellMar>
      </w:tblPr>
      <w:tblGrid>
        <w:gridCol w:w="3096"/>
        <w:gridCol w:w="146"/>
        <w:gridCol w:w="371"/>
        <w:gridCol w:w="1189"/>
        <w:gridCol w:w="166"/>
        <w:gridCol w:w="146"/>
        <w:gridCol w:w="360"/>
        <w:gridCol w:w="1155"/>
        <w:gridCol w:w="411"/>
      </w:tblGrid>
      <w:tr>
        <w:trPr/>
        <w:tc>
          <w:tcPr>
            <w:tcW w:w="3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purchased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 Goodwill and Intangibles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goodwill for the nine months ended September 30, 2025 are as follows:</w:t>
      </w:r>
    </w:p>
    <w:p>
      <w:pPr>
        <w:pStyle w:val="TextBody"/>
        <w:bidi w:val="0"/>
        <w:jc w:val="left"/>
        <w:rPr/>
      </w:pPr>
      <w:r>
        <w:rPr/>
        <w:t> </w:t>
      </w:r>
    </w:p>
    <w:tbl>
      <w:tblPr>
        <w:tblW w:w="5460" w:type="dxa"/>
        <w:jc w:val="left"/>
        <w:tblInd w:w="0" w:type="dxa"/>
        <w:tblLayout w:type="fixed"/>
        <w:tblCellMar>
          <w:top w:w="28" w:type="dxa"/>
          <w:left w:w="28" w:type="dxa"/>
          <w:bottom w:w="28" w:type="dxa"/>
          <w:right w:w="28" w:type="dxa"/>
        </w:tblCellMar>
      </w:tblPr>
      <w:tblGrid>
        <w:gridCol w:w="4031"/>
        <w:gridCol w:w="246"/>
        <w:gridCol w:w="211"/>
        <w:gridCol w:w="781"/>
        <w:gridCol w:w="191"/>
      </w:tblGrid>
      <w:tr>
        <w:trPr/>
        <w:tc>
          <w:tcPr>
            <w:tcW w:w="40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506,038</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Increase from acquisitions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related to foreign currency translations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120"/>
        <w:jc w:val="left"/>
        <w:rPr>
          <w:rFonts w:ascii="Times New Roman" w:hAnsi="Times New Roman"/>
          <w:color w:val="000000"/>
          <w:sz w:val="20"/>
        </w:rPr>
      </w:pPr>
      <w:r>
        <w:rPr>
          <w:rFonts w:ascii="Times New Roman" w:hAnsi="Times New Roman"/>
          <w:color w:val="000000"/>
          <w:sz w:val="20"/>
        </w:rPr>
        <w:t>During the nine months ended September 30, 2025, there was a revision to the provisional fair value of the Qualitas contingent consideration as a result of a change in one underlying assumption. This revision resulted in a purchase price adjustment of $0.6 million to goodwill and contingent consideration.</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Intangibles consists of the following as of September 30, 2025:</w:t>
      </w:r>
    </w:p>
    <w:tbl>
      <w:tblPr>
        <w:tblW w:w="10205" w:type="dxa"/>
        <w:jc w:val="left"/>
        <w:tblInd w:w="0" w:type="dxa"/>
        <w:tblLayout w:type="fixed"/>
        <w:tblCellMar>
          <w:top w:w="28" w:type="dxa"/>
          <w:left w:w="28" w:type="dxa"/>
          <w:bottom w:w="28" w:type="dxa"/>
          <w:right w:w="28" w:type="dxa"/>
        </w:tblCellMar>
      </w:tblPr>
      <w:tblGrid>
        <w:gridCol w:w="2415"/>
        <w:gridCol w:w="146"/>
        <w:gridCol w:w="364"/>
        <w:gridCol w:w="1170"/>
        <w:gridCol w:w="166"/>
        <w:gridCol w:w="146"/>
        <w:gridCol w:w="296"/>
        <w:gridCol w:w="1180"/>
        <w:gridCol w:w="166"/>
        <w:gridCol w:w="146"/>
        <w:gridCol w:w="237"/>
        <w:gridCol w:w="709"/>
        <w:gridCol w:w="166"/>
        <w:gridCol w:w="146"/>
        <w:gridCol w:w="217"/>
        <w:gridCol w:w="757"/>
        <w:gridCol w:w="166"/>
        <w:gridCol w:w="146"/>
        <w:gridCol w:w="211"/>
        <w:gridCol w:w="841"/>
        <w:gridCol w:w="414"/>
      </w:tblGrid>
      <w:tr>
        <w:trPr/>
        <w:tc>
          <w:tcPr>
            <w:tcW w:w="2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Investor and Intermediary Relationships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Management and Advisory Contracts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Technology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Trade Names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Indefinite-lived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exchange rate movements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as of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225,292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net of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 for fully amortized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exchange rate movements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as of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256,592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Amortization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(145,108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 for fully amortized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exchange rate movements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as of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(160,605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intangible assets, net balance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113,392</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Intangibles consists of the following as of September 30, 2024:</w:t>
      </w:r>
    </w:p>
    <w:tbl>
      <w:tblPr>
        <w:tblW w:w="10205" w:type="dxa"/>
        <w:jc w:val="left"/>
        <w:tblInd w:w="0" w:type="dxa"/>
        <w:tblLayout w:type="fixed"/>
        <w:tblCellMar>
          <w:top w:w="28" w:type="dxa"/>
          <w:left w:w="28" w:type="dxa"/>
          <w:bottom w:w="28" w:type="dxa"/>
          <w:right w:w="28" w:type="dxa"/>
        </w:tblCellMar>
      </w:tblPr>
      <w:tblGrid>
        <w:gridCol w:w="2447"/>
        <w:gridCol w:w="146"/>
        <w:gridCol w:w="586"/>
        <w:gridCol w:w="964"/>
        <w:gridCol w:w="146"/>
        <w:gridCol w:w="146"/>
        <w:gridCol w:w="299"/>
        <w:gridCol w:w="1193"/>
        <w:gridCol w:w="166"/>
        <w:gridCol w:w="146"/>
        <w:gridCol w:w="237"/>
        <w:gridCol w:w="709"/>
        <w:gridCol w:w="166"/>
        <w:gridCol w:w="146"/>
        <w:gridCol w:w="221"/>
        <w:gridCol w:w="709"/>
        <w:gridCol w:w="166"/>
        <w:gridCol w:w="146"/>
        <w:gridCol w:w="211"/>
        <w:gridCol w:w="841"/>
        <w:gridCol w:w="414"/>
      </w:tblGrid>
      <w:tr>
        <w:trPr/>
        <w:tc>
          <w:tcPr>
            <w:tcW w:w="2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Investor and Intermediary Relationships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Management and Advisory Contracts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Technology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Trade Names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Indefinite-lived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4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exchange rate movements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4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as of 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225,286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4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exchange rate movements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4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as of 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225,286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Amortization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(119,496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4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as of September 30, 2024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9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(128,839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3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(138,808</w:t>
            </w:r>
          </w:p>
        </w:tc>
        <w:tc>
          <w:tcPr>
            <w:tcW w:w="414"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4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intangible assets, net balance as of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103,883</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and advisory contracts and finite lived trade names are amortized over 7 - 20 years and are being amortized in line with the economic benefits that are expected to occur. Technology is generally amortized on a straight-line basis or in line with the economic benefits that are expected to occur over 4 years. Direct investors and intermediary relationships are being amortized in line with the economic benefits that are expected to occur over 13 years. The amortization expense for each of the next five years and thereafter are as follows:</w:t>
      </w:r>
    </w:p>
    <w:p>
      <w:pPr>
        <w:pStyle w:val="TextBody"/>
        <w:bidi w:val="0"/>
        <w:jc w:val="left"/>
        <w:rPr/>
      </w:pPr>
      <w:r>
        <w:rPr/>
        <w:t> </w:t>
      </w:r>
    </w:p>
    <w:tbl>
      <w:tblPr>
        <w:tblW w:w="2860" w:type="dxa"/>
        <w:jc w:val="left"/>
        <w:tblInd w:w="0" w:type="dxa"/>
        <w:tblLayout w:type="fixed"/>
        <w:tblCellMar>
          <w:top w:w="28" w:type="dxa"/>
          <w:left w:w="28" w:type="dxa"/>
          <w:bottom w:w="28" w:type="dxa"/>
          <w:right w:w="28" w:type="dxa"/>
        </w:tblCellMar>
      </w:tblPr>
      <w:tblGrid>
        <w:gridCol w:w="1636"/>
        <w:gridCol w:w="146"/>
        <w:gridCol w:w="211"/>
        <w:gridCol w:w="676"/>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11. Fair Value Measurements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Instruments not recognized at Fair Value</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Company measures certain assets and liabilities at fair value on a recurring basis, which are discussed below. Our financial instruments not recognized at fair value were as follows:</w:t>
      </w:r>
    </w:p>
    <w:tbl>
      <w:tblPr>
        <w:tblW w:w="9881" w:type="dxa"/>
        <w:jc w:val="left"/>
        <w:tblInd w:w="0" w:type="dxa"/>
        <w:tblLayout w:type="fixed"/>
        <w:tblCellMar>
          <w:top w:w="28" w:type="dxa"/>
          <w:left w:w="28" w:type="dxa"/>
          <w:bottom w:w="28" w:type="dxa"/>
          <w:right w:w="28" w:type="dxa"/>
        </w:tblCellMar>
      </w:tblPr>
      <w:tblGrid>
        <w:gridCol w:w="2846"/>
        <w:gridCol w:w="246"/>
        <w:gridCol w:w="244"/>
        <w:gridCol w:w="791"/>
        <w:gridCol w:w="146"/>
        <w:gridCol w:w="146"/>
        <w:gridCol w:w="181"/>
        <w:gridCol w:w="586"/>
        <w:gridCol w:w="146"/>
        <w:gridCol w:w="146"/>
        <w:gridCol w:w="244"/>
        <w:gridCol w:w="791"/>
        <w:gridCol w:w="146"/>
        <w:gridCol w:w="146"/>
        <w:gridCol w:w="181"/>
        <w:gridCol w:w="586"/>
        <w:gridCol w:w="246"/>
        <w:gridCol w:w="1096"/>
        <w:gridCol w:w="246"/>
        <w:gridCol w:w="721"/>
      </w:tblGrid>
      <w:tr>
        <w:trPr/>
        <w:tc>
          <w:tcPr>
            <w:tcW w:w="28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 December 31, 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Level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Reference</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Due from related party - Advisory Agreements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42,529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4"/>
              </w:rPr>
            </w:pPr>
            <w:r>
              <w:rPr>
                <w:rFonts w:ascii="Times New Roman" w:hAnsi="Times New Roman"/>
                <w:color w:val="000000"/>
                <w:sz w:val="14"/>
              </w:rPr>
              <w:t>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Note 13</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Debt Obligations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393,394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393,394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319,783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4"/>
              </w:rPr>
            </w:pPr>
            <w:r>
              <w:rPr>
                <w:rFonts w:ascii="Times New Roman" w:hAnsi="Times New Roman"/>
                <w:color w:val="000000"/>
                <w:sz w:val="14"/>
              </w:rPr>
              <w:t>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Note 12</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September 30, 2025 and December 31, 2024, debt obligations' carrying value approximates fair value.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Earnouts associated with the acquisitions of Bonaccord and Qualitas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Included in total consideration of the acquisition of Bonaccord was an earnout payment not to exceed $20 million. The amount ultimately owed to the sellers was based on achieving specific fundraising targets and any amounts paid to the sellers was required to be paid by October 2027, at which point the earnout expires. Payments were made after each fund close. As of September 30, 2025, the full $20.0 million earnout payment has been earned and paid, of which $2.2 million was paid in the nine months ended September 30, 2025. Total remeasurement expense recognized for both the three and nine months ended September 30, 2025 was $0. Total remeasurement expense recognized for the three and nine months ended September 30, 2024 was $0.1 million and $0.2 million, respectively. This is included in contingent consideration expense on the Consolidated Statements of Operations. As of December 31, 2024, with all contingent consideration for the acquisition of Bonaccord considered fully earned, the liability transferred out of Level 3 fair value measurement as the liability is recorded at cost at the known payment amount. Until considered fully earned, the Company's contingent consideration was considered to be a Level 3 fair value measurement as the significant inputs are unobservable and require significant judgment or estimation. As of September 30, 2025, there were no remaining liabilities related to the Bonaccord acquisition.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On April 4, 2025, included in total consideration of the Qualitas acquisition was an earnout payment not to exceed €31.7 million. The amount ultimately owed to the sellers is based on the run-rate net revenue as of December 31, 2027 from newly launched Qualitas funds post acquisition. Any earnout payment will be paid no later than December 31, 2028 in a mix of cash and Class A common stock at the seller's election, with no more than 65% payable in cash. As of September 30, 2025, no earnout payment has been earned or paid. Total remeasurement expense recognized for both the three and nine months ended September 30, 2025 was $1.2 million and $2.3 million. This is included in contingent consideration expense on the Consolidated Statements of Operations.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Derivative instruments and hedging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September 2025, the Company entered into an interest rate collar agreement to hedge the variability in cash flows associated with its variable-rate borrowings under the Amended and Restated Credit Agreement (as defined below). The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collar has a notional amount of $211.3 million, effective as of September 30, 2025, and a termination date of August 1, 2028. The collar references the 3-month United Stated Dollar ("USD") SOFR Chicago Mercantile Exchange ("CME") term rate ("USD-SOFR-CME"), with a cap strike rate of 4.25% and a floor strike rate of 2.31%.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records the effective portion of changes in the fair value of its cash flow hedges to other comprehensive income, net of tax, and subsequently reclassifies these amounts into earnings in the period during which the hedged transaction is recognized. Any changes in fair value of hedges that are determined to be ineffective are immediately reclassified from accumulated other comprehensive income into earnings. For the three and nine months ended September 30, 2025, the Company recorded an unrealized loss on interest rate derivatives, net of tax for $0.1 million, which is included in other comprehensive income. The Company estimates that an insignificant amount currently recorded in accumulated other comprehensive income will be recognized in earnings over the next 12 months.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When derivatives are used, the Company is exposed to credit loss in the event of non-performance by the counterparties; non-performance risk is incorporated into the valuation of the hedges, but non-performance by any of our derivative counterparties is not anticipated. ASC 815 requires companies to recognize all derivative instruments as either assets or liabilities at fair value in the balance sheet. The fair values of the interest rate derivatives are based on quoted market prices for similar instruments from commercial banks, which are significant observable inputs or Level 2 inputs.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amounts included in accumulated other comprehensive income will be reclassified to interest expense should the hedges no longer be considered effective. No amount of ineffectiveness was included in net income for the three and nine months ended September 30, 2025 and 2024.The Company will continue to assess the effectiveness of the hedges on an ongoing basis.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table below presents all items measured at fair value as of September 30, 2025.</w:t>
      </w:r>
    </w:p>
    <w:tbl>
      <w:tblPr>
        <w:tblW w:w="7878" w:type="dxa"/>
        <w:jc w:val="left"/>
        <w:tblInd w:w="0" w:type="dxa"/>
        <w:tblLayout w:type="fixed"/>
        <w:tblCellMar>
          <w:top w:w="28" w:type="dxa"/>
          <w:left w:w="28" w:type="dxa"/>
          <w:bottom w:w="28" w:type="dxa"/>
          <w:right w:w="28" w:type="dxa"/>
        </w:tblCellMar>
      </w:tblPr>
      <w:tblGrid>
        <w:gridCol w:w="3206"/>
        <w:gridCol w:w="246"/>
        <w:gridCol w:w="393"/>
        <w:gridCol w:w="312"/>
        <w:gridCol w:w="146"/>
        <w:gridCol w:w="146"/>
        <w:gridCol w:w="260"/>
        <w:gridCol w:w="520"/>
        <w:gridCol w:w="146"/>
        <w:gridCol w:w="146"/>
        <w:gridCol w:w="211"/>
        <w:gridCol w:w="676"/>
        <w:gridCol w:w="146"/>
        <w:gridCol w:w="146"/>
        <w:gridCol w:w="211"/>
        <w:gridCol w:w="676"/>
        <w:gridCol w:w="291"/>
      </w:tblGrid>
      <w:tr>
        <w:trPr/>
        <w:tc>
          <w:tcPr>
            <w:tcW w:w="32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 obligation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Derivative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liabilities presented in the tables above, there were no changes in fair value hierarchy levels during the nine months ended September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changes in the fair value of Level III financial instruments are set forth below:</w:t>
      </w:r>
    </w:p>
    <w:p>
      <w:pPr>
        <w:pStyle w:val="TextBody"/>
        <w:bidi w:val="0"/>
        <w:jc w:val="left"/>
        <w:rPr/>
      </w:pPr>
      <w:r>
        <w:rPr/>
        <w:t> </w:t>
      </w:r>
    </w:p>
    <w:tbl>
      <w:tblPr>
        <w:tblW w:w="8171" w:type="dxa"/>
        <w:jc w:val="left"/>
        <w:tblInd w:w="0" w:type="dxa"/>
        <w:tblLayout w:type="fixed"/>
        <w:tblCellMar>
          <w:top w:w="28" w:type="dxa"/>
          <w:left w:w="28" w:type="dxa"/>
          <w:bottom w:w="28" w:type="dxa"/>
          <w:right w:w="28" w:type="dxa"/>
        </w:tblCellMar>
      </w:tblPr>
      <w:tblGrid>
        <w:gridCol w:w="3371"/>
        <w:gridCol w:w="246"/>
        <w:gridCol w:w="146"/>
        <w:gridCol w:w="146"/>
        <w:gridCol w:w="146"/>
        <w:gridCol w:w="146"/>
        <w:gridCol w:w="382"/>
        <w:gridCol w:w="1224"/>
        <w:gridCol w:w="264"/>
        <w:gridCol w:w="264"/>
        <w:gridCol w:w="382"/>
        <w:gridCol w:w="1143"/>
        <w:gridCol w:w="311"/>
      </w:tblGrid>
      <w:tr>
        <w:trPr/>
        <w:tc>
          <w:tcPr>
            <w:tcW w:w="3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Contingent Consideration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beginning of year: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Additions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11,846</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Impact of exchange rate movements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Settlements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Transfers out of level 3 measurement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end of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14,921</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transferred out of Level 3 fair value measurement, the fair value of the contingent consideration liability represents the fair value of future payments upon satisfaction of performance targets. The assumptions used in the analysis are inherently subjective; therefore, the ultimate amount of the contingent consideration liability primarily relate to the expected future payments of obligations with a discount rate applied. The contingent consideration liability is included in contingent consideration on the Consolidated Balance Sheets. Changes in the fair value of the liability are included in contingent consideration expense on the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 Debt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obligations consists of the following:</w:t>
      </w:r>
    </w:p>
    <w:p>
      <w:pPr>
        <w:pStyle w:val="TextBody"/>
        <w:bidi w:val="0"/>
        <w:jc w:val="both"/>
        <w:rPr/>
      </w:pPr>
      <w:r>
        <w:rPr/>
        <w:t> </w:t>
      </w:r>
    </w:p>
    <w:tbl>
      <w:tblPr>
        <w:tblW w:w="5285" w:type="dxa"/>
        <w:jc w:val="left"/>
        <w:tblInd w:w="0" w:type="dxa"/>
        <w:tblLayout w:type="fixed"/>
        <w:tblCellMar>
          <w:top w:w="28" w:type="dxa"/>
          <w:left w:w="28" w:type="dxa"/>
          <w:bottom w:w="28" w:type="dxa"/>
          <w:right w:w="28" w:type="dxa"/>
        </w:tblCellMar>
      </w:tblPr>
      <w:tblGrid>
        <w:gridCol w:w="2281"/>
        <w:gridCol w:w="146"/>
        <w:gridCol w:w="242"/>
        <w:gridCol w:w="898"/>
        <w:gridCol w:w="166"/>
        <w:gridCol w:w="146"/>
        <w:gridCol w:w="233"/>
        <w:gridCol w:w="862"/>
        <w:gridCol w:w="31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facility,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323,091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obligations,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319,783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principal balance consists of the following tranches as of September 30, 2025:</w:t>
      </w:r>
    </w:p>
    <w:tbl>
      <w:tblPr>
        <w:tblW w:w="7469" w:type="dxa"/>
        <w:jc w:val="left"/>
        <w:tblInd w:w="0" w:type="dxa"/>
        <w:tblLayout w:type="fixed"/>
        <w:tblCellMar>
          <w:top w:w="28" w:type="dxa"/>
          <w:left w:w="28" w:type="dxa"/>
          <w:bottom w:w="28" w:type="dxa"/>
          <w:right w:w="28" w:type="dxa"/>
        </w:tblCellMar>
      </w:tblPr>
      <w:tblGrid>
        <w:gridCol w:w="1831"/>
        <w:gridCol w:w="146"/>
        <w:gridCol w:w="271"/>
        <w:gridCol w:w="1004"/>
        <w:gridCol w:w="146"/>
        <w:gridCol w:w="146"/>
        <w:gridCol w:w="175"/>
        <w:gridCol w:w="560"/>
        <w:gridCol w:w="271"/>
        <w:gridCol w:w="146"/>
        <w:gridCol w:w="200"/>
        <w:gridCol w:w="640"/>
        <w:gridCol w:w="271"/>
        <w:gridCol w:w="146"/>
        <w:gridCol w:w="15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Principal Amount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3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Base Rate</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4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SOFR Rate</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Rate Expiration Date</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11/5/2025</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 Tranche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11/28/2025</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 Tranche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10/9/2025</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 Tranche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10/24/2025</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 Tranche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12/17/2025</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 Tranche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12/23/2025</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Revolving Credit Facility and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22, 2021, the Company entered into a credit agreement (the "Credit Agreement") with JPMorgan, in its capacity as administrative agent and collateral agent, and Texas Capital Bank, as joint lead arrangers and joint bookrunners, and the other loan parties party thereto. The Credit Agreement consists of two facilities. The first is a revolving credit facility with an available balance of $125 million (the "Revolver Facility"). The second is a term loan for $125 million (the "Term Loan"). In addition to the Term Loan and Revolver Facility, the Credit Agreement also includes a $125 million accordion feature. In October 2022, the accordion feature was exercised split into $87.5 million worth of term loan and $37.5 million of revolver. On August 1, 2024, the Company entered into a restatement agreement, which amends and restates the Credit Agreement (the "Amended and Restated Credit Agreement"). The Amended and Restated Credit Agreement provides for a new senior secured revolving credit facility in the amount of $175 million, with a $10 million sublimit for the issuance of letters of credit (the "New Revolving Facility"), and a new senior term loan facility in the amount of $325 million (the "New Term Loan" and, together with the New Revolving Facility, the "New Credit Facilities"). The New Credit Facilities were used to refinance and replace the credit facilities under the Credit Agreement and for general corporate purposes, including acquisitions.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New Credit Facilities are "Term SOFR Loans" meaning loans bearing interest based upon the "Adjusted Term SOFR Rate". The Adjusted Term SOFR Rate is the Secured Overnight Financing Rate ("SOFR") at the date of election, plus 2.60%. The Company can elect one or three months for the New Revolving Facility and one, three, or six months for the New Term Loan. Principal for the New Term Loan is contractually repaid at a rate of 1.25% quarterly effective December 31, 2025. The New Revolving Credit Facility has no contractual principal repayments until maturity, which is August 1, 2028 for both facilities. The New Credit Facilities are guaranteed by the Company's subsidiaries, subject to customary exceptions, and are secured by liens on substantially all assets of the Company, P10 Intermediate and the Company's guarantor subsidiaries, subject to customary exceptions.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Amended and Restated Credit Agreement contains affirmative and negative covenants typical of such financing transactions, and specific financial covenants which require P10 to maintain a minimum leverage ratio. As of September 30,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2025, P10 was in compliance with its financial and other covenants required under the facility. For the three and nine months ended September 30, 2025, $6.6 million and $19.1 million of interest expense was incurred, respectively. For the three and nine months ended September 30, 2024, $6.3 million and $17.5 million of interest expense was incurred,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Debt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principal maturities of debt as of September 30, 2025 are as follows: </w:t>
      </w:r>
    </w:p>
    <w:p>
      <w:pPr>
        <w:pStyle w:val="TextBody"/>
        <w:bidi w:val="0"/>
        <w:jc w:val="both"/>
        <w:rPr/>
      </w:pPr>
      <w:r>
        <w:rPr/>
        <w:t> </w:t>
      </w:r>
    </w:p>
    <w:tbl>
      <w:tblPr>
        <w:tblW w:w="1885" w:type="dxa"/>
        <w:jc w:val="left"/>
        <w:tblInd w:w="0" w:type="dxa"/>
        <w:tblLayout w:type="fixed"/>
        <w:tblCellMar>
          <w:top w:w="28" w:type="dxa"/>
          <w:left w:w="28" w:type="dxa"/>
          <w:bottom w:w="28" w:type="dxa"/>
          <w:right w:w="28" w:type="dxa"/>
        </w:tblCellMar>
      </w:tblPr>
      <w:tblGrid>
        <w:gridCol w:w="556"/>
        <w:gridCol w:w="146"/>
        <w:gridCol w:w="211"/>
        <w:gridCol w:w="781"/>
        <w:gridCol w:w="19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13. 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January 1, 2021, the Company entered into a sublease with 210 Capital, LLC, a related party, for office space that served as our corporate headquarters until June 2025. The monthly rent expense is $20.3 thousand, and the lease expires December 31, 2029. In the fourth quarter of 2022, the Company sublet an additional amount of office space in the corporate headquarters. This contributed an additional $3.4 thousand monthly. P10 has paid $0.1 million and $0.2 million in rent to 210 Capital, LLC for the three and nine months ended September 30, 2025, respectively, and $0.1 million and $0.2 million for the three and nine months ended September 30, 2024, respectively. As of both December 31, 2024 and September 30, 2025, this is no longer a related party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described in Note 1, through its subsidiaries, the Company serves as the investment manager to the Funds. Certain expenses incurred by the Funds are paid upfront and are reimbursed from the Funds as permissible per fund agreements. As of September 30, 2025, the total accounts receivable from the Funds totaled $35.0 million, of which $21.3 million related to fees earned but not yet received and $13.7 million related to reimbursable expenses. As of December 31, 2024, the total accounts receivable from the Funds totaled $42.5 million, of which $30.4 million related to fees earned but not yet received and $12.1 million related to reimbursable expenses. Reimbursable expenses and fees earned but not yet received are included in due from related parties and accounts receivable on the Consolidated Balance Sheets, respectively. In certain instances, the Company may incur expenses related to specific products that never materialize and therefore would not be reimbursed and expensed at that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the closing of the Company’s acquisition of ECG, the Advisory Agreement between ECG and Enhanced PC immediately became effective. Under this agreement, ECG provides advisory services to Enhanced PC related to the assets and operations of the permanent capital subsidiaries owned by Enhanced PC. ECG provides advisory services relating to new projects undertaken by Enhanced PC under additional arrangements governed by the terms of the Advisory Agreement. In exchange for those services, which commenced on January 1, 2021, ECG receives advisory fees from Enhanced PC based on a declining fixed fee schedule, that is commensurate with the level of services being performed. The Company allocates a portion of the consideration received under this arrangement to a financing component when it determines that a significant financing component exists. As of September 30, 2025, certain of the Company's contracts with Enhanced PC contained a significant financing component, as a result of the Company's expectation that the period between services being provided and cash collection will exceed one year. Interest income related to the identified significant financing component was $0.1 million and $0.2 million for the three and nine months ended September 30, 2025, respectively, and $12.5 thousand and $18.1 thousand for the three and nine months ended September 30, 2024. As of September 30, 2025, the total contractual advisory fees are $119.6 million over eleven years inclusive of new projects added since inception. These agreements are subject to customary termination provisions. Since inception, $90.1 million of the total $119.6 million advisory fees have been recognized as revenue. There was $29.5 million in remaining performance obligations related to these agreements, which will be recognized between October 1, 2025 and March 31, 2032. For the three and nine months ended September 30, 2025, advisory fees earned or recognized under these agreements were $3.5 million and $10.6 million, respectively, and $4.4 million and $12.8 million for the three and nine months ended September 30, 2024, respectively, and is reported in management and advisory fees on the Consolidated Statements of Operations. As of September 30, 2025 and December 31, 2024, the associated receivable was $76.4 million and $65.8 million, respectively, and is included in due from related parties on the Consolidated Balance Sheets. The Company invoices Enhanced PC quarterly in arrears and earns interest on balances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paid within 30 days. Revenues from interest on outstanding balances were $0.3 million and $1.0 million for the three and nine months ended September 30, 2025, respectively, and $0.3 million and $0.8 million for the three and nine months ended September 30, 2024, respectively, which is included in management and advisory fees on the Consolidated Statements of Operations. As of September 30, 2025 and December 31, 2024, the associated interest receivable was $3.5 million and $2.2 million, respectively, and is included in due from related parties on the Consolidated Balance Sheets. Payment is expected to be collected as the permanent capital subsidiaries complete and liquidate multi-year projects covered under this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the closing of the Company’s acquisition of ECG, the Administrative Services Agreement between ECG and Enhanced Capital Holdings, Inc. (“ECH”), immediately became effective. Under this agreement, ECG pays ECH for the use of their employees to provide services at the direction of ECG. The Company recognized $2.7 million and $8.0 million for the three and nine months ended September 30, 2025, respectively, and $3.8 million and $10.2 million for the three and nine months ended September 30, 2024, respectively, related to this agreement within compensation and benefits on the Consolidated Statements of Operations. As of September 30, 2025 and December 31, 2024, the associated accrual was $1.9 million and $3.4 million, respectively, and is included in due to related parties on the Consolidated Balance Sheets.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10, 2021, Enhanced entered into a strategic partnership with Crossroads Impact Corp ("Crossroads"), the parent company of Capital Plus Financial ("CPF"), a leading certified development financial institution. Under the terms of the agreement, Enhanced was to originate and manage loans across its diverse lines of business including small business loans to women and minority owned businesses, and loans to renewable energy and community development projects. The loans were to be held by CPF and CPF will pay an advisory fee to Enhanced.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6, 2022, Crossroads entered into the Advisory Agreement (the "Crossroads Advisory Agreement") with ECG. The Crossroads Advisory Agreement provides for ECG to receive a services fee of approximately 1.5% per year of the capital deployed by Crossroads under the Crossroads Advisory Agreement (0.375% quarterly) and an incentive fee of 15% over a 7% hurdle rate. In relation to the strategic partnership with Crossroads effective September 10, 2021 and the Crossroads Advisory Agreement, the Company recognized $0 for both the three and nine months ended September 30, 2025 and $6.2 million and $10.5 million for the three and nine months ended September 30, 2024, respectively, which is included in management and advisory fees on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6, 2022, certain funds managed by the Company purchased 4,646,840 shares of Crossroads common stock at $10.76 per share, for an aggregate amount of approximately $50 million. On August 1, 2022, an additional purchase of 1,394,052 shares of Crossroads common stock at $10.76 per share occurred. The funds managed by the Company do not have the ability to change the investment strategy of Crossroads. Two former members of the Board of Directors of the Company were directors of Crossroads and had recused themselves from any decisions related to Crossroads or CPF. The Company recognizes an annual fee from the funds of $20 thousand of which $5 thousand and $15 thousand has been recognized for the three and nine months ended September 30, 2025, respectively, which is included in management and advisory fees on the Consolidated Statements of Operations. The Company recognized $5 thousand and $15 thousand for the three and nine months ended September 30,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23, 2024, Crossroads and ECG terminated the Crossroads Advisory Agreement. Additionally, the impact credit asset portfolio managed by the Company was contributed to two new limited liability companies ("Clifford") and the funds managed by the Company redeemed their interest in Crossroads in exchange for membership interests in Clifford in proportion to the fair value of the net assets contributed. At the same time, ECG entered into an Advisory Agreement with Clifford ("Clifford Advisory Agreement") to manage the impact credit asset portfolio, which has a term ending on the disposal date for all of Clifford's underlying investments. The Clifford Advisory Agreement provides for ECG to receive a services fee of approximately 1.5% per year of the capital deployed by Clifford under the Clifford Advisory Agreement. Clifford is not considered a related party to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Clifford arrangement, Enhanced Clifford (GP) LLC ("Clifford GP"), a direct subsidiary of ECH, was formed. Clifford GP receives incremental fees from Clifford as part of the Clifford Advisory Agreement. The Company is a guarantor on a put option and call option with third party customers. Refer to Note 14 for further details.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an Advance Agreement and Secured Promissory Notes with BCP, an entity that was formed by employees of the Company and certain Bonaccord employees and certain Bonaccord general partners. For details, see Note 6.</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14. Commitments and Contingencies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leases office space and various equipment under non-cancelable operating leases, with the longest lease expiring in 2036. These lease agreements provide for various renewal options. Rent expense for the various leased office space and equipment was approximately $1.5 million and $4.3 million for the three and nine months ended September 30, 2025, respectively, and $1.1 million and $3.2 million for the three and nine months ended September 30,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leases an insignificant amount of office equipment under non-cancelable financing leases, with the longest lease expiring in 2030. The finance lease right-of-use asset is included in right-of-use assets and the finance lease liability is included in lease liabilities in the Consolidated Balance Sheets. Amortization and interest expense for the finance leased equipment is included in general, administrative, and other in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information regarding the Company’s operating leases as of September 30, 2025:</w:t>
      </w:r>
    </w:p>
    <w:p>
      <w:pPr>
        <w:pStyle w:val="TextBody"/>
        <w:bidi w:val="0"/>
        <w:jc w:val="both"/>
        <w:rPr/>
      </w:pPr>
      <w:r>
        <w:rPr/>
        <w:t> </w:t>
      </w:r>
    </w:p>
    <w:tbl>
      <w:tblPr>
        <w:tblW w:w="9075" w:type="dxa"/>
        <w:jc w:val="left"/>
        <w:tblInd w:w="0" w:type="dxa"/>
        <w:tblLayout w:type="fixed"/>
        <w:tblCellMar>
          <w:top w:w="28" w:type="dxa"/>
          <w:left w:w="28" w:type="dxa"/>
          <w:bottom w:w="28" w:type="dxa"/>
          <w:right w:w="28" w:type="dxa"/>
        </w:tblCellMar>
      </w:tblPr>
      <w:tblGrid>
        <w:gridCol w:w="7726"/>
        <w:gridCol w:w="146"/>
        <w:gridCol w:w="211"/>
        <w:gridCol w:w="676"/>
        <w:gridCol w:w="316"/>
      </w:tblGrid>
      <w:tr>
        <w:trPr/>
        <w:tc>
          <w:tcPr>
            <w:tcW w:w="7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paid during the nine months ended September 30, 2025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future contractual lease payments as of September 30, 2025 are as follows:</w:t>
      </w:r>
    </w:p>
    <w:p>
      <w:pPr>
        <w:pStyle w:val="TextBody"/>
        <w:bidi w:val="0"/>
        <w:jc w:val="left"/>
        <w:rPr/>
      </w:pPr>
      <w:r>
        <w:rPr/>
        <w:t> </w:t>
      </w:r>
    </w:p>
    <w:tbl>
      <w:tblPr>
        <w:tblW w:w="4230" w:type="dxa"/>
        <w:jc w:val="left"/>
        <w:tblInd w:w="0" w:type="dxa"/>
        <w:tblLayout w:type="fixed"/>
        <w:tblCellMar>
          <w:top w:w="28" w:type="dxa"/>
          <w:left w:w="28" w:type="dxa"/>
          <w:bottom w:w="28" w:type="dxa"/>
          <w:right w:w="28" w:type="dxa"/>
        </w:tblCellMar>
      </w:tblPr>
      <w:tblGrid>
        <w:gridCol w:w="2986"/>
        <w:gridCol w:w="146"/>
        <w:gridCol w:w="211"/>
        <w:gridCol w:w="676"/>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Earnout Payment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acquisition of WTI, an earnout payment of up to $70.0 million of cash and common stock may be earned upon meeting certain performance metrics. Upon the achievement of $20.0 million, $22.5 million, and $25.0 million of EBTIDA,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P10 Intermediate, no later than 90 days following the last day of the calendar quarter in which a milestone payment is achieved. Total payments will not exceed $70.0 million and any amounts paid will be paid by October 2027. The Company will evaluate whether each earn-out hurdle is probable of occurring and recognize an expense over the period the hurdle is expected to be achieved. As of December 31, 2024, the Company expected the first two of three EBITDA hurdles to be achieved. As of September 30, 2025, the first hurdle has been achieved, however the Company does not expect the second or third EBITDA hurdles to be achieved. The change in estimate for the second EBITDA hurdle resulted in a reversal of expense recognized for the three and nine months ended September 30, 2025, $0 and $3.5 million, respectively, while for the three and nine months ended September 30, 2024, $3.1 million and $9.2 million of expense was recognized, respectively, which is included in compensation and benefits in the Consolidated Statements of Operations. As of September 30, 2025, the Company has paid $35.0 million for the achievement of the first EBITDA hurdle and there was no remaining liability related to the WTI earnout. As of December 31, 2024, the balance was $38.5 million, which is included in accrued compensation and benefits in the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Bonus Payment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P10, provided that no more than $5.0 million will be payable in cash. Total payment will not exceed $10.0 million and any amounts will be paid in October 2027, the fifth anniversary of the effective date. For the three and nine months ended September 30, 2025, the Company recognized $0.5 million and $1.5 million of expense, respectively, and for the three and nine months ended September 30, 2024, $0.5 million and $1.5 million was recognized, respectively, which is included in compensation and benefits on the Consolidated Statements of Operations. As of September 30, 2025 and December 31, 2024, the balance was $5.9 million and $4.4 million, respectively, and is included in accrued compensation and benefits in the Consolidated Balance Sheets.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 Share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accrued contingent liabilities and contingent payments to customers assets in the Consolidated Balance Sheets for agreements that exist between ECG and third party customers ("Third Parties"). The agreements require ECG to share in certain revenues earned with the Third Parties and also include an option for the Third Parties to sell back the revenue share to ECG at a set multiple. Additionally, ECG holds the option to buy back 50% of the revenue share at a set multiple. The options to repurchase the revenue share became exercisable in July 2025. Some Third Parties exercised their rights to sell back their revenues. As of September 30, 2025, no payment has been made to the Third Parties that exercised due to ongoing discussions between the Company and the Third Parties. The remaining Third Parties extended their participations. This extension also adjusted their ability to exercise the options to no earlier than December 23, 2028. The Company’s contingent liabilities and corresponding contingent payments to customers are recognized once determined to be probable and estimable. The contingent payments to customers are amortized and recorded within management and advisory fees on the Consolidated Statements of Operations over the estimated term of the underlying funds. As of September 30, 2025, the Company has determined that the remaining put options are probable of being exercised and have accrued estimated contingent liabilities and contingent payments to customers. As of September 30, 2025 and December 31, 2024, the associated liabilities were $13.7 million and $13.8 million, respectively, and are included in accrued contingent liabilities on the Consolidated Balance Sheets. The associated contingent payments to customers assets were $9.5 million and $10.0 million as of September 30, 2025 and December 31, 2024, respectively. The Company recognized $0.2 million and $0.5 million of amortization of contingent payments to customers for the three and nine months ended September 30, 2025, respectively, and $0.4 million and $1.1 million of amortization of contingent payments to customers for the three and nine months ended September 30, 2024, respectively, which is included in management and advisory fees on the Consolidated Statements of Operations. The Company will reassess each period and recognize all changes.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23, 2024, the Company became a guarantor for Clifford GP on a related put option and call option with the same third party customers and terms. The Company would be required to settle either the put or call options if either are exercised and Clifford GP does not have the means to settle themselves. The Company records accrued contingent liabilities when it is probable and estimable that the Company would need to settle as guarantor. As of September 30, 2025 and December 31, 2024, the associated liabilities were $10.4 million and $10.1 million, respectively, and are included in accrued liabilities on the Consolidated Balance Sheets. There was $0 and $0.3 million of expense for the three and nine months ended September 30, 2025, respectively, and no expense recognized for both the three and nine months ended September 30, 2024, which was included in other income on the Consolidated Statements of Operations. The Company will reassess each period and recognize all changes.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disclosed anything more likely than not to be recognized below, if any are applicable. We do not believe that any of these matters, individually or in the aggregate, will result in losses that are materially in excess of amounts already recognized, if any.</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15.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calculates its tax provision using the estimated annual effective tax rate methodology. The tax expense or benefit caused by an unusual or infrequent item is recorded in the quarter in which it occurs. To the extent that information is not available for the Company to fully determine the full year estimated impact of an item of income or tax adjustment, the Company calculates the tax impact of such item discretely.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these methodologies, the Company’s worldwide effective income tax rate was 25.76% and 18.43% for the three and nine months ended September 30, 2025, respectively. The Company's effective income tax rate was 48.49% and 32.52% for the three and nine months ended September 30, 2024, respectively. The effective tax rate differs from the federal statutory rate of 21% due to executive compensation subject to Section 162(m) limitation, state taxes, foreign taxes as a result of statutory rate difference between Spain and the U.S., and a discrete period recognition of windfall tax adjustments related to options exercised year-to-date.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in management's view, is more likely than not to be realized in the foreseeable future. This level will be estimated based on a number of factors, especially the amount of net deferred tax assets of the Company that are actually expected to be realized, for tax purposes, in the foreseeable future. As of September 30, 2025, the Company has recorded a $12.8 million valuation allowance against deferred tax assets, primarily related to a note impairment. There was no change to the valuation allowance during the nine months ended September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monitors federal and state legislative activity and other developments that may impact our tax positions and their relation to the income tax provision. Any impacts will be recorded in the period in which the legislation is enacted or new regulations are issued. The Company is subject to examination by the United States Internal Revenue Service as well as state and local tax authorities. The Company is not currently under audit.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4, 2025, the One Big Beautiful Bill Act ("OBBBA") was enacted in the United States. The legislation has multiple effective dates, with certain provision effective in 2025 and others implemented through 2027. OBBBA did not have a significant impact on our provision for income taxes for the three months ended September 30, 2025, and we do not anticipate a significant impact on our effective tax rate for the full year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16. Stockholders' Equity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Stock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20, 2021, the Board of Directors approved the P10 Holdings,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Starting with options granted in 2024 under the Plan, vesting generally occurs on a graded schedule with 25% vesting on each of the second, third, fourth, and fifth anniversary of the grant date, but only if the grantee is continuously employed by the Company or a subsidiary through each such date. Options granted prior to 2024 under both the Plan and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 fair market value on the exercise date and the option price. Terms of all future awards will be granted under the Plan, and no additional awards will be granted under the 2018 Plan. Awards granted under the 2018 Plan continue to follow the 2018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2018 Plan provided for an initial 6,300,000 shares (adjusted for the reverse stock split). The Plan provided for the issuance of 3,000,000 shares available for grant, in addition to those approved in the 2018 Plan for a total of 9,300,000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17, 2022, at the Annual Meeting of Stockholders, the shareholders authorized an increase of 5,000,000 shares that may be issued under the Plan. On December 9, 2022, a special meeting of stockholders was held to increase the number of shares issuable under the Plan by 4,000,000 shares. On June 14, 2024, at the Annual Meeting of Stockholders, the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shareholders authorized an increase of 11,000,000 shares available under the Plan, resulting in a total of 29,300,000 shares available for grant under the Plan and the 2018 Plan. As of September 30, 2025, there are 8,015,351 shares available for grant under the Plan.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Equity-Based Compensation - Stock Options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A summary of stock option activity for the nine months ended September 30, 2025 is as follows:</w:t>
      </w:r>
    </w:p>
    <w:tbl>
      <w:tblPr>
        <w:tblW w:w="9983" w:type="dxa"/>
        <w:jc w:val="left"/>
        <w:tblInd w:w="0" w:type="dxa"/>
        <w:tblLayout w:type="fixed"/>
        <w:tblCellMar>
          <w:top w:w="28" w:type="dxa"/>
          <w:left w:w="28" w:type="dxa"/>
          <w:bottom w:w="28" w:type="dxa"/>
          <w:right w:w="28" w:type="dxa"/>
        </w:tblCellMar>
      </w:tblPr>
      <w:tblGrid>
        <w:gridCol w:w="3211"/>
        <w:gridCol w:w="146"/>
        <w:gridCol w:w="146"/>
        <w:gridCol w:w="1036"/>
        <w:gridCol w:w="166"/>
        <w:gridCol w:w="146"/>
        <w:gridCol w:w="391"/>
        <w:gridCol w:w="1064"/>
        <w:gridCol w:w="146"/>
        <w:gridCol w:w="146"/>
        <w:gridCol w:w="345"/>
        <w:gridCol w:w="1110"/>
        <w:gridCol w:w="146"/>
        <w:gridCol w:w="146"/>
        <w:gridCol w:w="211"/>
        <w:gridCol w:w="1036"/>
        <w:gridCol w:w="3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 Value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 dollars)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12,965,897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52,343,412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13,643,044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24,770,439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2,199,842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12,334,629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Compensation expense equal to the grant date fair value is recognized for these awards over the vesting period and is included in compensation and benefits in the Consolidated Statements of Operations. When stock options exercise, the awards are generally settled in equity net of employee tax withholdings and strike price. Stock option compensation cost is estimated at the grant date based on the fair-value of the award, which is determined using the Black Scholes option valuation model and is recognized as expense ratably over the requisite service period of the award, generally five years. The share price used in the Black Scholes model is based on the trading price of our shares on the public markets. Expected life is based on the vesting period and expiration date of the option. Stock price volatility is estimated using a weighted average of P10 and a group of similar publicly traded companies determined to be most reflective of the expected volatility of the Company due to the nature of operations of these entities. The risk-free rates are based on the U.S. Treasury yield in effect at the time of grant. The dividend yield is based on the quarterly dividend as of the grant date. The stock-based compensation expense for stock options was $2.1 million and $7.1 million for the three and nine months ended September 30, 2025, respectively, and $1.8 million and $7.1 million for the three and nine months ended September 30, 2024, respectively. The total associated income tax benefit was $2.6 million and $7.4 million for the three and nine months ended September 30, 2025, respectively, and $0.2 million and $2.5 million for the three and nine months ended September 30, 2024, respectively. Unrecognized stock-based compensation expense related to outstanding unvested stock options as of September 30, 2025 was $25.3 million and is expected to be recognized over a weighted average period of 2.54 years. Any future forfeitures will impact this amount.</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The weighted average assumptions used in calculating the fair value of stock options granted during the nine months ended September 30, 2025 and September 30, 2024 were as follows: </w:t>
      </w:r>
    </w:p>
    <w:tbl>
      <w:tblPr>
        <w:tblW w:w="5695" w:type="dxa"/>
        <w:jc w:val="left"/>
        <w:tblInd w:w="0" w:type="dxa"/>
        <w:tblLayout w:type="fixed"/>
        <w:tblCellMar>
          <w:top w:w="28" w:type="dxa"/>
          <w:left w:w="28" w:type="dxa"/>
          <w:bottom w:w="28" w:type="dxa"/>
          <w:right w:w="28" w:type="dxa"/>
        </w:tblCellMar>
      </w:tblPr>
      <w:tblGrid>
        <w:gridCol w:w="2131"/>
        <w:gridCol w:w="146"/>
        <w:gridCol w:w="244"/>
        <w:gridCol w:w="958"/>
        <w:gridCol w:w="454"/>
        <w:gridCol w:w="244"/>
        <w:gridCol w:w="244"/>
        <w:gridCol w:w="958"/>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Equity-Based Compensation - Restricted Stock Awards ("RSAs")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The Company has granted RSAs to certain non-employee directors. Holders of RSAs have no voting rights and accrue dividends until vesting with payment being made once they vest. When RSAs vest, the awards are generally settled in equity. All of the shares currently vest one year from the grant date. Compensation expense equal to the grant date fair value is recognized for these awards over the vesting period and is included in compensation and benefits in the Consolidated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Statements of Operations. RSA compensation cost is estimated at the grant date based on the fair value of the award, which is based on the closing market price on the day of grant and is recognized as expense ratably over the requisite service period of the awards. The stock-based compensation expense for RSAs was $0.3 million and $0.7 million for the three and nine months ended September 30, 2025, respectively, and $0.3 million and $0.5 million for the three and nine months ended September 30, 2024, respectively, which is included in compensation and benefits on the Consolidated Statements of Operations. There was $0 and $1.0 million of associated income tax benefit for the three and nine months ended September 30, 2025, respectively, and $0 and $0.6 million for the three and nine months ended September 30, 2024, respectively. Unrecognized stock-based compensation expense related to outstanding unvested RSAs as of September 30, 2025 was $0.8 million and is expected to be recognized over a weighted average period of 0.7 years. Any future forfeitures will impact this amount.</w:t>
      </w:r>
    </w:p>
    <w:tbl>
      <w:tblPr>
        <w:tblW w:w="6952" w:type="dxa"/>
        <w:jc w:val="left"/>
        <w:tblInd w:w="0" w:type="dxa"/>
        <w:tblLayout w:type="fixed"/>
        <w:tblCellMar>
          <w:top w:w="28" w:type="dxa"/>
          <w:left w:w="28" w:type="dxa"/>
          <w:bottom w:w="28" w:type="dxa"/>
          <w:right w:w="28" w:type="dxa"/>
        </w:tblCellMar>
      </w:tblPr>
      <w:tblGrid>
        <w:gridCol w:w="3211"/>
        <w:gridCol w:w="146"/>
        <w:gridCol w:w="146"/>
        <w:gridCol w:w="781"/>
        <w:gridCol w:w="166"/>
        <w:gridCol w:w="146"/>
        <w:gridCol w:w="612"/>
        <w:gridCol w:w="1353"/>
        <w:gridCol w:w="3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 Per RSA</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Equity-Based Compensation - Restricted Stock Units ("RSUs")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granted restricted stock units ("RSUs") to certain employees. Holders of RSUs have no voting rights and generally are not eligible to receive dividends or other distributions paid with respect to any RSUs that have not vested. When RSUs vest, the awards are generally settled in equity net of employee tax withholdings. Compensation expense equal to the grant date fair value is recognized for these awards over the vesting period and is included in compensation and benefits in the Consolidated Statements of Operations. RSU compensation cost is estimated at the grant date based on the fair value of the award, which is based on one of the following methods: (1) the closing market price on the day of the grant, (2) the closing market price on the day prior to grant, or (3) a 30-day volume weighted average price ("VWAP") is recognized as expense ratably over the requisite service period of the awards. Most of the shares currently vest one year from the grant date excluding certain executive RSUs, the Bonaccord Units and Executive Market Units, which are discussed in more detail below. The stock-based compensation expense for RSUs excluding the Bonaccord Units, Executive Transition Units, and Executive Market Units, which are discussed in more detail below, was $4.0 million and $11.2 million for the three and nine months ended September 30, 2025, respectively, and $2.0 million and $7.2 million for the three and nine months ended September 30, 2024, respectively, which is included in compensation and benefits on the Consolidated Statements of Operations. There was $0.2 million and $9.3 million of associated income tax benefit for the three and nine months ended September 30, 2025, respectively, and $0 and $6.0 million for the three and nine months ended September 30, 2024, respectively. Unrecognized stock-based compensation expense related to outstanding unvested RSUs as of September 30, 2025 was $7.8 million and is expected to be recognized over a weighted average period of 0.79 years. Any future forfeitures will impact this amount.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time of the Bonaccord acquisition, the Company entered into a Notice of Restricted Stock Units with certain employees of Bonaccord for grants of Restricted Stock Units ("Bonaccord Units") to be allocated to employees at a later date for meeting certain performance metrics. On August 16, 2022, allocations were finalized pursuant to which an aggregate value of $17.5 million of units may vest at each future achievement of performance metrics. As of September 30, 2025, certain performance metrics have been met and specific employees have earned and been paid $17.5 million in value of which $6.6 million was settled in shares and $10.9 million was settled in cash.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the vesting in full of the Bonaccord Units, the Company entered into a Cash Bonus and Restricted Stock Unit Agreement ("Bonus and Unit Agreement") with certain employees of Bonaccord for grants of additional RSUs ("Additional Units") and cash bonus with a total aggregate value of $17.5 million, equaling a maximum of 1,457,119 Additional Units. On May 12, 2025, $14.0 million was allocated to employees which included $2.1 million being settled as a cash bonus and $11.9 million as 994,762 Additional Units that would vest upon meeting certain performance metrics. As of September 30, 2025, an additional 291,424 of the Additional Units remain to be allocated. On May 12, 2025, the Company evaluated that all the Bonaccord Units are probable to be earned. The Company evaluates when it is probable that the Bonaccord Units will vest and applies the tranche method to determine the amount of expense to recognize during the period. An expense of $4.2 million and $7.9 million has been recorded for the three and nine months ended September 30, 2025, respectively, and $3.1 million and $3.2 million for the three and nine months ended September 30, 2024 on the Consolidated Statements of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Operations. The income tax benefit associated with the Bonaccord Units was $0 and $6.1 million for the three and nine months ended September 30, 2025, respectively, and $1.7 million and $3.5 million for the three and nine months ended September 30, 2024, respectively. Unrecognized stock-based compensation expense related to the Bonaccord Units as of September 30, 2025 was $6.1 million and is expected to be recognized over 1.75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23, 2023, the Company transitioned from our former co-CEOs to our current CEO ("Executive Transition"). The Company entered into an Executive Transition Agreement with a certain former executive, which granted Restricted Stock Units ("Executive Transition Units") for meeting a service requirement. The award had a stated value of $4.0 million and was issued in $1.0 million increments quarterly beginning on October 20, 2023 and at the start of each of the following three quarters. Each $1.0 million increment will vest one year following issuance. Attributes of this award include graded vesting and service conditions, therefore, the expense recognition of this award is recognized on a straight-line basis over the requisite service period of the award in line with the policy election discussed in Note 2. As of December 31, 2024, all Executive Transition Units have vested and been issued. No stock compensation expense for these units were incurred for both the three and nine months ended September 30, 2025. For the three and nine months ended September 30, 2024, $1.8 million and $3.0 million of stock compensation expense, respectively, was recognized on the Consolidated Statements of Operations. There was no associated income tax benefit for the Executive Transition Units for the three and nine months ended September 30, 2025 and for the three and nine months ended September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time of Executive Transition, the Company entered into an Employment Agreement with a certain executive, which granted Restricted Stock Units ("Executive Market Units") for meeting a service requirement and achieving certain share price performance hurdles based on the thirty-day VWAP. The executive is entitled to receive RSUs upon the thirty-day VWAP of the Company's common stock reaching certain per share prices at any time prior to the fifth anniversary of the start date. There are five price per share performance hurdles for the executive to meet with each hurdle achievement allowing for the issuance of $8.0 million of units, with the number of shares determined by dividing $8.0 million by the applicable stock price performance hurdle, for a total of up to $40.0 million of units or approximately 2 million shares. The Executive Market Units may not be transferred, sold, pledged, exchanged, assigned, or otherwise encumbered or disposed of by any grantee until they have become vested. The RSUs shall vest ratably on the third, fourth, and fifth anniversaries of the executive's start date, provided that no such units shall vest earlier than the first anniversary of the applicable issuance date of such units. The fair value was determined using a Monte Carlo simulation as of the executive's start date of October 23, 2023, and was determined to be $10.8 million. As of September 30, 2025, none of the Executive Market Units have vested. For the three and nine months ended September 30, 2025, $0.6 million and $2.0 million of stock compensation expense was recognized on the Consolidated Statements of Operations. For the three and nine months ended September 30, 2024, $0.6 million and $2.0 million of stock compensation expense was recognized on the Consolidated Statements of Operations. There was no associated income tax benefit for the three and nine months ended September 30, 2025 and 2024. The unrecognized expense associated with the Executive Market Units was $5.6 million as of September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below table shows the assumptions used in the Monte Carlo simulation for the Executive Market Units' fair value.</w:t>
      </w:r>
    </w:p>
    <w:p>
      <w:pPr>
        <w:pStyle w:val="TextBody"/>
        <w:bidi w:val="0"/>
        <w:jc w:val="both"/>
        <w:rPr/>
      </w:pPr>
      <w:r>
        <w:rPr/>
        <w:t> </w:t>
      </w:r>
    </w:p>
    <w:tbl>
      <w:tblPr>
        <w:tblW w:w="3703" w:type="dxa"/>
        <w:jc w:val="left"/>
        <w:tblInd w:w="0" w:type="dxa"/>
        <w:tblLayout w:type="fixed"/>
        <w:tblCellMar>
          <w:top w:w="28" w:type="dxa"/>
          <w:left w:w="28" w:type="dxa"/>
          <w:bottom w:w="28" w:type="dxa"/>
          <w:right w:w="28" w:type="dxa"/>
        </w:tblCellMar>
      </w:tblPr>
      <w:tblGrid>
        <w:gridCol w:w="2131"/>
        <w:gridCol w:w="146"/>
        <w:gridCol w:w="142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23, 2023</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4.81%</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1.42%</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below table excludes Executive Market Units that the market conditions have not been satisfied.</w:t>
      </w:r>
    </w:p>
    <w:p>
      <w:pPr>
        <w:pStyle w:val="TextBody"/>
        <w:bidi w:val="0"/>
        <w:jc w:val="left"/>
        <w:rPr/>
      </w:pPr>
      <w:r>
        <w:rPr/>
        <w:t> </w:t>
      </w:r>
    </w:p>
    <w:tbl>
      <w:tblPr>
        <w:tblW w:w="7102" w:type="dxa"/>
        <w:jc w:val="left"/>
        <w:tblInd w:w="0" w:type="dxa"/>
        <w:tblLayout w:type="fixed"/>
        <w:tblCellMar>
          <w:top w:w="28" w:type="dxa"/>
          <w:left w:w="28" w:type="dxa"/>
          <w:bottom w:w="28" w:type="dxa"/>
          <w:right w:w="28" w:type="dxa"/>
        </w:tblCellMar>
      </w:tblPr>
      <w:tblGrid>
        <w:gridCol w:w="3211"/>
        <w:gridCol w:w="146"/>
        <w:gridCol w:w="146"/>
        <w:gridCol w:w="931"/>
        <w:gridCol w:w="166"/>
        <w:gridCol w:w="146"/>
        <w:gridCol w:w="529"/>
        <w:gridCol w:w="1436"/>
        <w:gridCol w:w="3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 Per RSU</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17.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presents basic EPS and diluted EPS for our common stock. Basic EPS excludes potential dilution and is computed by dividing net income by the weighted-average number of common shares outstanding for the period. Diluted EPS reflects the potential dilution that could occur if shares of common stock were issued pursuant to our stock-based compensation awards. For the three and nine months ended September 30, 2025 and the three and nine months ended September 30, 2024, diluted EPS also reflects the potential dilution that could occur assuming that all units in P10 Intermediate that were granted as a result of the WTI acquisition are converted to shares of Class A common stock. Because the impact of these items is generally anti-dilutive during periods of net loss, there is no difference between basic and diluted loss per common share for periods with net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Class A and Class B shares outstanding, therefore follows the two-class method. However, the shares are entitled to the same amount of the Company's earnings therefore the earnings per share calculation for Class A and Class B shares will always be equivalent.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a reconciliation of the numerators and denominators used in the computation of basic and diluted EPS: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97"/>
        <w:gridCol w:w="146"/>
        <w:gridCol w:w="245"/>
        <w:gridCol w:w="908"/>
        <w:gridCol w:w="169"/>
        <w:gridCol w:w="169"/>
        <w:gridCol w:w="245"/>
        <w:gridCol w:w="908"/>
        <w:gridCol w:w="166"/>
        <w:gridCol w:w="146"/>
        <w:gridCol w:w="241"/>
        <w:gridCol w:w="896"/>
        <w:gridCol w:w="167"/>
        <w:gridCol w:w="167"/>
        <w:gridCol w:w="241"/>
        <w:gridCol w:w="896"/>
        <w:gridCol w:w="598"/>
      </w:tblGrid>
      <w:tr>
        <w:trPr/>
        <w:tc>
          <w:tcPr>
            <w:tcW w:w="3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8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8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Numerator for basic calculation—Net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Numerator for basic calculation—Net income</w:t>
              <w:br/>
              <w:t>   attributable to P10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13,420</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38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attributable to noncontrolling interests in P10 Intermediate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for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Numerator for earnings per share assuming dilution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10,588</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13,966</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Denominator for basic calculation—Weighted-</w:t>
              <w:br/>
              <w:t>   average shares outstanding, basic attributable to P10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109,933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110,612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112,954</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shares assumed upon exercise of partnership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shares assumed upon exercise of stock</w:t>
              <w:br/>
              <w:t>   options and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shares assumed upon the termination of an acquisition equity holdback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earnings per share assuming dilution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117,802</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118,508</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120,738</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Earnings per Class A share—basic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Earnings per Class A share—diluted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Earnings per Class B share—basic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Earnings per Class B share—diluted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computations of diluted earnings per share on a weighted average basis would exclude 8.3 million and 8.0 million options and RSUs for the three and nine months ended September 30, 2025, respectively, because the options were anti-dilutive. The computations of diluted earnings per share on a weighted average basis exclude 8.1 million and 10.1 million options for the three and nine months ended September 30, 2024, respectively, because the options were anti-dilutive.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18.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accounting policies of the Company's single operating segment are the same as those described in the summary of significant accounting policies in Note 2.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Customer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individual client constituted more than 10% of the Company's total revenues for the three and nine months ended September 30, 2025. No individual client constituted more than 10% of the Company's total revenues for the three and nine months ended September 30, 2024. Refer to Note 4 for further details provided on the Company's source of revenues. From time to time, a fund managed by the Company will constitute more than 10% of the Company's total revenue due to catch-up fees, which are described in Note 2. Catch-up fees are non-recurring in nature and as such these funds do not represent a concentration risk for the Company's revenue.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Geographic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geographic region in which the Company invests is in the United States and the majority of its revenues are generated in the United States. For the three and nine months ended September 30, 2025 and 2024, most of the Company's revenues were generated in the United States. No individual foreign country constituted more than 10% of the Company's revenues for the three and nine months ended September 30, 2025 and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long-lived assets consist of property and equipment, lease right-of-use assets, and finite-lived intangibles. As of September 30, 2025, 73% of the Company's long-lived assets were in the United States and 27% of the Company's long-lived assets were in Spain. As of December 31, 2024, most of the Company's long-lived assets were in the United States. No individual foreign country constituted more than 10% of the Company's long-lived assets as of December 31,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Segment Expense</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presents information about reported segment revenue, segment profit or loss, and significant segment expenses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3576"/>
        <w:gridCol w:w="146"/>
        <w:gridCol w:w="260"/>
        <w:gridCol w:w="910"/>
        <w:gridCol w:w="205"/>
        <w:gridCol w:w="180"/>
        <w:gridCol w:w="260"/>
        <w:gridCol w:w="910"/>
        <w:gridCol w:w="166"/>
        <w:gridCol w:w="146"/>
        <w:gridCol w:w="250"/>
        <w:gridCol w:w="929"/>
        <w:gridCol w:w="197"/>
        <w:gridCol w:w="173"/>
        <w:gridCol w:w="250"/>
        <w:gridCol w:w="929"/>
        <w:gridCol w:w="718"/>
      </w:tblGrid>
      <w:tr>
        <w:trPr/>
        <w:tc>
          <w:tcPr>
            <w:tcW w:w="3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75,929</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216,300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211,434</w:t>
            </w:r>
          </w:p>
        </w:tc>
        <w:tc>
          <w:tcPr>
            <w:tcW w:w="71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Less: cash compensation and benefits, net of one-time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(78,521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(77,548</w:t>
            </w:r>
          </w:p>
        </w:tc>
        <w:tc>
          <w:tcPr>
            <w:tcW w:w="71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Less: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(11,269</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(23,039</w:t>
            </w:r>
          </w:p>
        </w:tc>
        <w:tc>
          <w:tcPr>
            <w:tcW w:w="71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Less: management profit share</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71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Less: professional fees, net of one-time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w:t>
            </w:r>
          </w:p>
        </w:tc>
        <w:tc>
          <w:tcPr>
            <w:tcW w:w="71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Less: general, administrative and other, net of one-time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(15,245</w:t>
            </w:r>
          </w:p>
        </w:tc>
        <w:tc>
          <w:tcPr>
            <w:tcW w:w="71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Less: placement agent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w:t>
            </w:r>
          </w:p>
        </w:tc>
        <w:tc>
          <w:tcPr>
            <w:tcW w:w="71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Less: other segment items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(21,112</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(59,533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(63,840</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11,929</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13,966</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(1) Other segment items included in net income includes (i) contingent consideration expense, amortization of intangibles, strategic alliance expense, income tax expense, interest expense, net, as well as other income, and (ii) one-time expenses excluded from the significant segment expenses.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(2) Management profit share represents compensation expense attributable to variable compensation structures tied to the profitability of our business, paid to senior employees.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reconciles the components of cash compensation and benefits, net of one-time expenses to their equivalent GAAP measures, reported in the Consolidated Statement of Operations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3633"/>
        <w:gridCol w:w="146"/>
        <w:gridCol w:w="274"/>
        <w:gridCol w:w="959"/>
        <w:gridCol w:w="216"/>
        <w:gridCol w:w="190"/>
        <w:gridCol w:w="274"/>
        <w:gridCol w:w="881"/>
        <w:gridCol w:w="166"/>
        <w:gridCol w:w="146"/>
        <w:gridCol w:w="257"/>
        <w:gridCol w:w="954"/>
        <w:gridCol w:w="202"/>
        <w:gridCol w:w="178"/>
        <w:gridCol w:w="257"/>
        <w:gridCol w:w="954"/>
        <w:gridCol w:w="518"/>
      </w:tblGrid>
      <w:tr>
        <w:trPr/>
        <w:tc>
          <w:tcPr>
            <w:tcW w:w="3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111,546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115,893</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(23,039</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Management profit share</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One-time expenses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(10,714</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compensation and benefits, net of one-time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27,317</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78,521</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77,548</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(1) The adjustments for one-time expenses relate primarily to (i) restructuring of the management team including signing bonus and severance; and (ii) acquisition-related expenses which reflects the actual costs incurred during the period for the acquisition of new businesses, which primarily consists of bonuses not paid to employees directly related to the WTI acquisition.</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(2) Management profit share represents compensation expense attributable to variable compensation structures tied to the profitability of our business, paid to senior employees.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reconciles the components of professional fees, net of one-time expenses to their equivalent GAAP measures, reported in the Consolidated Statement of Operations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3259"/>
        <w:gridCol w:w="146"/>
        <w:gridCol w:w="319"/>
        <w:gridCol w:w="956"/>
        <w:gridCol w:w="251"/>
        <w:gridCol w:w="220"/>
        <w:gridCol w:w="319"/>
        <w:gridCol w:w="956"/>
        <w:gridCol w:w="166"/>
        <w:gridCol w:w="146"/>
        <w:gridCol w:w="300"/>
        <w:gridCol w:w="963"/>
        <w:gridCol w:w="236"/>
        <w:gridCol w:w="207"/>
        <w:gridCol w:w="300"/>
        <w:gridCol w:w="963"/>
        <w:gridCol w:w="498"/>
      </w:tblGrid>
      <w:tr>
        <w:trPr/>
        <w:tc>
          <w:tcPr>
            <w:tcW w:w="32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3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16,472</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325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One-time expenses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(8,648</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(6,687</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net of one-time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11,093</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adjustments for one-time expenses relate primarily to (i) restructuring of the management team including placement/search fees; (ii) acquisition-related expenses which reflects the actual costs incurred during the period for the acquisition of new businesses, which primarily consists of fees for professional services including legal, accounting, and advisory related to the acquisition; (iii) the cost of financing our business; and (iv) one-time advisory services related to technical accounting matters.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table reconciles the components of general, administrative and other, net of one-time expenses to their equivalent GAAP measures, reported in the Consolidated Statement of Operations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3692"/>
        <w:gridCol w:w="146"/>
        <w:gridCol w:w="294"/>
        <w:gridCol w:w="879"/>
        <w:gridCol w:w="231"/>
        <w:gridCol w:w="203"/>
        <w:gridCol w:w="294"/>
        <w:gridCol w:w="879"/>
        <w:gridCol w:w="166"/>
        <w:gridCol w:w="146"/>
        <w:gridCol w:w="279"/>
        <w:gridCol w:w="895"/>
        <w:gridCol w:w="219"/>
        <w:gridCol w:w="193"/>
        <w:gridCol w:w="279"/>
        <w:gridCol w:w="895"/>
        <w:gridCol w:w="515"/>
      </w:tblGrid>
      <w:tr>
        <w:trPr/>
        <w:tc>
          <w:tcPr>
            <w:tcW w:w="3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6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administrative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9,055</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24,704</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19,680</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Placement agent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w:t>
            </w:r>
          </w:p>
        </w:tc>
        <w:tc>
          <w:tcPr>
            <w:tcW w:w="51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6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One-time expenses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administrative and other, net of one-time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6,636</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18,860</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15,245</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(1) The adjustments for one-time expenses relate primarily to (i) expenses that typically do not require us to pay them in cash in the current period (such as depreciation and amortization); (ii) the cost of financing our business; and (iii) acquisition-related expenses which reflects the actual costs incurred during the period for the acquisition of new businesses.</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in tables stated in thousands, except per share amounts)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is reported on the Consolidated Statements of Operations as interest expense, net. Interest income is reported on the Consolidated Statements of Operations within other income and was $0.3 million an $1.0 million for the three and nine months ended September 30, 2025, respectively, and $0.3 million and $0.8 million for the three and nine months ended September 30, 2024.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19.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4, 2025, the Board of Directors of the Company declared a quarterly cash dividend of $0.0375 per share of Class A and Class B common stock, payable on December 19, 2025, to the holders of record as of the close of business on November 28, 2025.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accordance with ASC 855, </w:t>
      </w:r>
      <w:r>
        <w:rPr>
          <w:rFonts w:ascii="Times New Roman" w:hAnsi="Times New Roman"/>
          <w:i/>
          <w:color w:val="000000"/>
          <w:sz w:val="20"/>
        </w:rPr>
        <w:t>Subsequent Events</w:t>
      </w:r>
      <w:r>
        <w:rPr>
          <w:rFonts w:ascii="Times New Roman" w:hAnsi="Times New Roman"/>
          <w:color w:val="000000"/>
          <w:sz w:val="20"/>
        </w:rPr>
        <w:t xml:space="preserve">, the Company evaluated all material events or transactions that occurred after September 30, 2025, the Consolidated Balance Sheets date, through the date the Consolidated Financial Statements were issued, and determined there have been no additional events or transactions that would materially impact the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7_mda"/>
      <w:bookmarkEnd w:id="11"/>
      <w:r>
        <w:rPr>
          <w:rFonts w:ascii="Times New Roman" w:hAnsi="Times New Roman"/>
          <w:b/>
          <w:color w:val="000000"/>
          <w:sz w:val="20"/>
        </w:rPr>
        <w:t xml:space="preserve">Item 2. </w:t>
      </w:r>
      <w:bookmarkStart w:id="12" w:name="mda"/>
      <w:bookmarkEnd w:id="12"/>
      <w:r>
        <w:rPr>
          <w:rFonts w:ascii="Times New Roman" w:hAnsi="Times New Roman"/>
          <w:b/>
          <w:color w:val="000000"/>
          <w:sz w:val="20"/>
        </w:rPr>
        <w:t>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relates to the activities and operations of P10. As used in this section, “P10,” the “Company”, “we” or “our” includes P10 and only its consolidated subsidiaries. The following information should be read in conjunction with our selected financial and operating data and the accompanying consolidated financial statements and related notes contained elsewhere in this quarterly report on Form 10-Q. Our historical results discussed below, and the way we evaluate our results, may differ significantly from the descriptions of our business and key metrics used elsewhere in this quarterly report on Form 10-Q. The following discussion may contain forward-looking statements that reflects our plans, estimates and beliefs. Our actual results could differ materially from those discussed in these forward-looking statements. Factors that could cause or contribute to these differences include, but are not limited to, those discussed below and elsewhere in this Form 10-Q, and in our annual report on Form 10-K for the year ended December 31, 2024, particularly in "Risk Factors" and the "Forward-Looking Information." Unless otherwise indicated, references in this Quarterly Report on Form 10-Q to fiscal 2025 and 2024 are to our fiscal years ended December 31, 2025 and 2024, respectively.</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Business 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funds,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our private market solutions were comprised of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Private Equity Solutions (PES)</w:t>
      </w:r>
      <w:r>
        <w:rPr>
          <w:rFonts w:ascii="Times New Roman" w:hAnsi="Times New Roman"/>
          <w:color w:val="000000"/>
          <w:sz w:val="20"/>
        </w:rPr>
        <w:t>. Under PES, we make direct and indirect investments in middle and lower- middle market private equity across North America and Europe. PES also makes minority equity investments in a diversified portfolio of mid-sized managers across private equity, private credit, real estate and real assets. The PES investment team, which is comprised of 72 investment professionals with an average of 26+ years of experience, has deep and long-standing investor and fund manager relationships in the middle and lower-middle market which it has cultivated over the past 20 years, including over 4,500+ investors, 310+ fund managers, 690+ private market funds and 5,500+ portfolio companies. We have 70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6,400+ investment firms, 62,500+ funds, 69,500+ individual transactions, 49,400+ private companies and 537,500+ financial metrics. As of September 30, 2025, PES has raised a total of $24.2 billion assets under management ("AUM"), of which $17.2 billion are Fee-Paying Assets Under Management ("FPAUM"). AUM reflects the assets that we manage, and is calculated as the sum of: (i) net asset value ("NAV") of our clients' and funds' underlying investments as of the most recently available date; (ii) drawn and undrawn debt (excluding capital call lines); (iii) uncalled capital commitments (net of deferred purchase price and not in excess of total capital commitments, as applicable) as of the NAV record date; (iv) incremental commitments raised since NAV record date. In situations where NAV data is not available, such as with certain advisory relationships, we use FPAUM.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Venture Capital Solutions (VCS). </w:t>
      </w:r>
      <w:r>
        <w:rPr>
          <w:rFonts w:ascii="Times New Roman" w:hAnsi="Times New Roman"/>
          <w:color w:val="000000"/>
          <w:sz w:val="20"/>
        </w:rPr>
        <w:t>Under VCS, we make investments in venture capital funds across North America and specialize in targeting high-performing, access-constrained opportunities. The VCS investment team, which is comprised of 16 investment professionals with an average of 24+ years of experience, has deep and long-standing investor and fund manager relationships in the venture market which it has cultivated over the past 17+ years, including over 2,000+ investors, 120+ fund managers, 120+ direct investments, 440+ private market funds and 16,000+ portfolio companies. We have 22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September 30, 2025, VCS has raised a total of $10.8 billion AUM, of which $6.6 billion of FPAUM.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Private Credit Solutions (PCS). </w:t>
      </w:r>
      <w:r>
        <w:rPr>
          <w:rFonts w:ascii="Times New Roman" w:hAnsi="Times New Roman"/>
          <w:color w:val="000000"/>
          <w:sz w:val="20"/>
        </w:rPr>
        <w:t xml:space="preserve">Under PCS, we primarily make debt investments across North America, targeting lower middle market companies owned by leading financial sponsors and also offer certain private equity solutions. PCS also provides loans to mid-life, growth equity, venture and other funds backed by the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unrealized investments at the fund level and provide financing for companies that would otherwise require equity. The PCS investment team, which is comprised of 52 investment professionals with an average of 25+ years of experience, has deep and long-standing relationships in the private credit market which it has cultivated over the past 22 years, including 540+ investors across 49 active investment vehicles and 1,800+ portfolio companies with $10.2+ billion capital deployed. Our PCS is differentiated by our relationship-driven sourcing approach providing capital solutions for growth-oriented companies. We are further synergistically strengthened by our PCS network of fund managers, characterized by more than 1,400+ credit opportunities annually. We currently maintain 90+ active sponsor relationships and have 125+ platform investments. Within PCS, the Company has investments that target historic building preservation, brownfield remediation, and renewable energy projects, as well as provide capital to small businesses in underserved communities. These investments are differentiated in both the breadth of impact areas served, the type of capital deployed and the duration of the impact investing track record. As of September 30, 2025, PCS has raised a total of $7.5 billion AUM, of which $5.3 billion are FPAUM. Of the total AUM, impact assets represent $4.5 billion supporting investments in over 1,000 projects and businesses across 40 states, Washington DC, and Puerto Rico, not including investments made by non-impact affiliates. Investments in clean energy have generated an estimate of over 2,900 GWh of renewable energy from inception to December 31, 2024.</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Sources of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Primary Investment Funds. </w:t>
      </w:r>
      <w:r>
        <w:rPr>
          <w:rFonts w:ascii="Times New Roman" w:hAnsi="Times New Roman"/>
          <w:color w:val="000000"/>
          <w:sz w:val="20"/>
        </w:rPr>
        <w:t>Primary investment funds refer to investment vehicles which target investments in new private markets funds, which in turn invest directly in portfolio companies. P10’s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$15.5 billion of our FPAUM as of September 30,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Direct and Co-Investment Funds. </w:t>
      </w:r>
      <w:r>
        <w:rPr>
          <w:rFonts w:ascii="Times New Roman" w:hAnsi="Times New Roman"/>
          <w:color w:val="000000"/>
          <w:sz w:val="20"/>
        </w:rPr>
        <w:t>Direct and co-investments involve acquiring an equity interest in or making a loan to an operating company, project, property, alternative asset manager, or asset, typically by co-investing alongside an investment by a fund manager or by investing directly in the underlying asset. P10’s direct and co- 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from investors typically average ten to fifteen years, though they may vary by fund. We offer direct and co-investment funds across our private equity, venture capital, and private credit solutions. Often, the fees are structured such that they step down, or decrease, over the life of the fund. Our direct investing platform comprises approximately $10.7 billion of our FPAUM as of September 30,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Secondary Investment Funds. </w:t>
      </w:r>
      <w:r>
        <w:rPr>
          <w:rFonts w:ascii="Times New Roman" w:hAnsi="Times New Roman"/>
          <w:color w:val="000000"/>
          <w:sz w:val="20"/>
        </w:rPr>
        <w:t>Secondary investment funds refer to investments in existing private markets funds through the acquisition of an existing interest in a private markets fund by one investor from another in a negotiated transaction. In so doing, the buyer agrees to take on future funding obligations in exchange for future returns and distributions. Because secondary investment funds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secondary investment funds across our private equity solutions. Often, the fees are structured such that they step down, or decrease, over the life of the fund. Our secondary funds comprise approximately $2.9 billion of our FPAUM as of September 30, 2025.</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Operating Segments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our business as a single operating segment, which is how our chief operating decision maker evaluates financial performance and makes decisions regarding the allocation of resources.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Trends Affecting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affected by a variety of factors, including conditions in the financial markets and economic and political conditions in the North American and European markets in which we operate, as well as changes in global economic conditions, and regulatory or other governmental policies or actions, which can materially affect the values of the funds our platforms manage, as well as our ability to effectively manage investments and attract capital. Despite higher interest rates and the global economy outlook remaining uncertain, we continue to see investors turning towards alternative investments to achieve asset class diversification, superior investment returns, and participation in access constrained investment opportunities.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continued growth of our business may be influenced by several factors, including the following market trends: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Accelerating demand for private markets solutions. </w:t>
      </w:r>
      <w:r>
        <w:rPr>
          <w:rFonts w:ascii="Times New Roman" w:hAnsi="Times New Roman"/>
          <w:color w:val="000000"/>
          <w:sz w:val="20"/>
        </w:rPr>
        <w:t>Our ability to attract new capital is dependent on investor demand for private markets solutions. We believe the composition of public markets is fundamentally shifting and will drive growth in private markets investing as fewer companies elect to become public corporations, while more companies are choosing to stay privately held or return to being privately held. Furthermore, investors continue to increase their exposure to passive strategies in search of lower fee alternatives. We believe the continued move away from active public market strategies into passive strategies will support growth in private market solutions as investors seek higher risk-adjusted returns. Additional trends driving investor demand are (a) increasing long-term investor allocations towards private market asset classes, and (b) legislation that allows retirement plans to add private equity vehicles as an investment option and impact investing by the institutional and high net worth investor community, and demand from high-net-worth individuals, also known as retail investors.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Favorable lower and lower-middle market dynamics, and data driven sourcing. </w:t>
      </w:r>
      <w:r>
        <w:rPr>
          <w:rFonts w:ascii="Times New Roman" w:hAnsi="Times New Roman"/>
          <w:color w:val="000000"/>
          <w:sz w:val="20"/>
        </w:rPr>
        <w:t>We attribute our strong investment performance track record 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fuels our highly selective investment process. Our database stores and organizes a universe of managers and opportunities with powerful tracking metrics that we believe drive optimal portfolio construction, management, and monitoring and enable a portfolio grading system, as well as repository of investment evaluation scorecards. Our ability to maintain our data advantage is dependent on several factors, including our continued access to a broad set of private market information on an on-going basis.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Expanding asset class solutions, broadening geographic reach and growing private markets network effect. </w:t>
      </w:r>
      <w:r>
        <w:rPr>
          <w:rFonts w:ascii="Times New Roman" w:hAnsi="Times New Roman"/>
          <w:color w:val="000000"/>
          <w:sz w:val="20"/>
        </w:rPr>
        <w:t>Our ability to continue growing is impacted by our scalability and ability to maximize investor relationships. The purview of private markets has meaningfully broadened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 Our scalable business model is well positioned to expand and grow our footprint as we develop our position within the private markets ecosystem to further leverage our synergistic solutions offering. We currently have a leading presence in North America and now with the acquisition of Qualitas, a presence in Europe. We believe that expanding our investor presence into international markets will be a significant growth driver for our business as investors continue to seek geographically diverse private market exposure. Further, expanding into additional asset class solutions can enable us to further enhance our integrated network effect across private markets by, among other benefits, fostering deeper manager relationships. We believe that the growing number of private markets focused fund managers increases the operational burden on investors and will lead to a greater reliance on highly trusted advisors to help investors navigate the complexity associated with multi-asset class manager selection.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Political uncertainty, foreign currency exposure, and increasing regulatory requirements. </w:t>
      </w:r>
      <w:r>
        <w:rPr>
          <w:rFonts w:ascii="Times New Roman" w:hAnsi="Times New Roman"/>
          <w:color w:val="000000"/>
          <w:sz w:val="20"/>
        </w:rPr>
        <w:t xml:space="preserve">There is uncertainty in fluctuation around potential legal, regulatory, currency exchange rates and tax changes, which may impact our profitability or impact our ability to operate and grow our business. Additionally, the complex regulatory and tax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environment carries the potential to restrict our operations and our business activities, as well as subject us to increased compliance and administrative burdens.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Our ability to raise capital in order to fund acquisitions and strategic growth initiatives. </w:t>
      </w:r>
      <w:r>
        <w:rPr>
          <w:rFonts w:ascii="Times New Roman" w:hAnsi="Times New Roman"/>
          <w:color w:val="000000"/>
          <w:sz w:val="20"/>
        </w:rPr>
        <w:t>In addition to organic growth of our existing solutions and services, our growth will continue to depend, in part, on our ability to identify, evaluate and acquire high performing and high-quality asset management businesses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 price of our shares.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Increased competition to work with top private equity fund managers. </w:t>
      </w:r>
      <w:r>
        <w:rPr>
          <w:rFonts w:ascii="Times New Roman" w:hAnsi="Times New Roman"/>
          <w:color w:val="000000"/>
          <w:sz w:val="20"/>
        </w:rPr>
        <w:t>There has been a trend amongst larger private markets investors to consolidate the number of general partners with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Data advantage relative to competitors. </w:t>
      </w:r>
      <w:r>
        <w:rPr>
          <w:rFonts w:ascii="Times New Roman" w:hAnsi="Times New Roman"/>
          <w:color w:val="000000"/>
          <w:sz w:val="20"/>
        </w:rPr>
        <w:t>We believe that the general trend towards transparency and consistency in private markets reporting will create new opportunities for us to leverage our databases and analytical capabilities. We intend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several factors, including our continued access to a broad set of private market information on an on-going basis, as well as our ability to maintain our investment scale, considering the evolving competitive landscape and potential industry consolidation.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Consolidation of Manager relationships and flight to quality. </w:t>
      </w:r>
      <w:r>
        <w:rPr>
          <w:rFonts w:ascii="Times New Roman" w:hAnsi="Times New Roman"/>
          <w:color w:val="000000"/>
          <w:sz w:val="20"/>
        </w:rPr>
        <w:t xml:space="preserve">As global financial markets continue to remain uncertain and private markets investors evaluate their exposure and allocation to private markets, a trend of consolidating managers has emerged. Our strategies, with long-track records of success, deep industry experience, well-established relationships, and high-quality investment opportunities, can benefit from a trend toward reducing the number of managers to which capital is allocated. Furthermore, we believe that by offering investors access to access-constrained investment opportunities, investors may favor our strategies as they make decisions on market exposure and allocation levels.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All-weather strategies can thrive in a myriad of environments. </w:t>
      </w:r>
      <w:r>
        <w:rPr>
          <w:rFonts w:ascii="Times New Roman" w:hAnsi="Times New Roman"/>
          <w:color w:val="000000"/>
          <w:sz w:val="20"/>
        </w:rPr>
        <w:t>Some strategies are counter-cyclical in nature and can take advantage of a higher rate environment. Specifically, private credit products, including our NAV lending strategy, with floating rate terms, benefit from the current environment, with floating rates and longer duration. The higher rate environment also benefits our venture debt strategy as rates float throughout the investment period.</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Key Financial &amp; Operating Metrics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earn management and advisory fees based on a percentage of investors’ capital commitments in or, in select cases, capital deployed to our investment funds.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 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component of our overall revenue stream, they may result in a temporary increase in our revenues in the period in which they are recognized.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 Incentive fees consists of carried interest income from a pre-acquisition legacy managed fund and incremental incentive revenues earned as a part of an advisory agreement between ECG and Crossroads Impact Corp, which was terminated by the parties on December 23,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an accrued contingent liability and contingent payments to customers in our Consolidated Balance Sheets for agreements between ECG and third parties. The agreements require ECG to share in certain revenues earned with the third parties and also includes an option for the third parties to sell back the revenue share to ECG at a set multiple. Additionally, ECG holds the option to buy back 50% of the revenue share at a set multiple. The Company believes it is probable that the remaining third parties will exercise their options to sell back the revenue share and has recognized liabilities on the Consolidated Balance Sheets. The Company has also recognized contingent payments to customers assets associated with the agreements and will amortize the assets against revenue over the estimated length of the management contracts. The amortization is reported in management and advisory fees on the Consolidated Statements of Operations.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Compensation and benefits are our largest expense and consists of salaries, bonuses, severance, stock-based compensation, earnout and bonus payments related to the acquisition of WTI,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It allows our investment professionals to receive additional benefit and provides an economic incentive for them to outperform on behalf of our investors. This structure differs from that of most of our competitors, which we believe better aligns the objectives of our stockholders, investors and investment professionals.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Professional fees primarily consist of legal, advisory, accounting and tax fees which may include services related to our strategic development opportunities such as due diligence performed in connection with potential acquisitions. As our Company is an SEC registrant, our professional fees will fluctuate commensurate with our strategic objectives and potential acquisitions, and certain recurring accounting advisory, audit and tax expenses will increase to comply with additional regulatory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administrative, and other includes rent, travel and entertainment, technology, insurance and other general costs associated with operating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Strategic alliance expense was included in operating expenses. This expense was driven by the Strategic Alliance Agreement that Bonaccord entered into with an investor at the time Bonaccord was acquired in exchange for a portion of net management fee earnings.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(Expense)/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net includes interest paid and accrued on our outstanding debt, along with the amortization of deferred financing costs. Other income (loss) includes any (loss)/income from unconsolidated subsidiaries, interest income earned from bank accounts across management companies, the loss recognized for the conversion of the right to receive 15% of net management fee earnings to a 15% equity interest in Bonaccord, remeasurement of the contingent loss related to the Clifford guarantee, and accrued expenses related to litigation and regulatory activity as necessary, which would be discussed in Note 14 of our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is comprised of current and deferred tax expense. Current income tax expense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Fee-Paying Assets Under Management, or FPAUM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or deployed capital are not affected by market appreciation or depreciation.</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For the three and nine months ended September 30, 2025 and September 30,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38"/>
        <w:gridCol w:w="146"/>
        <w:gridCol w:w="218"/>
        <w:gridCol w:w="617"/>
        <w:gridCol w:w="182"/>
        <w:gridCol w:w="176"/>
        <w:gridCol w:w="218"/>
        <w:gridCol w:w="617"/>
        <w:gridCol w:w="151"/>
        <w:gridCol w:w="146"/>
        <w:gridCol w:w="181"/>
        <w:gridCol w:w="481"/>
        <w:gridCol w:w="151"/>
        <w:gridCol w:w="146"/>
        <w:gridCol w:w="721"/>
        <w:gridCol w:w="146"/>
        <w:gridCol w:w="229"/>
        <w:gridCol w:w="744"/>
        <w:gridCol w:w="191"/>
        <w:gridCol w:w="185"/>
        <w:gridCol w:w="229"/>
        <w:gridCol w:w="744"/>
        <w:gridCol w:w="151"/>
        <w:gridCol w:w="146"/>
        <w:gridCol w:w="181"/>
        <w:gridCol w:w="481"/>
        <w:gridCol w:w="151"/>
        <w:gridCol w:w="146"/>
        <w:gridCol w:w="792"/>
      </w:tblGrid>
      <w:tr>
        <w:trPr/>
        <w:tc>
          <w:tcPr>
            <w:tcW w:w="1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September 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Management and advisory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74,316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72,595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212,567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206,192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3%</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5,242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center"/>
              <w:rPr>
                <w:rFonts w:ascii="Times New Roman" w:hAnsi="Times New Roman"/>
                <w:color w:val="000000"/>
                <w:sz w:val="14"/>
              </w:rPr>
            </w:pPr>
            <w:r>
              <w:rPr>
                <w:rFonts w:ascii="Times New Roman" w:hAnsi="Times New Roman"/>
                <w:color w:val="000000"/>
                <w:sz w:val="14"/>
              </w:rPr>
              <w:t>(29)%</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75,929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74,243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216,300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211,434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42,321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111,546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115,893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(4)%</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6,483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20%</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General, administrative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9,055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26%</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Contingent consideration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N/A</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6,195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(9)%</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Strategic alliance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center"/>
              <w:rPr>
                <w:rFonts w:ascii="Times New Roman" w:hAnsi="Times New Roman"/>
                <w:color w:val="000000"/>
                <w:sz w:val="14"/>
              </w:rPr>
            </w:pPr>
            <w:r>
              <w:rPr>
                <w:rFonts w:ascii="Times New Roman" w:hAnsi="Times New Roman"/>
                <w:color w:val="000000"/>
                <w:sz w:val="14"/>
              </w:rPr>
              <w:t>(67)%</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65,229</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65,417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176,641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173,670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10,700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OTHER (EXPENSE)/LOSS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(6,987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9%</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(loss)/income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371</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(6,347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center"/>
              <w:rPr>
                <w:rFonts w:ascii="Times New Roman" w:hAnsi="Times New Roman"/>
                <w:color w:val="000000"/>
                <w:sz w:val="14"/>
              </w:rPr>
            </w:pPr>
            <w:r>
              <w:rPr>
                <w:rFonts w:ascii="Times New Roman" w:hAnsi="Times New Roman"/>
                <w:color w:val="000000"/>
                <w:sz w:val="14"/>
              </w:rPr>
              <w:t>N/A</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Total 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(6,616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47%</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4,084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(29)%</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(1,051</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(60)%</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3,033</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11,929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(15)%</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For the Three Months Ended September 30, 2025 and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of average FPAUM for the three months ended September 30, 2025 and September 30, 2024. For the three months ended September 30, 2025 compared to the three months ended September 30, 2024, revenues increased by $1.7 million or 2% due to higher management and advisory fees across the Company as well as expanding operations through the Qualitas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and advisory fees increased by $1.7 million, or 2%, to $74.3 million for the three months ended September 30, 2025 as compared to the three months ended September 30, 2024. The growth in management and advisory fees is attributable to continued success in fundraising and deploying capital. Furthermore, the Qualitas acquisition added to our fee base. Catch-up fees for the three months ended September 30, 2025 were $0.4 million. Catch-up fees are primarily associated with fund closings at Qualitas, RCP, and TrueBridge.</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For the Nine Months Ended September 30, 2025 and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nine months ended September 30, 2025 and September 30, 2024. For the nine months ended September 30, 2025 compared to the nine months ended September 30, 2024, revenues increased by $4.9 million or 2% primarily due to higher management and advisory fees across the Company as well as expanding operations through the Qualitas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Management and advisory fees increased by $6.4 million, or 3%, to $212.6 million for the nine months ended September 30, 2025 as compared to the nine months ended September 30, 2024. The growth in management and advisory fees is attributable to continued success in fundraising and deploying capital. Furthermore, the Qualitas acquisition added to our fee base. Catch-up fees for the nine months ended September 30, 2025 were $4.9 million associated with the fund closings at Qualitas, RCP, and TrueBridge.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Other revenues decreased by $1.5 million or 29% to $3.7 million for the nine months ended September 30, 2025 as compared to the nine months ended September 30, 2024 primarily driven by revenue recognized in 2024 from carried interest income from a pre-acquisition legacy managed fund in other revenue of $1.9 million that did not recur in 2025. The decrease was offset slightly by an increase of $0.6 million of income associated with ancillary services performed for certain funds in other revenue.</w:t>
      </w:r>
    </w:p>
    <w:tbl>
      <w:tblPr>
        <w:tblW w:w="10413" w:type="dxa"/>
        <w:jc w:val="left"/>
        <w:tblInd w:w="0" w:type="dxa"/>
        <w:tblLayout w:type="fixed"/>
        <w:tblCellMar>
          <w:top w:w="28" w:type="dxa"/>
          <w:left w:w="28" w:type="dxa"/>
          <w:bottom w:w="28" w:type="dxa"/>
          <w:right w:w="28" w:type="dxa"/>
        </w:tblCellMar>
      </w:tblPr>
      <w:tblGrid>
        <w:gridCol w:w="1216"/>
        <w:gridCol w:w="146"/>
        <w:gridCol w:w="196"/>
        <w:gridCol w:w="601"/>
        <w:gridCol w:w="146"/>
        <w:gridCol w:w="146"/>
        <w:gridCol w:w="196"/>
        <w:gridCol w:w="601"/>
        <w:gridCol w:w="146"/>
        <w:gridCol w:w="146"/>
        <w:gridCol w:w="203"/>
        <w:gridCol w:w="593"/>
        <w:gridCol w:w="166"/>
        <w:gridCol w:w="146"/>
        <w:gridCol w:w="218"/>
        <w:gridCol w:w="653"/>
        <w:gridCol w:w="256"/>
        <w:gridCol w:w="146"/>
        <w:gridCol w:w="196"/>
        <w:gridCol w:w="691"/>
        <w:gridCol w:w="146"/>
        <w:gridCol w:w="146"/>
        <w:gridCol w:w="196"/>
        <w:gridCol w:w="691"/>
        <w:gridCol w:w="146"/>
        <w:gridCol w:w="203"/>
        <w:gridCol w:w="593"/>
        <w:gridCol w:w="166"/>
        <w:gridCol w:w="146"/>
        <w:gridCol w:w="258"/>
        <w:gridCol w:w="613"/>
        <w:gridCol w:w="30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administrative,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Contingent consideration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Strategic alliance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176,641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173,670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For the Three Months Ended September 30, 2025 and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operating expenses decreased by $0.2 million, or 0%, to $65.2 million for the three months ended September 30, 2025 compared to the three months ended September 30, 2024. This decrease was primarily due to a decrease in professional fees, strategic alliance expense, amortization of intangibles, as well as compensation and benefits expense offset by increases in contingent consideration expense as well as general, administrative, and other.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Compensation and benefits expense decreased by $0.2 million, or 0%, to $42.3 million for the three months ended September 30, 2025 compared to the three months ended September 30, 2024. This was driven by a $3.1 million decrease in compensation expense due to the achievement of the first EBITDA hurdle under the WTI earnout paired with the second hurdle no longer being probable of achievement prior to the three months ended September 30, 2025. This decrease was offset by a $1.7 million increase in stock compensation, which consists of a $1.1 million increase related to the 2025 grant of Bonaccord Units paired with an increase of $0.6 million for management stock awards. Additionally, this decrease was offset by a $1.2 million increase in general compensation expense in the three months ended September 30, 2025 compared to the three months ended September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Professional fees decreased by $2.7 million, or 29%, to $6.5 million for the three months ended September 30, 2025 compared to the three months ended September 30, 2024. This was primarily driven by a decrease of professional fees associated with the Company's debt refinancing in the three months ended September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Contingent consideration expense increased by $1.1 million to $1.2 million for the three months ended September 30, 2025 compared to the three months ended September 30, 2024. This was primarily driven by the remeasurement of the Qualitas earnout, related to the Qualitas acquisition in April 2025.</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administrative, and other increased by $2.4 million, or 37%, to $9.1 million, due primarily to expanding operations with the Qualitas acquisition, increases in ongoing enhancements to infrastructure, technology, and security, and additional rent expense as well as associated office maintenance.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of intangibles decreased by $0.2 million, or 4%, to $6.2 million, for the three months ended September 30, 2025 as compared to the three months ended September 30, 2024. This was due to decreases at ECG, Five Points, RCP, TrueBridge, and WTI. The decrease at ECG is driven by unique syndication contracts and advisory contracts' amortization schedule, which is based on projected revenues at the time of acquisition. The decreases at Five Points, RCP, TrueBridge, and WTI are driven by asset management fee contracts' amortization schedule, which is based on projected revenues at the time of acquisition. These decreases were offset by the additional intangible asset amortization associated with the Qualitas acquisition in April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Strategic alliance expense decreased by $0.6 million, or 100%, to $0 for the three months ended September 30, 2025 as compared to the three months ended September 30, 2024. This decrease was due to the conversion of the SAA to an equity interest in Bonaccord, which was effective on April 1, 2025.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For the Nine Months Ended September 30, 2025 and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operating expenses increased by $3.0 million, or 2%, to $176.6 million for the nine months ended September 30, 2025 compared to the nine months ended September 30, 2024. This increase was due to increases in professional fees, general, administrative and other expense, as well as contingent consideration offset by the decrease in compensation and benefits, amortization of intangibles and strategic alliance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Compensation and benefits expense decreased by $4.3 million, or 4%, to $111.5 million, for the nine months ended September 30, 2025 compared to the nine months ended September 30, 2024. This was driven by a $12.7 million decrease in compensation expense due to the second tranche of the WTI earn-out no longer being probable of achievement in the nine months ended September 30, 2025. This decrease was offset by a $5.9 million increase in stock compensation, which consists of a $4.7 million increase related to the second grant of Bonaccord Units and an increase of $1.2 million for management stock awards. Additionally, this decrease was offset slightly by a $1.8 million increase in general compensation expense in the nine months ended September 30, 2025 compared to the nine months ended September 30,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Professional fees increased by $3.3 million, or 20%, to $19.7 million. The primary driver for the increase in professional fees for the nine months ended September 30, 2025 compared to the nine months ended September 30, 2024 was an increase of $2.4 million in professional and legal expenses associated with acquisition activity and other strategic transactions during the nine months ended September 30, 2025 as well as normal course of business such as filings and due diligence for acquisitions. Additionally fees related to audit, SEC Rule 404(b) implementation, tax, and compliance services provided to the Company increased by $0.9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Contingent consideration expense increased by $2.1 million to $2.3 million for the nine months ended September 30, 2025 compared to the nine months ended September 30, 2024. This was primarily driven by the remeasurement of the Qualitas earnout, related to the Qualitas acquisition in April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administrative and other increased by $5.0 million, or 26%, to $24.7 million, for the nine months ended September 30, 2025 compared to the nine months ended September 30, 2024. This was primarily driven by ongoing enhancements to infrastructure, technology, and security, expanding operations with the acquisition of Qualitas, and additional rent expense as well as associated office maintenance.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of intangibles decreased by $1.6 million, or 9%, to $17.7 million, for the nine months ended September 30, 2025 as compared to the nine months ended September 30, 2024. This was due to decreases at ECG, RCP, and TrueBridge. The decrease at ECG was driven by unique syndication contracts and advisory contracts' amortization schedule, which is based on projected revenues at the time of acquisition. The decreases at RCP and TrueBridge were driven by asset management fee contracts' amortization schedules, which are based on projected revenues at the time of acquisition. These decreases were offset by the additional intangible asset amortization associated with the Qualitas acquisition in April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Strategic alliance expense decreased by $1.5 million, or 67%, to $0.7 million for the nine months ended September 30, 2025 as compared to the nine months ended September 30, 2024. This decrease was due to the conversion of the SAA to an equity interest in Bonaccord, which was effective on April 1, 2025.</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(Expense)/Income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For the Three Months Ended September 30, 2025 and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increased by $0.4 million, or 6%, to $6.6 million for the three months ended September 30, 2025 compared to the three months ended September 30, 2024. This increase was driven by an increase in interest expense of $0.3 million on the debt facility due to a larger outstanding debt balance for the three months ended September 30,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For the Nine Months Ended September 30, 2025 and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increased by $8.0 million, or 47%, to $25.0 million for the nine months ended September 30, 2025 compared to the nine months ended September 30, 2024. This increase was driven by $6.5 million increase in expenses included in other (loss)/income related to a loss recognized for the conversion of the Strategic Alliance Agreement to an equity interest in Bonaccord as well as a $1.6 million increase in interest expense due to a larger outstanding debt balance for the nine months ended September 30, 2025 offset slightly by a $0.2 million increase in income from unconsolidated subsidiaries.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For the Three Months Ended September 30, 2025 and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tax expense was $1.1 million for the three months ended September 30, 2025, a decrease of $0.2 million from $1.3 million for the three months ended September 30, 2024. This reduction was primarily due to a decrease in non-deductible expenditures in the three months ended September 30, 2025 compared to the three months ended September 30, 2024.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For the Nine Months Ended September 30, 2025 and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decreased by $4.0 million to $2.7 million for the nine months ended September 30, 2025 compared to an expense of $6.7 million for the nine months ended September 30, 2024. The decrease was primarily due to a decrease in income and an increase in stock-based compensation-related tax benefit in the nine months ended September 30, 2025 compared to the nine months ended September 30, 2024.</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FPAUM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period-to-period roll-forward of our fee paying assets under management on an actual basis.</w:t>
      </w:r>
    </w:p>
    <w:p>
      <w:pPr>
        <w:pStyle w:val="TextBody"/>
        <w:bidi w:val="0"/>
        <w:jc w:val="both"/>
        <w:rPr/>
      </w:pPr>
      <w:r>
        <w:rPr/>
        <w:t> </w:t>
      </w:r>
    </w:p>
    <w:tbl>
      <w:tblPr>
        <w:tblW w:w="9364" w:type="dxa"/>
        <w:jc w:val="left"/>
        <w:tblInd w:w="0" w:type="dxa"/>
        <w:tblLayout w:type="fixed"/>
        <w:tblCellMar>
          <w:top w:w="28" w:type="dxa"/>
          <w:left w:w="28" w:type="dxa"/>
          <w:bottom w:w="28" w:type="dxa"/>
          <w:right w:w="28" w:type="dxa"/>
        </w:tblCellMar>
      </w:tblPr>
      <w:tblGrid>
        <w:gridCol w:w="3431"/>
        <w:gridCol w:w="546"/>
        <w:gridCol w:w="228"/>
        <w:gridCol w:w="732"/>
        <w:gridCol w:w="166"/>
        <w:gridCol w:w="146"/>
        <w:gridCol w:w="228"/>
        <w:gridCol w:w="732"/>
        <w:gridCol w:w="166"/>
        <w:gridCol w:w="146"/>
        <w:gridCol w:w="228"/>
        <w:gridCol w:w="732"/>
        <w:gridCol w:w="166"/>
        <w:gridCol w:w="146"/>
        <w:gridCol w:w="228"/>
        <w:gridCol w:w="732"/>
        <w:gridCol w:w="611"/>
      </w:tblGrid>
      <w:tr>
        <w:trPr/>
        <w:tc>
          <w:tcPr>
            <w:tcW w:w="343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Acquisitions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Capital raised </w:t>
            </w:r>
            <w:r>
              <w:rPr>
                <w:rFonts w:ascii="Times New Roman" w:hAnsi="Times New Roman"/>
                <w:color w:val="000000"/>
                <w:sz w:val="13"/>
              </w:rPr>
              <w:t>(1)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Capital deployed </w:t>
            </w:r>
            <w:r>
              <w:rPr>
                <w:rFonts w:ascii="Times New Roman" w:hAnsi="Times New Roman"/>
                <w:color w:val="000000"/>
                <w:sz w:val="13"/>
              </w:rPr>
              <w:t>(2)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Net Asset Value Change </w:t>
            </w:r>
            <w:r>
              <w:rPr>
                <w:rFonts w:ascii="Times New Roman" w:hAnsi="Times New Roman"/>
                <w:color w:val="000000"/>
                <w:sz w:val="13"/>
              </w:rPr>
              <w:t>(3)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Impact of exchange rate movements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Scheduled fee base stepdowns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Expiration of fee period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new commitments from funds that earn fees on a committed capital fee base.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In certain vehicles, fees are based on capital deployed, as such increasing FPAUM.</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Net asset value change consists primarily of the impact of market value appreciation (depreciation) from funds that earn fees on a net asset value basis.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FPAUM as of September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FPAUM increased by $0.2 million to $29.1 million for the three months ended September 30, 2025, due primarily to an increase in capital raised and capital deployed from our private equity and private credit which was offset by a decline of fees related to scheduled fee stepdowns and expirations of fees.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Adjusted Net Income ("ANI"), Fee-Related Revenue ("FRR"), and Fee-Related Earnings ("FRE")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FRR is calculated as Total Revenues less any non-fee related revenue. ANI reflects an estimate of our cash flows generated by our core operations. ANI is calculated as FRE, plus non-fee related income less strategic alliance noncontrolling interests expense, less actual cash paid for interest and federal and state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compute FRE, we adjust our GAAP net income for certain items,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that typically do not require us to pay them in cash in the current period (such as depreciation, amortization and stock-based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Earn out related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financing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One-time expenses related to restructuring of the management team including placement/search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one-time technical accounting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income taxes;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Non-fee related income.</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cash income taxes during the three months ended September 30, 2025 and September 30, 2024 as well as during the nine months ended September 30, 2025 and September 30, 2024 differ significantly from the net income tax expense, which is primarily comprised of deferred tax expense as described in the results of operations.</w:t>
      </w:r>
    </w:p>
    <w:tbl>
      <w:tblPr>
        <w:tblW w:w="10205" w:type="dxa"/>
        <w:jc w:val="left"/>
        <w:tblInd w:w="0" w:type="dxa"/>
        <w:tblLayout w:type="fixed"/>
        <w:tblCellMar>
          <w:top w:w="28" w:type="dxa"/>
          <w:left w:w="28" w:type="dxa"/>
          <w:bottom w:w="28" w:type="dxa"/>
          <w:right w:w="28" w:type="dxa"/>
        </w:tblCellMar>
      </w:tblPr>
      <w:tblGrid>
        <w:gridCol w:w="3606"/>
        <w:gridCol w:w="146"/>
        <w:gridCol w:w="288"/>
        <w:gridCol w:w="926"/>
        <w:gridCol w:w="227"/>
        <w:gridCol w:w="199"/>
        <w:gridCol w:w="288"/>
        <w:gridCol w:w="926"/>
        <w:gridCol w:w="166"/>
        <w:gridCol w:w="146"/>
        <w:gridCol w:w="263"/>
        <w:gridCol w:w="977"/>
        <w:gridCol w:w="207"/>
        <w:gridCol w:w="182"/>
        <w:gridCol w:w="263"/>
        <w:gridCol w:w="977"/>
        <w:gridCol w:w="418"/>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11,929</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13,966</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&amp;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6,886</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19,456</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21,411</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18,584</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Non-recurring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18,821</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17,482</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stock-based compensation -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5,557</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Earn out related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10,714</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Non-fee related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Fee-Related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36,009</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102,074</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99,394</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Plus: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Non-fee related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Strategic alliance noncontrolling interests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(15,231</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income taxes, net of taxes related to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28,567</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78,758</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84,908</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75,929</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216,300</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211,434</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Non-Fee Related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Fee-Related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75,929</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216,261</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206,242</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Financial Position, Liquidity and Capital Resources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Selected Statements of Financial Position</w:t>
      </w:r>
    </w:p>
    <w:tbl>
      <w:tblPr>
        <w:tblW w:w="9566" w:type="dxa"/>
        <w:jc w:val="left"/>
        <w:tblInd w:w="0" w:type="dxa"/>
        <w:tblLayout w:type="fixed"/>
        <w:tblCellMar>
          <w:top w:w="28" w:type="dxa"/>
          <w:left w:w="28" w:type="dxa"/>
          <w:bottom w:w="28" w:type="dxa"/>
          <w:right w:w="28" w:type="dxa"/>
        </w:tblCellMar>
      </w:tblPr>
      <w:tblGrid>
        <w:gridCol w:w="4426"/>
        <w:gridCol w:w="146"/>
        <w:gridCol w:w="242"/>
        <w:gridCol w:w="898"/>
        <w:gridCol w:w="146"/>
        <w:gridCol w:w="146"/>
        <w:gridCol w:w="233"/>
        <w:gridCol w:w="862"/>
        <w:gridCol w:w="146"/>
        <w:gridCol w:w="146"/>
        <w:gridCol w:w="211"/>
        <w:gridCol w:w="736"/>
        <w:gridCol w:w="166"/>
        <w:gridCol w:w="146"/>
        <w:gridCol w:w="916"/>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(including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and other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change in cash and cash equivalents is discussed below in the "Cash Flows" section. There was an increase in goodwill and intangible assets of $68.6 million due to the Qualitas acquisition. Remaining total assets increased in the same period by $25.4 million. The increase was driven by an increase in accounts receivable from related parties which was primarily due to ECG's Advisory Agreement with Enhanced PC. Additionally, there was an increase in right of use assets related to new office leases as well as an increase in prepaid expenses and other assets associated with the purchase of allocable state tax credits. Accrued compensation and benefits decreased by $44.6 million which was primarily driven by payment related to the achievement of the first EBITDA hurdle of the WTI earnout and the reversal of expense related to the second hurdle of the WTI earnout no longer being probable of achievement. Debt obligations increased by $73.6 million which was driven by revolver activity due to the Qualitas acquisition that closed in April 2025, open market Class A share repurchases, and the payment related to the WTI earnout.</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continued to support our ongoing operations through the receipt of management and advisory fee revenues. However, to fund our continued growth, we have utilized capital obtained through debt and equity raises. Our ability to continue to raise funds will be critical as we pursue additional business development opportunities and new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22, 2021, P10, Inc. entered into a Term Loan and Revolving Credit Facility with JP Morgan Chase Bank, N.A.. The term loan and revolving credit facility provides financing for acquisition activity. The term loan provides for a $125.0 million facility and the revolving credit facility provides for an additional $125.0 million. There is also a $125.0 million accordion feature available in the credit agreement, which we exercised in September 2022. The accordion was not drawn until October 2022, at which point it was divided to $87.5 million of term loan and $37.5 million of revolver. On August 1, 2024, the Company entered into the Amended and Restated Credit Agreement, which provides for a new senior secured revolving credit facility in the amount of $175.0 million, with a $10.0 million sublimit for the issuance of letters of credit, and a new senior secured loan facility in the amount of $325.0 million. The New Credit Facilities are to be used to refinance and replace the credit facilities under the Credit Agreement and for general corporate purposes, including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New Credit Facilities are Term SOFR Loans meaning loans bearing interest based upon the "Adjusted Term SOFR Rate". The Adjusted Term SOFR Rate is the Secured Overnight Financing Rate ("SOFR") at the date of election, plus 2.60%. The Company can elect one or three months for the Revolver Facility and one, three, or six months for the Term Loan. Principal is contractually repaid at a rate of 1.25% on the term loan quarterly effective December 31, 2025. The New Revolving Facility has no contractual principal repayments until maturity, which is August 1, 2028 for both facilities.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the Term Loan with a balance of $325.0 million is incurring interest at a weighted average SOFR rate of 6.85%. As of September 30, 2025, the Revolving Facility is split into five tranches. The total principal outstanding is $72.5 million and the weighted-average SOFR rate amongst the tranches is 6.73%. The tranches are all incurring interest at a set rate for one or three month periods and are subsequently reset at the current SOFR rate. Refer to Note 12 of our consolidated financial statements for further details provided on the debt and associated interest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Amended and Restated Credit Agreement contains affirmative and negative covenants typical of such financing transactions, and specific financial covenants which require P10 to maintain a minimum FPAUM of the sum of $16.7 million plus 70% of the aggregate amount of FPAUM acquired or not constituted as organic growth as well as a minimum leverage ratio of less than or equal to 3.50. As of September 30, 2025, P10 was in compliance with its financial and other covenants required under the facility. The Company has incurred $19.1 million in interest expense for the nine months ended September 30,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Nine Months Ended September 30, 2025 Compared to the Nine Months Ended September 30, 2024</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following table reflects our cash flows for the nine months ended September 30, 2025 and 2024:</w:t>
      </w:r>
    </w:p>
    <w:tbl>
      <w:tblPr>
        <w:tblW w:w="10142" w:type="dxa"/>
        <w:jc w:val="left"/>
        <w:tblInd w:w="0" w:type="dxa"/>
        <w:tblLayout w:type="fixed"/>
        <w:tblCellMar>
          <w:top w:w="28" w:type="dxa"/>
          <w:left w:w="28" w:type="dxa"/>
          <w:bottom w:w="28" w:type="dxa"/>
          <w:right w:w="28" w:type="dxa"/>
        </w:tblCellMar>
      </w:tblPr>
      <w:tblGrid>
        <w:gridCol w:w="6466"/>
        <w:gridCol w:w="146"/>
        <w:gridCol w:w="211"/>
        <w:gridCol w:w="736"/>
        <w:gridCol w:w="166"/>
        <w:gridCol w:w="146"/>
        <w:gridCol w:w="211"/>
        <w:gridCol w:w="736"/>
        <w:gridCol w:w="166"/>
        <w:gridCol w:w="211"/>
        <w:gridCol w:w="736"/>
        <w:gridCol w:w="211"/>
      </w:tblGrid>
      <w:tr>
        <w:trPr/>
        <w:tc>
          <w:tcPr>
            <w:tcW w:w="6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currency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cash, cash equivalents and</w:t>
              <w:br/>
              <w: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(58,450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Nine Months Ended September 30, 2025 and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operating activities generally reflect its earnings in the respective periods after adjusting for significant non-cash activities, including income of unconsolidated subsidiaries, stock-based compensation, depreciation, amortization, and deferred tax expense, all of which are included in net income. Cash provided from operating activities decreased by $73.2 million to $0.1 million for the nine months ended September 30, 2025 compared to the nine months ended September 30, 2024. The change in our cash provided by operating activities was driven primarily by a cash payment of $35.0 million related to the achievement of the first EBITDA hurdle for the WTI earnout in 2025, purchases of allocable state tax credits of $12.8 million in 2025, paired with $9.6 million of receipts from the sale of allocable state tax credits in 2024, $5.7 million more in payments related to management profit share in 2025 compared to similar payments in 2024, and a $2.2 million settlement for the final payment relating to Bonaccord's contingent consideration, which is included in operating activities due to outperforming the initial fair value of the liability at the time of acquisition.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Nine Months Ended September 30, 2025 and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cash used in investing activities increased by $37.7 million to $41.1 million, for the nine months ended September 30, 2025 as compared to the nine months ended September 30, 2024. This increase in cash used in investing activities was due to Qualitas acquisition and the purchases of additional leasehold improvements and equipment during the nine months ended September 30,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Nine Months Ended September 30, 2025 and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from financing activities for the nine months ended September 30, 2025 was $$13.8 million, as compared to cash used in financing activities of $38.7 million for the nine months ended September 30, 2024. The change is driven by net borrowing activity on the Company's credit facilities, the change in open market Class A share repurchases, and the proceeds from the SAA 5% purchase option exercise of equity interests in Bonaccord during the nine months ended September 30, 2025 compared to the nine months ended September 30, 2024.</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Future Sources and Uses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approved a program to repurchase shares of our Class A and Class B common stock. As of September 30, 2025, the Board has approved $157.0 million since inception of the program, of which $65 million was approved for the nine months ended September 30, 2025, for repurchase under the Share Repurchase Program.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As of September 30, 2025, $131.0 million has been spent to buy back shares since the inception of the program and there was $26.0 million remaining for authorized repurchases under this program.</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Off 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invest in any off-balance sheet vehicles that provide liquidity, capital resources, market, or credit risk support, or engage in any activities that expose us to any liability that is not reflected in our consolidated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prepare our consolidated financial statements in accordance with accounting principles generally accepted in the United States of America (“U.S. GAAP”) and include the accounts of the Company and its consolidated subsidiaries. The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judgments. See Note 2 of our consolidated financial statements for a summary of our significant accounting policies.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Current Expected Credit Losses for Due from 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 If accounts are subsequently determined to be uncollectible, they will be expensed in the period that determination is made. 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 of ECG and any supplemental agreements entered into after acquisition, ("Advisory Agreements") where ECG provides advisory services to Enhanced Permanent Capital, LLC ("Enhanced PC") are reflected in due from related parties on the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that accounts receivable, due from related parties, and notes receivable are fully collectible based on historical events, current conditions, and reasonable and supportable forecasts. The estimate for the Enhanced PC Advisory Agreements require more judgment than other receivables due to the size of the outstanding receivable and the Company's reliance on reasonable and supportable forecasts on this particular receivable bucket.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 of Management Fees and Advisory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obligations not being satisfied at the time of collection.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the right to invoice.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Advisory service fees are determined using fixed-rate fees and are recognized over time as the related services are delivered. Other advisory services include transaction and management fees associated with managing the origination and ongoing compliance of certain investments.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1-10 years as services are provided to the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Catch-up fees are earned from investors that make commitments to the previously launched fund after the first fund closing occurs, but during the fundraising period. Contractual terms require the investors to pay a catch-up fee as if they had committed to the fund at the first closing. Catch-up fees are recorded as revenue when such commitments are made as variable consideration in which the constraint is relieved at the time of the commitment.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either a service period or both a service period and performance condition is recorded ratably over the vesting period at the fair market value on the grant date. For awards with graded vesting, and vesting only requires a service condition, the Company elected, in accordance with ASC 718, to treat these awards as single awards for recognition purposes and recognize compensation on a straight-line basis over the requisite service period of the entire award. For awards with graded vesting and require a market condition to vest, the Company treats each expected vesting tranche as an individual award and recognizes expense ratably over the vesting period at the fair market value of the grant date. Certain acquisition 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RSUs are remeasured quarterly against performance metrics as a liability or equity, in accordance with GAAP, on the Consolidated Balance Sheets. Refer to Note 16 to the Consolidated Financial Statements for further discussion. Forfeitures are recognized as they occur.</w:t>
      </w:r>
    </w:p>
    <w:p>
      <w:pPr>
        <w:pStyle w:val="TextBody"/>
        <w:bidi w:val="0"/>
        <w:spacing w:before="360" w:after="283"/>
        <w:jc w:val="both"/>
        <w:rPr>
          <w:rFonts w:ascii="Times New Roman" w:hAnsi="Times New Roman"/>
          <w:sz w:val="20"/>
        </w:rPr>
      </w:pPr>
      <w:r>
        <w:rPr>
          <w:rFonts w:ascii="Times New Roman" w:hAnsi="Times New Roman"/>
          <w:b/>
          <w:i/>
          <w:color w:val="000000"/>
          <w:sz w:val="20"/>
        </w:rPr>
        <w:t>Accrued Compensation and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compensation and benefits consists of employee salaries, bonuses, benefits, severance, and acquisition-related earnouts (contingent on employment) that has not yet been paid. The estimates for the acquisition-related earnouts require more judgment than the other components in accrued compensation and benefits. The acquisition-related earnout for WTI is an earnout payment of up to $70.0 million of cash and common stock may be earned upon meeting certain performance metrics. Upon the achievement of $20.0 million, $22.5 million, and $25.0 million of EBTIDA,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P10 Intermediate, no later than 90 days following the last day of the calendar quarter in which a milestone payment is achieved. Total payments will not exceed $70.0 million and any amounts paid will be paid by October 2027. The Company will evaluate whether each earn-out hurdle is probable of occurring and recognize an expense over the period the hurdle is expected to be achieved. As of December 31, 2024, the Company had determined that only the first two of three EBITDA hurdles are probable of being achieved. As of September 30, 2025, the first EBITDA hurdle was achieved and the Company does not expect that the second and third EBITDA hurdles will be achieved. Payment was made for the achievement of the first hurdle in the nine months ended September 2025. Additionally 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P10, provided that no more than $5.0 million will be payable in cash. Total payment will not exceed $10.0 million and any amounts will be paid in October 2027, the fifth anniversary of the effective date.</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 Share and Repurchase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accrued contingent liabilities and contingent payments to customers asset in our Consolidated Balance Sheets for an agreement between ECG and various third parties. The agreement requires ECG to share in certain revenues earned with the third parties and also includes an option for the third parties to sell back the revenue share to ECG at a set multiple. Additionally, ECG holds the option to buy back 50% of the revenue share at a set multiple. The Company believes it is probable that the remaining third parties will exercise their option to sell back the revenue share and has recognized a liability on the Consolidated Balance Sheets. The Company has also recognized a contingent payment to customers associated with the agreement and will amortize the asset against revenue over the estimated term of the management contract. The amortization is reported in management and advisory fees on the Consolidated Statements of Operations. The Company will reassess at each reporting period and recognize all changes.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23, 2024, the Company became a guarantor for a related party on a related put option and call option with the same third party customers and terms. The Company would be required to settle either the put or call options if either are exercised and the related party does not have the means to settle themselves. The Company’s accrued contingent liabilities are recognized once determined that it is probable the Company would need to settle as guarantor and estimable and would record a loss at the same time. The Company will reassess at each reporting period and recognize all changes. Refer to Note 14 to the Consolidated Financial Statements for further discussion.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Business Acquisitions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accordance with ASC 805, </w:t>
      </w:r>
      <w:r>
        <w:rPr>
          <w:rFonts w:ascii="Times New Roman" w:hAnsi="Times New Roman"/>
          <w:i/>
          <w:color w:val="000000"/>
          <w:sz w:val="20"/>
        </w:rPr>
        <w:t>Business Combinations</w:t>
      </w:r>
      <w:r>
        <w:rPr>
          <w:rFonts w:ascii="Times New Roman" w:hAnsi="Times New Roman"/>
          <w:color w:val="000000"/>
          <w:sz w:val="20"/>
        </w:rPr>
        <w:t xml:space="preserve">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and tax assets and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business acquisitions, the Company recognizes the fair value of goodwill and other acquired intangible assets, and estimated contingent consideration at the acquisition date as part of purchase price. These non-recurring fair value measurements are based on unobservable (Level 3) inputs.</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3" w:name="item_7a_qual_quan"/>
      <w:bookmarkEnd w:id="13"/>
      <w:r>
        <w:rPr>
          <w:rFonts w:ascii="Times New Roman" w:hAnsi="Times New Roman"/>
          <w:b/>
          <w:color w:val="000000"/>
          <w:sz w:val="20"/>
        </w:rPr>
        <w:t>Item 3. Qualitative and Quantitative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of the financial assets and liabilities of our specialized investment vehicles may fluctuate in response to changes in the value of underlying assets, and interest rates.</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we had $325.0 million in outstanding principal in Term Loans under our Term Loan and $72.5 million under our Revolving Credit Facility. The annual interest rate on the Term Loan is based on SOFR plus 2.6%. In September 2025, the Company entered into an interest rate collar agreement to hedge the variability in cash flows associated with its outstanding debt facility. The collar has a notional amount of $211.3 million, effective as of September 30, 2025, and a termination date of August 1, 2028. The collar references the 3-month USD-SOFR CME Term rate, with a cap strike rate of 4.25% and a floor strike rate of 2.31%. The Company remains exposed to interest rate risk if there is a shift in the environment. We estimate that a 100-basis point increase in the interest rate would result in an approximately $1.4 million increase in interest expense related to the loan over the next 12 months.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Exchange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and its underlying funds hold cash and investments that are denominated in foreign currencies that may be affected by movements in the rate of exchange between those currencies and the U.S. dollar. Movements in the exchange rate between currencies impact the management fees earned by funds with FPAUM denominated in foreign currencies as well as by funds with FPAUM denominated in U.S. dollars that hold investments denominated in foreign currencies. Additionally, movements in the exchange rate impact operating expenses for our global offices that transact in foreign currencies and the revaluation of assets and liabilities denominated in non-functional currencies, including cash balances and investments. We manage our exposure to exchange rate risks through our regular operating activities, wherein we utilize payments received in foreign currencies to fulfill obligations in foreign currencies. A portion of our management fees and investments are denominated in foreign currencies that may be affected by movements in the rate of exchange between currencies. We estimate that a hypothetical 10% decline in the rate of exchange of the Euro against the U.S. dollar as of September 30, 2025 would not result in a material change to management fees or investments, and would be largely offset by the currency conversions of the expenses denominated in foreign currencies. </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4" w:name="controls_and_procedures"/>
      <w:bookmarkEnd w:id="14"/>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that such information is accumulated and communicated to our management, including our Chief Executive Officer and Chief Financial Officer, as appropriate, to allow timely decisions regarding required disclosures.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Controls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4, 2025, we completed our acquisition of Qualitas (See Note 3 for more information). We are currently integrating Qualitas into our internal control framework and processes and, pursuant to the SEC's guidance that an assessment of a recently acquired business may be omitted from the scope of an assessment in the year of acquisition, the scope of our assessment of the effectiveness of our internal control over financial reporting as of December 31, 2025 will not include the operating results of Qualitas.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for the preceding changes, there have been no changes in our internal control over financial reporting (as such term is defined in Rules 13a-15(f) and 15d-15(f) under the Exchange Act) during our most recent quarter ended September 30, 2025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sz w:val="20"/>
        </w:rPr>
      </w:pPr>
      <w:bookmarkStart w:id="15" w:name="part_2"/>
      <w:bookmarkEnd w:id="15"/>
      <w:r>
        <w:rPr>
          <w:rFonts w:ascii="Times New Roman" w:hAnsi="Times New Roman"/>
          <w:b/>
          <w:color w:val="000000"/>
          <w:sz w:val="20"/>
        </w:rPr>
        <w:t>PART II</w:t>
      </w:r>
      <w:r>
        <w:rPr>
          <w:rFonts w:ascii="Times New Roman" w:hAnsi="Times New Roman"/>
          <w:color w:val="000000"/>
          <w:sz w:val="20"/>
        </w:rPr>
        <w:t xml:space="preserve"> </w:t>
      </w:r>
      <w:r>
        <w:rPr>
          <w:rFonts w:ascii="Times New Roman" w:hAnsi="Times New Roman"/>
          <w:b/>
          <w:color w:val="000000"/>
          <w:sz w:val="20"/>
        </w:rPr>
        <w:t>- OTHER INFORMATION</w:t>
      </w:r>
    </w:p>
    <w:p>
      <w:pPr>
        <w:pStyle w:val="TextBody"/>
        <w:bidi w:val="0"/>
        <w:spacing w:before="200" w:after="283"/>
        <w:jc w:val="left"/>
        <w:rPr>
          <w:rFonts w:ascii="Times New Roman" w:hAnsi="Times New Roman"/>
          <w:b/>
          <w:color w:val="000000"/>
          <w:sz w:val="20"/>
        </w:rPr>
      </w:pPr>
      <w:bookmarkStart w:id="16" w:name="item_5_legal_proceedings"/>
      <w:bookmarkEnd w:id="16"/>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with respect to this item can be found under “Contingencies” in Note 14, Commitments and Contingencies, to our consolidated financial statements included elsewhere in this annual report, and such information is incorporated by reference into this Item 1.</w:t>
      </w:r>
    </w:p>
    <w:p>
      <w:pPr>
        <w:pStyle w:val="TextBody"/>
        <w:bidi w:val="0"/>
        <w:spacing w:before="360" w:after="283"/>
        <w:jc w:val="left"/>
        <w:rPr>
          <w:rFonts w:ascii="Times New Roman" w:hAnsi="Times New Roman"/>
          <w:sz w:val="20"/>
        </w:rPr>
      </w:pPr>
      <w:bookmarkStart w:id="17" w:name="item_6_risk_factors"/>
      <w:bookmarkEnd w:id="17"/>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from the risk factors previously disclosed in "Risk Factors" included in our annual report on Form 10-K for the year ended December 31, 2024.</w:t>
      </w:r>
    </w:p>
    <w:p>
      <w:pPr>
        <w:pStyle w:val="TextBody"/>
        <w:bidi w:val="0"/>
        <w:spacing w:before="360" w:after="283"/>
        <w:jc w:val="left"/>
        <w:rPr>
          <w:rFonts w:ascii="Times New Roman" w:hAnsi="Times New Roman"/>
          <w:b/>
          <w:color w:val="000000"/>
          <w:sz w:val="20"/>
        </w:rPr>
      </w:pPr>
      <w:bookmarkStart w:id="18" w:name="item_7_unregistered_sale"/>
      <w:bookmarkEnd w:id="18"/>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about our repurchase activity with respect to shares of our common stock for the quarter ended September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239"/>
        <w:gridCol w:w="1143"/>
        <w:gridCol w:w="146"/>
        <w:gridCol w:w="398"/>
        <w:gridCol w:w="1045"/>
        <w:gridCol w:w="146"/>
        <w:gridCol w:w="432"/>
        <w:gridCol w:w="2060"/>
        <w:gridCol w:w="146"/>
        <w:gridCol w:w="543"/>
        <w:gridCol w:w="2537"/>
        <w:gridCol w:w="196"/>
      </w:tblGrid>
      <w:tr>
        <w:trPr/>
        <w:tc>
          <w:tcPr>
            <w:tcW w:w="117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7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4"/>
              </w:rPr>
            </w:pPr>
            <w:r>
              <w:rPr>
                <w:rFonts w:ascii="sans-serif" w:hAnsi="sans-serif"/>
                <w:b/>
                <w:color w:val="000000"/>
                <w:sz w:val="14"/>
              </w:rPr>
              <w:t>Period</w:t>
            </w:r>
          </w:p>
        </w:tc>
        <w:tc>
          <w:tcPr>
            <w:tcW w:w="138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Total Number of Shares Purchased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Weighted Average Price Paid per Share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Total Number of Shares Purchased as Part of Publicly Announced Plan or Program (1)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8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Maximum Approximate Dollar Value of Shares that May Yet Be Purchased Under the Plans or Programs (1)</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July 1 - 31, 2025</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25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2,278,317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August 1 - 31, 2025</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25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27,278,317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September 1 - 30, 2025</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110,032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110,032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25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26,014,646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4"/>
              </w:rPr>
            </w:pPr>
            <w:r>
              <w:rPr>
                <w:rFonts w:ascii="sans-serif" w:hAnsi="sans-serif"/>
                <w:b/>
                <w:color w:val="000000"/>
                <w:sz w:val="14"/>
              </w:rPr>
              <w:t>Total</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4"/>
              </w:rPr>
            </w:pPr>
            <w:r>
              <w:rPr>
                <w:rFonts w:ascii="sans-serif" w:hAnsi="sans-serif"/>
                <w:b/>
                <w:color w:val="000000"/>
                <w:sz w:val="14"/>
              </w:rPr>
              <w:t>110,032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4"/>
              </w:rPr>
            </w:pPr>
            <w:r>
              <w:rPr>
                <w:rFonts w:ascii="sans-serif" w:hAnsi="sans-serif"/>
                <w:b/>
                <w:color w:val="000000"/>
                <w:sz w:val="14"/>
              </w:rPr>
              <w:t>$</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4"/>
              </w:rPr>
            </w:pPr>
            <w:r>
              <w:rPr>
                <w:rFonts w:ascii="sans-serif" w:hAnsi="sans-serif"/>
                <w:b/>
                <w:color w:val="000000"/>
                <w:sz w:val="14"/>
              </w:rPr>
              <w:t>11.34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4"/>
              </w:rPr>
            </w:pPr>
            <w:r>
              <w:rPr>
                <w:rFonts w:ascii="sans-serif" w:hAnsi="sans-serif"/>
                <w:b/>
                <w:color w:val="000000"/>
                <w:sz w:val="14"/>
              </w:rPr>
              <w:t>110,032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12, 2022, the Board approved a program to repurchase shares of our Class A and Class B common stock. As of September 30, 2025, the Board has approved $157.0 million since inception of the program, of which $65.0 million was approved during the nine months ended September 30, 2025, for repurchase under the Share Repurchase Program.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As of September 30, 2025, $131.0 million has been spent to buy back shares since the inception of the program and there was $26.0 million remaining for authorized repurchases under this program.</w:t>
      </w:r>
    </w:p>
    <w:p>
      <w:pPr>
        <w:pStyle w:val="TextBody"/>
        <w:bidi w:val="0"/>
        <w:spacing w:before="360" w:after="283"/>
        <w:jc w:val="left"/>
        <w:rPr>
          <w:rFonts w:ascii="Times New Roman" w:hAnsi="Times New Roman"/>
          <w:sz w:val="20"/>
        </w:rPr>
      </w:pPr>
      <w:bookmarkStart w:id="19" w:name="item_7a_default"/>
      <w:bookmarkEnd w:id="19"/>
      <w:r>
        <w:rPr>
          <w:rFonts w:ascii="Times New Roman" w:hAnsi="Times New Roman"/>
          <w:b/>
          <w:color w:val="000000"/>
          <w:sz w:val="20"/>
        </w:rPr>
        <w:t xml:space="preserve">Item 5. </w:t>
      </w:r>
      <w:bookmarkStart w:id="20" w:name="item_9_other_info"/>
      <w:bookmarkEnd w:id="20"/>
      <w:r>
        <w:rPr>
          <w:rFonts w:ascii="Times New Roman" w:hAnsi="Times New Roman"/>
          <w:b/>
          <w:color w:val="000000"/>
          <w:sz w:val="20"/>
        </w:rPr>
        <w:t>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the Company nor any of our officers or directors adopted or terminated a Rule 10b5-1 or non-Rule 10b5-1 trading arrangement as defined by Item 408(a) and Item 408(d) of Regulation S-K during the last fiscal quarter.</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21" w:name="item_6a_exhibits"/>
      <w:bookmarkStart w:id="22" w:name="item_15_exhibits_financial"/>
      <w:bookmarkEnd w:id="21"/>
      <w:bookmarkEnd w:id="22"/>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3"/>
        <w:gridCol w:w="146"/>
        <w:gridCol w:w="9246"/>
      </w:tblGrid>
      <w:tr>
        <w:trPr/>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6" w:type="dxa"/>
            <w:tcBorders/>
            <w:vAlign w:val="center"/>
          </w:tcPr>
          <w:p>
            <w:pPr>
              <w:pStyle w:val="TableContents"/>
              <w:bidi w:val="0"/>
              <w:spacing w:before="0" w:after="283"/>
              <w:jc w:val="left"/>
              <w:rPr>
                <w:sz w:val="4"/>
                <w:szCs w:val="4"/>
              </w:rPr>
            </w:pPr>
            <w:r>
              <w:rPr>
                <w:sz w:val="4"/>
                <w:szCs w:val="4"/>
              </w:rPr>
            </w:r>
          </w:p>
        </w:tc>
      </w:tr>
      <w:tr>
        <w:trPr/>
        <w:tc>
          <w:tcPr>
            <w:tcW w:w="81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r>
      <w:tr>
        <w:trPr/>
        <w:tc>
          <w:tcPr>
            <w:tcW w:w="8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6" w:type="dxa"/>
            <w:tcBorders/>
            <w:tcMar>
              <w:top w:w="0" w:type="dxa"/>
              <w:left w:w="0" w:type="dxa"/>
              <w:bottom w:w="0" w:type="dxa"/>
              <w:right w:w="0" w:type="dxa"/>
            </w:tcMar>
            <w:vAlign w:val="center"/>
          </w:tcPr>
          <w:p>
            <w:pPr>
              <w:pStyle w:val="TableContents"/>
              <w:bidi w:val="0"/>
              <w:spacing w:before="0" w:after="283"/>
              <w:jc w:val="left"/>
              <w:rPr/>
            </w:pPr>
            <w:hyperlink w:anchor="px-ex31_1.htm">
              <w:r>
                <w:rPr>
                  <w:rStyle w:val="InternetLink"/>
                  <w:rFonts w:ascii="Times New Roman" w:hAnsi="Times New Roman"/>
                  <w:color w:val="0000FF"/>
                  <w:sz w:val="20"/>
                  <w:u w:val="single"/>
                </w:rPr>
                <w:t>Certification of Chief Executive Officer Pursuant to Rules 13a-14(a) and 15d-14(a) under the Securities Exchange Act of 1934, as Adopted Pursuant to Section 302 of the Sarbanes-Oxley Act of 2002.</w:t>
              </w:r>
            </w:hyperlink>
          </w:p>
        </w:tc>
      </w:tr>
      <w:tr>
        <w:trPr/>
        <w:tc>
          <w:tcPr>
            <w:tcW w:w="8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6" w:type="dxa"/>
            <w:tcBorders/>
            <w:tcMar>
              <w:top w:w="0" w:type="dxa"/>
              <w:left w:w="0" w:type="dxa"/>
              <w:bottom w:w="0" w:type="dxa"/>
              <w:right w:w="0" w:type="dxa"/>
            </w:tcMar>
            <w:vAlign w:val="center"/>
          </w:tcPr>
          <w:p>
            <w:pPr>
              <w:pStyle w:val="TableContents"/>
              <w:bidi w:val="0"/>
              <w:spacing w:before="0" w:after="283"/>
              <w:jc w:val="left"/>
              <w:rPr/>
            </w:pPr>
            <w:hyperlink w:anchor="px-ex31_2.htm">
              <w:r>
                <w:rPr>
                  <w:rStyle w:val="InternetLink"/>
                  <w:rFonts w:ascii="Times New Roman" w:hAnsi="Times New Roman"/>
                  <w:color w:val="0000FF"/>
                  <w:sz w:val="20"/>
                  <w:u w:val="single"/>
                </w:rPr>
                <w:t>Certification of Chief Financial Officer Pursuant to Rules 13a-14(a) and 15d-14(a) under the Securities Exchange Act of 1934, as Adopted Pursuant to Section 302 of the Sarbanes-Oxley Act of 2002.</w:t>
              </w:r>
            </w:hyperlink>
          </w:p>
        </w:tc>
      </w:tr>
      <w:tr>
        <w:trPr/>
        <w:tc>
          <w:tcPr>
            <w:tcW w:w="8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32.1*</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6" w:type="dxa"/>
            <w:tcBorders/>
            <w:tcMar>
              <w:top w:w="0" w:type="dxa"/>
              <w:left w:w="0" w:type="dxa"/>
              <w:bottom w:w="0" w:type="dxa"/>
              <w:right w:w="0" w:type="dxa"/>
            </w:tcMar>
            <w:vAlign w:val="center"/>
          </w:tcPr>
          <w:p>
            <w:pPr>
              <w:pStyle w:val="TableContents"/>
              <w:bidi w:val="0"/>
              <w:spacing w:before="0" w:after="283"/>
              <w:jc w:val="left"/>
              <w:rPr/>
            </w:pPr>
            <w:hyperlink w:anchor="px-ex32_1.htm">
              <w:r>
                <w:rPr>
                  <w:rStyle w:val="InternetLink"/>
                  <w:rFonts w:ascii="Times New Roman" w:hAnsi="Times New Roman"/>
                  <w:color w:val="0000FF"/>
                  <w:sz w:val="20"/>
                  <w:u w:val="single"/>
                </w:rPr>
                <w:t>Certification of Chief Executive Officer Pursuant to 18 U.S.C. Section 1350, as Adopted Pursuant to Section 906 of the Sarbanes-Oxley Act of 2002.</w:t>
              </w:r>
            </w:hyperlink>
          </w:p>
        </w:tc>
      </w:tr>
      <w:tr>
        <w:trPr/>
        <w:tc>
          <w:tcPr>
            <w:tcW w:w="8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32.2*</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6" w:type="dxa"/>
            <w:tcBorders/>
            <w:tcMar>
              <w:top w:w="0" w:type="dxa"/>
              <w:left w:w="0" w:type="dxa"/>
              <w:bottom w:w="0" w:type="dxa"/>
              <w:right w:w="0" w:type="dxa"/>
            </w:tcMar>
            <w:vAlign w:val="center"/>
          </w:tcPr>
          <w:p>
            <w:pPr>
              <w:pStyle w:val="TableContents"/>
              <w:bidi w:val="0"/>
              <w:spacing w:before="0" w:after="283"/>
              <w:jc w:val="left"/>
              <w:rPr/>
            </w:pPr>
            <w:hyperlink w:anchor="px-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r>
      <w:tr>
        <w:trPr/>
        <w:tc>
          <w:tcPr>
            <w:tcW w:w="8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8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8"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This exhibit should not be deemed to be "filed" for purposes of Section 18 of the Exchange Act.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jc w:val="left"/>
        <w:rPr/>
      </w:pPr>
      <w:r>
        <w:rPr/>
        <w:t> </w:t>
      </w:r>
    </w:p>
    <w:p>
      <w:pPr>
        <w:pStyle w:val="TextBody"/>
        <w:bidi w:val="0"/>
        <w:jc w:val="left"/>
        <w:rPr/>
      </w:pPr>
      <w:r>
        <w:rPr/>
        <w:t> </w:t>
      </w:r>
    </w:p>
    <w:tbl>
      <w:tblPr>
        <w:tblW w:w="8399" w:type="dxa"/>
        <w:jc w:val="left"/>
        <w:tblInd w:w="0" w:type="dxa"/>
        <w:tblLayout w:type="fixed"/>
        <w:tblCellMar>
          <w:top w:w="28" w:type="dxa"/>
          <w:left w:w="28" w:type="dxa"/>
          <w:bottom w:w="28" w:type="dxa"/>
          <w:right w:w="28" w:type="dxa"/>
        </w:tblCellMar>
      </w:tblPr>
      <w:tblGrid>
        <w:gridCol w:w="2101"/>
        <w:gridCol w:w="146"/>
        <w:gridCol w:w="406"/>
        <w:gridCol w:w="574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74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P10, Inc.</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Luke A. Sarsfield III</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Luke A. Sarsfield III</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 (Principal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Amanda Coussens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Amanda Coussens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 (Principal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exhibit_31_1"/>
      <w:bookmarkStart w:id="25" w:name="px-ex31_1.htm"/>
      <w:bookmarkStart w:id="26" w:name="kspxex31_1"/>
      <w:bookmarkEnd w:id="24"/>
      <w:bookmarkEnd w:id="25"/>
      <w:bookmarkEnd w:id="26"/>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Luke A. Sarsfield III,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Form 10-Q of P10,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747" w:type="dxa"/>
        <w:jc w:val="left"/>
        <w:tblInd w:w="0" w:type="dxa"/>
        <w:tblLayout w:type="fixed"/>
        <w:tblCellMar>
          <w:top w:w="28" w:type="dxa"/>
          <w:left w:w="28" w:type="dxa"/>
          <w:bottom w:w="28" w:type="dxa"/>
          <w:right w:w="28" w:type="dxa"/>
        </w:tblCellMar>
      </w:tblPr>
      <w:tblGrid>
        <w:gridCol w:w="2101"/>
        <w:gridCol w:w="109"/>
        <w:gridCol w:w="406"/>
        <w:gridCol w:w="213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Luke A. Sarsfield III</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Luke A. Sarsfield III</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exhibit_31_3"/>
      <w:bookmarkStart w:id="28" w:name="px-ex31_2.htm"/>
      <w:bookmarkStart w:id="29" w:name="kspxex31_2"/>
      <w:bookmarkEnd w:id="27"/>
      <w:bookmarkEnd w:id="28"/>
      <w:bookmarkEnd w:id="29"/>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Amanda Coussens,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Form 10-Q of P10,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717" w:type="dxa"/>
        <w:jc w:val="left"/>
        <w:tblInd w:w="0" w:type="dxa"/>
        <w:tblLayout w:type="fixed"/>
        <w:tblCellMar>
          <w:top w:w="28" w:type="dxa"/>
          <w:left w:w="28" w:type="dxa"/>
          <w:bottom w:w="28" w:type="dxa"/>
          <w:right w:w="28" w:type="dxa"/>
        </w:tblCellMar>
      </w:tblPr>
      <w:tblGrid>
        <w:gridCol w:w="2101"/>
        <w:gridCol w:w="109"/>
        <w:gridCol w:w="406"/>
        <w:gridCol w:w="210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Amanda Coussens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Amanda Coussens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exhibit_32_1"/>
      <w:bookmarkStart w:id="31" w:name="px-ex32_1.htm"/>
      <w:bookmarkStart w:id="32" w:name="kspxex32_1"/>
      <w:bookmarkEnd w:id="30"/>
      <w:bookmarkEnd w:id="31"/>
      <w:bookmarkEnd w:id="32"/>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P10, Inc. (the “Company”) on Form 10-Q for the quarter ended September 30, 2025 as filed with the Securities and Exchange Commission on the date hereof (the “Report”), I certify, pursuant to 18 U.S.C. § 1350, as adopted pursuant to § 906 of the Sarbanes-Oxley Act of 2002, that:</w:t>
      </w:r>
    </w:p>
    <w:p>
      <w:pPr>
        <w:pStyle w:val="TextBody"/>
        <w:bidi w:val="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tbl>
      <w:tblPr>
        <w:tblW w:w="4747" w:type="dxa"/>
        <w:jc w:val="left"/>
        <w:tblInd w:w="0" w:type="dxa"/>
        <w:tblLayout w:type="fixed"/>
        <w:tblCellMar>
          <w:top w:w="28" w:type="dxa"/>
          <w:left w:w="28" w:type="dxa"/>
          <w:bottom w:w="28" w:type="dxa"/>
          <w:right w:w="28" w:type="dxa"/>
        </w:tblCellMar>
      </w:tblPr>
      <w:tblGrid>
        <w:gridCol w:w="2101"/>
        <w:gridCol w:w="109"/>
        <w:gridCol w:w="406"/>
        <w:gridCol w:w="213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Luke A. Sarsfield III</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Luke A. Sarsfield III</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3" w:name="exhibit_32_3"/>
      <w:bookmarkStart w:id="34" w:name="px-ex32_2.htm"/>
      <w:bookmarkStart w:id="35" w:name="kspxex32_2"/>
      <w:bookmarkEnd w:id="33"/>
      <w:bookmarkEnd w:id="34"/>
      <w:bookmarkEnd w:id="35"/>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P10, Inc. (the “Company”) on Form 10-Q for the quarter ended September 30, 2025 as filed with the Securities and Exchange Commission on the date hereof (the “Report”), I certify, pursuant to 18 U.S.C. § 1350, as adopted pursuant to § 906 of the Sarbanes-Oxley Act of 2002, that:</w:t>
      </w:r>
    </w:p>
    <w:p>
      <w:pPr>
        <w:pStyle w:val="TextBody"/>
        <w:bidi w:val="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tbl>
      <w:tblPr>
        <w:tblW w:w="4717" w:type="dxa"/>
        <w:jc w:val="left"/>
        <w:tblInd w:w="0" w:type="dxa"/>
        <w:tblLayout w:type="fixed"/>
        <w:tblCellMar>
          <w:top w:w="28" w:type="dxa"/>
          <w:left w:w="28" w:type="dxa"/>
          <w:bottom w:w="28" w:type="dxa"/>
          <w:right w:w="28" w:type="dxa"/>
        </w:tblCellMar>
      </w:tblPr>
      <w:tblGrid>
        <w:gridCol w:w="2101"/>
        <w:gridCol w:w="109"/>
        <w:gridCol w:w="406"/>
        <w:gridCol w:w="210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Amanda Coussens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Amanda Coussens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37697</Words>
  <Characters>206183</Characters>
  <CharactersWithSpaces>246523</CharactersWithSpaces>
  <Paragraphs>10528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