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x-20240331.htm"/>
      <w:bookmarkStart w:id="1" w:name="kspx20240331"/>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8"/>
        </w:rPr>
      </w:pPr>
      <w:r>
        <w:rPr>
          <w:rFonts w:ascii="Times New Roman" w:hAnsi="Times New Roman"/>
          <w:b/>
          <w:color w:val="000000"/>
          <w:sz w:val="28"/>
        </w:rPr>
        <w:t>FORM 10-Q</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jc w:val="center"/>
        <w:rPr>
          <w:rFonts w:ascii="Times New Roman" w:hAnsi="Times New Roman"/>
          <w:b/>
          <w:color w:val="000000"/>
          <w:sz w:val="20"/>
        </w:rPr>
      </w:pPr>
      <w:r>
        <w:rPr>
          <w:rFonts w:ascii="Times New Roman" w:hAnsi="Times New Roman"/>
          <w:b/>
          <w:color w:val="000000"/>
          <w:sz w:val="20"/>
        </w:rPr>
        <w:t>OR</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transition period from ____________________ to ____________________</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001-40937</w:t>
      </w:r>
    </w:p>
    <w:p>
      <w:pPr>
        <w:pStyle w:val="TextBody"/>
        <w:bidi w:val="0"/>
        <w:jc w:val="center"/>
        <w:rPr>
          <w:rFonts w:ascii="Times New Roman" w:hAnsi="Times New Roman"/>
          <w:b/>
          <w:color w:val="000000"/>
          <w:sz w:val="40"/>
        </w:rPr>
      </w:pPr>
      <w:r>
        <w:rPr>
          <w:rFonts w:ascii="Times New Roman" w:hAnsi="Times New Roman"/>
          <w:b/>
          <w:color w:val="000000"/>
          <w:sz w:val="40"/>
        </w:rPr>
        <w:t>P10,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87-2908160</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4514 Cole Ave, Suite 1600</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Dallas, TX</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75205</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 (214) 865-7998</w:t>
      </w:r>
    </w:p>
    <w:p>
      <w:pPr>
        <w:pStyle w:val="TextBody"/>
        <w:bidi w:val="0"/>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tbl>
      <w:tblPr>
        <w:tblW w:w="8711" w:type="dxa"/>
        <w:jc w:val="left"/>
        <w:tblInd w:w="0" w:type="dxa"/>
        <w:tblLayout w:type="fixed"/>
        <w:tblCellMar>
          <w:top w:w="28" w:type="dxa"/>
          <w:left w:w="28" w:type="dxa"/>
          <w:bottom w:w="28" w:type="dxa"/>
          <w:right w:w="28" w:type="dxa"/>
        </w:tblCellMar>
      </w:tblPr>
      <w:tblGrid>
        <w:gridCol w:w="4351"/>
        <w:gridCol w:w="109"/>
        <w:gridCol w:w="826"/>
        <w:gridCol w:w="109"/>
        <w:gridCol w:w="3316"/>
      </w:tblGrid>
      <w:tr>
        <w:trPr/>
        <w:tc>
          <w:tcPr>
            <w:tcW w:w="4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3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435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Times New Roman" w:hAnsi="Times New Roman"/>
                <w:color w:val="000000"/>
                <w:sz w:val="16"/>
              </w:rPr>
              <w:t>Class A Common Stock, $0.001 par value per share</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Series A Junior Participating Preferred Stock Purchase Rights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NYSE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 xml:space="preserve">Yes </w:t>
      </w:r>
      <w:r>
        <w:rPr>
          <w:rFonts w:ascii="Times New Roman" w:hAnsi="Times New Roman"/>
          <w:color w:val="000000"/>
          <w:sz w:val="20"/>
        </w:rPr>
        <w:t xml:space="preserve">☐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As of May 6, 2024, there were 54,673,874</w:t>
      </w:r>
      <w:r>
        <w:rPr>
          <w:rFonts w:ascii="Times New Roman" w:hAnsi="Times New Roman"/>
          <w:color w:val="000000"/>
          <w:sz w:val="20"/>
        </w:rPr>
        <w:t xml:space="preserve"> </w:t>
      </w:r>
      <w:r>
        <w:rPr>
          <w:rFonts w:ascii="Times New Roman" w:hAnsi="Times New Roman"/>
          <w:color w:val="000000"/>
          <w:sz w:val="16"/>
        </w:rPr>
        <w:t>shares of the registrant's Class A common stock and 58,348,721</w:t>
      </w:r>
      <w:r>
        <w:rPr>
          <w:rFonts w:ascii="Times New Roman" w:hAnsi="Times New Roman"/>
          <w:color w:val="000000"/>
          <w:sz w:val="20"/>
        </w:rPr>
        <w:t xml:space="preserve"> </w:t>
      </w:r>
      <w:r>
        <w:rPr>
          <w:rFonts w:ascii="Times New Roman" w:hAnsi="Times New Roman"/>
          <w:color w:val="000000"/>
          <w:sz w:val="16"/>
        </w:rPr>
        <w:t>shares of the Registrant's Class B common stock, issued and outstanding.</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tbl>
      <w:tblPr>
        <w:tblW w:w="8823" w:type="dxa"/>
        <w:jc w:val="left"/>
        <w:tblInd w:w="0" w:type="dxa"/>
        <w:tblLayout w:type="fixed"/>
        <w:tblCellMar>
          <w:top w:w="28" w:type="dxa"/>
          <w:left w:w="28" w:type="dxa"/>
          <w:bottom w:w="28" w:type="dxa"/>
          <w:right w:w="28" w:type="dxa"/>
        </w:tblCellMar>
      </w:tblPr>
      <w:tblGrid>
        <w:gridCol w:w="976"/>
        <w:gridCol w:w="73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Times New Roman" w:hAnsi="Times New Roman"/>
                  <w:b/>
                  <w:color w:val="0000FF"/>
                  <w:sz w:val="20"/>
                  <w:u w:val="single"/>
                </w:rPr>
                <w:t>PART 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FINANCIAL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operations">
              <w:r>
                <w:rPr>
                  <w:rStyle w:val="InternetLink"/>
                  <w:rFonts w:ascii="Times New Roman" w:hAnsi="Times New Roman"/>
                  <w:color w:val="0000FF"/>
                  <w:sz w:val="20"/>
                  <w:u w:val="single"/>
                </w:rPr>
                <w:t>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hanges_in_st">
              <w:r>
                <w:rPr>
                  <w:rStyle w:val="InternetLink"/>
                  <w:rFonts w:ascii="Times New Roman" w:hAnsi="Times New Roman"/>
                  <w:color w:val="0000FF"/>
                  <w:sz w:val="20"/>
                  <w:u w:val="single"/>
                </w:rPr>
                <w:t>Consolidated Statements of Changes in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s">
              <w:r>
                <w:rPr>
                  <w:rStyle w:val="InternetLink"/>
                  <w:rFonts w:ascii="Times New Roman" w:hAnsi="Times New Roman"/>
                  <w:color w:val="0000FF"/>
                  <w:sz w:val="20"/>
                  <w:u w:val="single"/>
                </w:rPr>
                <w:t>Notes to Unaudited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l_quan">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2">
              <w:r>
                <w:rPr>
                  <w:rStyle w:val="InternetLink"/>
                  <w:rFonts w:ascii="Times New Roman" w:hAnsi="Times New Roman"/>
                  <w:b/>
                  <w:color w:val="0000FF"/>
                  <w:sz w:val="20"/>
                  <w:u w:val="single"/>
                </w:rPr>
                <w:t>PART II</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OTHER INFORMATION</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unregistered_sale">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other_info">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a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7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1"/>
      <w:bookmarkEnd w:id="3"/>
      <w:r>
        <w:rPr>
          <w:rFonts w:ascii="Times New Roman" w:hAnsi="Times New Roman"/>
          <w:b/>
          <w:color w:val="000000"/>
          <w:sz w:val="20"/>
        </w:rPr>
        <w:t>PART I</w:t>
      </w:r>
      <w:r>
        <w:rPr>
          <w:rFonts w:ascii="Times New Roman" w:hAnsi="Times New Roman"/>
          <w:color w:val="000000"/>
          <w:sz w:val="20"/>
        </w:rPr>
        <w:t xml:space="preserve"> </w:t>
      </w:r>
      <w:r>
        <w:rPr>
          <w:rFonts w:ascii="Times New Roman" w:hAnsi="Times New Roman"/>
          <w:b/>
          <w:color w:val="000000"/>
          <w:sz w:val="20"/>
        </w:rPr>
        <w:t>-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4" w:name="consolidated_bs"/>
      <w:bookmarkStart w:id="5" w:name="consolidated_balance_sheets"/>
      <w:bookmarkEnd w:id="4"/>
      <w:bookmarkEnd w:id="5"/>
      <w:r>
        <w:rPr>
          <w:rFonts w:ascii="Times New Roman" w:hAnsi="Times New Roman"/>
          <w:color w:val="000000"/>
          <w:sz w:val="20"/>
        </w:rPr>
        <w:t>Consolidated Balance Sheets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41"/>
        <w:gridCol w:w="146"/>
        <w:gridCol w:w="211"/>
        <w:gridCol w:w="841"/>
        <w:gridCol w:w="166"/>
        <w:gridCol w:w="146"/>
        <w:gridCol w:w="212"/>
        <w:gridCol w:w="849"/>
        <w:gridCol w:w="593"/>
      </w:tblGrid>
      <w:tr>
        <w:trPr/>
        <w:tc>
          <w:tcPr>
            <w:tcW w:w="7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3" w:type="dxa"/>
            <w:tcBorders/>
            <w:shd w:fill="FFFFFF" w:val="clear"/>
            <w:vAlign w:val="center"/>
          </w:tcPr>
          <w:p>
            <w:pPr>
              <w:pStyle w:val="TableContents"/>
              <w:bidi w:val="0"/>
              <w:spacing w:before="0" w:after="283"/>
              <w:jc w:val="center"/>
              <w:rPr/>
            </w:pPr>
            <w:r>
              <w:rPr/>
              <w:t> </w:t>
            </w:r>
          </w:p>
        </w:tc>
      </w:tr>
      <w:tr>
        <w:trPr/>
        <w:tc>
          <w:tcPr>
            <w:tcW w:w="7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3" w:type="dxa"/>
            <w:tcBorders/>
            <w:shd w:fill="FFFFFF" w:val="clear"/>
            <w:vAlign w:val="center"/>
          </w:tcPr>
          <w:p>
            <w:pPr>
              <w:pStyle w:val="TableContents"/>
              <w:bidi w:val="0"/>
              <w:spacing w:before="0" w:after="283"/>
              <w:jc w:val="center"/>
              <w:rPr/>
            </w:pPr>
            <w:r>
              <w:rPr/>
              <w:t> </w:t>
            </w:r>
          </w:p>
        </w:tc>
      </w:tr>
      <w:tr>
        <w:trPr/>
        <w:tc>
          <w:tcPr>
            <w:tcW w:w="7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7" w:type="dxa"/>
            <w:gridSpan w:val="2"/>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1" w:type="dxa"/>
            <w:gridSpan w:val="2"/>
            <w:tcBorders/>
            <w:shd w:fill="FFFFFF" w:val="clear"/>
            <w:vAlign w:val="center"/>
          </w:tcPr>
          <w:p>
            <w:pPr>
              <w:pStyle w:val="TableContents"/>
              <w:bidi w:val="0"/>
              <w:spacing w:before="0" w:after="283"/>
              <w:jc w:val="center"/>
              <w:rPr/>
            </w:pPr>
            <w:r>
              <w:rPr/>
              <w:t> </w:t>
            </w:r>
          </w:p>
        </w:tc>
        <w:tc>
          <w:tcPr>
            <w:tcW w:w="593" w:type="dxa"/>
            <w:tcBorders/>
            <w:shd w:fill="FFFFFF" w:val="clear"/>
            <w:vAlign w:val="center"/>
          </w:tcPr>
          <w:p>
            <w:pPr>
              <w:pStyle w:val="TableContents"/>
              <w:bidi w:val="0"/>
              <w:spacing w:before="0" w:after="283"/>
              <w:jc w:val="center"/>
              <w:rPr/>
            </w:pPr>
            <w:r>
              <w:rPr/>
              <w:t> </w:t>
            </w:r>
          </w:p>
        </w:tc>
      </w:tr>
      <w:tr>
        <w:trPr/>
        <w:tc>
          <w:tcPr>
            <w:tcW w:w="7187" w:type="dxa"/>
            <w:gridSpan w:val="2"/>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1" w:type="dxa"/>
            <w:gridSpan w:val="2"/>
            <w:tcBorders/>
            <w:shd w:fill="CFF0FC" w:val="clear"/>
            <w:vAlign w:val="center"/>
          </w:tcPr>
          <w:p>
            <w:pPr>
              <w:pStyle w:val="TableContents"/>
              <w:bidi w:val="0"/>
              <w:spacing w:before="0" w:after="283"/>
              <w:jc w:val="left"/>
              <w:rPr/>
            </w:pPr>
            <w:r>
              <w:rPr/>
              <w:t> </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Notes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from related parties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57,696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Investment in unconsolidated subsidiaries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15,011</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17,087</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payments to customers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tax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Intangibles,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123,195</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0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87" w:type="dxa"/>
            <w:gridSpan w:val="2"/>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15,054</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45,081</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Due to related parties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contingent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16,222</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12,770</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593" w:type="dxa"/>
            <w:tcBorders/>
            <w:shd w:fill="FFFFFF" w:val="clear"/>
            <w:vAlign w:val="center"/>
          </w:tcPr>
          <w:p>
            <w:pPr>
              <w:pStyle w:val="TableContents"/>
              <w:bidi w:val="0"/>
              <w:spacing w:before="0" w:after="283"/>
              <w:ind w:left="0" w:right="0" w:firstLine="400"/>
              <w:jc w:val="left"/>
              <w:rPr/>
            </w:pPr>
            <w:r>
              <w:rPr/>
              <w:t> </w:t>
            </w:r>
          </w:p>
        </w:tc>
      </w:tr>
      <w:tr>
        <w:trPr/>
        <w:tc>
          <w:tcPr>
            <w:tcW w:w="70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432,724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408,912</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13)</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61" w:type="dxa"/>
            <w:gridSpan w:val="2"/>
            <w:tcBorders/>
            <w:shd w:fill="FFFFFF" w:val="clear"/>
            <w:vAlign w:val="center"/>
          </w:tcPr>
          <w:p>
            <w:pPr>
              <w:pStyle w:val="TableContents"/>
              <w:bidi w:val="0"/>
              <w:spacing w:before="0" w:after="283"/>
              <w:jc w:val="right"/>
              <w:rPr/>
            </w:pPr>
            <w:r>
              <w:rPr/>
              <w:t> </w:t>
            </w:r>
          </w:p>
        </w:tc>
        <w:tc>
          <w:tcPr>
            <w:tcW w:w="593" w:type="dxa"/>
            <w:tcBorders/>
            <w:shd w:fill="FFFFFF" w:val="clear"/>
            <w:vAlign w:val="center"/>
          </w:tcPr>
          <w:p>
            <w:pPr>
              <w:pStyle w:val="TableContents"/>
              <w:bidi w:val="0"/>
              <w:spacing w:before="0" w:after="283"/>
              <w:jc w:val="right"/>
              <w:rPr/>
            </w:pPr>
            <w:r>
              <w:rPr/>
              <w:t> </w:t>
            </w:r>
          </w:p>
        </w:tc>
      </w:tr>
      <w:tr>
        <w:trPr/>
        <w:tc>
          <w:tcPr>
            <w:tcW w:w="7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61" w:type="dxa"/>
            <w:gridSpan w:val="2"/>
            <w:tcBorders/>
            <w:shd w:fill="CFF0FC" w:val="clear"/>
            <w:vAlign w:val="center"/>
          </w:tcPr>
          <w:p>
            <w:pPr>
              <w:pStyle w:val="TableContents"/>
              <w:bidi w:val="0"/>
              <w:spacing w:before="0" w:after="283"/>
              <w:jc w:val="right"/>
              <w:rPr/>
            </w:pPr>
            <w:r>
              <w:rPr/>
              <w:t> </w:t>
            </w:r>
          </w:p>
        </w:tc>
        <w:tc>
          <w:tcPr>
            <w:tcW w:w="593" w:type="dxa"/>
            <w:tcBorders/>
            <w:shd w:fill="CFF0FC" w:val="clear"/>
            <w:vAlign w:val="center"/>
          </w:tcPr>
          <w:p>
            <w:pPr>
              <w:pStyle w:val="TableContents"/>
              <w:bidi w:val="0"/>
              <w:spacing w:before="0" w:after="283"/>
              <w:ind w:left="0" w:right="0" w:firstLine="200"/>
              <w:jc w:val="righ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A common stock, $0.001 par value; 510,000,000 shares authorized; 59,983,472 issued and 54,582,698 outstanding as of March 31, 2024, and 59,340,269 issued and 57,622,895 outstanding as of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3" w:type="dxa"/>
            <w:tcBorders/>
            <w:shd w:fill="FFFFFF" w:val="clear"/>
            <w:vAlign w:val="center"/>
          </w:tcPr>
          <w:p>
            <w:pPr>
              <w:pStyle w:val="TableContents"/>
              <w:bidi w:val="0"/>
              <w:spacing w:before="0" w:after="283"/>
              <w:ind w:left="0" w:right="0" w:firstLine="200"/>
              <w:jc w:val="left"/>
              <w:rPr/>
            </w:pPr>
            <w:r>
              <w:rPr/>
              <w:t> </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Class B common stock, $0.001 par value; 180,000,000 shares authorized; 58,562,814 shares issued and 58,439,363 shares outstanding as of March 31, 2024, and 58,597,718 shares issued and 58,474,267 shares outstanding as of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Treasury stock</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(17,588</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shd w:fill="CFF0FC" w:val="clear"/>
            <w:vAlign w:val="center"/>
          </w:tcPr>
          <w:p>
            <w:pPr>
              <w:pStyle w:val="TableContents"/>
              <w:bidi w:val="0"/>
              <w:spacing w:before="0" w:after="283"/>
              <w:jc w:val="left"/>
              <w:rPr/>
            </w:pPr>
            <w:r>
              <w:rPr/>
              <w:t> </w:t>
            </w:r>
          </w:p>
        </w:tc>
        <w:tc>
          <w:tcPr>
            <w:tcW w:w="8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636,073</w:t>
            </w:r>
          </w:p>
        </w:tc>
        <w:tc>
          <w:tcPr>
            <w:tcW w:w="593" w:type="dxa"/>
            <w:tcBorders/>
            <w:shd w:fill="CFF0FC" w:val="clear"/>
            <w:vAlign w:val="center"/>
          </w:tcPr>
          <w:p>
            <w:pPr>
              <w:pStyle w:val="TableContents"/>
              <w:bidi w:val="0"/>
              <w:spacing w:before="0" w:after="283"/>
              <w:ind w:left="0" w:right="0" w:firstLine="200"/>
              <w:jc w:val="left"/>
              <w:rPr/>
            </w:pPr>
            <w:r>
              <w:rPr/>
              <w:t> </w:t>
            </w:r>
          </w:p>
        </w:tc>
      </w:tr>
      <w:tr>
        <w:trPr/>
        <w:tc>
          <w:tcPr>
            <w:tcW w:w="70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(227,991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2" w:type="dxa"/>
            <w:tcBorders/>
            <w:shd w:fill="FFFFFF" w:val="clear"/>
            <w:vAlign w:val="center"/>
          </w:tcPr>
          <w:p>
            <w:pPr>
              <w:pStyle w:val="TableContents"/>
              <w:bidi w:val="0"/>
              <w:spacing w:before="0" w:after="283"/>
              <w:jc w:val="left"/>
              <w:rPr/>
            </w:pPr>
            <w:r>
              <w:rPr/>
              <w:t> </w:t>
            </w:r>
          </w:p>
        </w:tc>
        <w:tc>
          <w:tcPr>
            <w:tcW w:w="8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(233,012</w:t>
            </w:r>
          </w:p>
        </w:tc>
        <w:tc>
          <w:tcPr>
            <w:tcW w:w="593"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39,573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4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425,162</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4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6" w:name="consolidated_statements_of_operations"/>
      <w:bookmarkEnd w:id="6"/>
      <w:r>
        <w:rPr>
          <w:rFonts w:ascii="Times New Roman" w:hAnsi="Times New Roman"/>
          <w:color w:val="000000"/>
          <w:sz w:val="20"/>
        </w:rPr>
        <w:t>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 except per share amounts)</w:t>
      </w:r>
    </w:p>
    <w:p>
      <w:pPr>
        <w:pStyle w:val="TextBody"/>
        <w:bidi w:val="0"/>
        <w:jc w:val="center"/>
        <w:rPr/>
      </w:pPr>
      <w:r>
        <w:rPr/>
        <w:t> </w:t>
      </w:r>
    </w:p>
    <w:tbl>
      <w:tblPr>
        <w:tblW w:w="9549" w:type="dxa"/>
        <w:jc w:val="left"/>
        <w:tblInd w:w="0" w:type="dxa"/>
        <w:tblLayout w:type="fixed"/>
        <w:tblCellMar>
          <w:top w:w="28" w:type="dxa"/>
          <w:left w:w="28" w:type="dxa"/>
          <w:bottom w:w="28" w:type="dxa"/>
          <w:right w:w="28" w:type="dxa"/>
        </w:tblCellMar>
      </w:tblPr>
      <w:tblGrid>
        <w:gridCol w:w="6516"/>
        <w:gridCol w:w="146"/>
        <w:gridCol w:w="211"/>
        <w:gridCol w:w="781"/>
        <w:gridCol w:w="166"/>
        <w:gridCol w:w="146"/>
        <w:gridCol w:w="211"/>
        <w:gridCol w:w="781"/>
        <w:gridCol w:w="591"/>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591" w:type="dxa"/>
            <w:tcBorders/>
            <w:shd w:fill="FFFFFF" w:val="clear"/>
            <w:vAlign w:val="center"/>
          </w:tcPr>
          <w:p>
            <w:pPr>
              <w:pStyle w:val="TableContents"/>
              <w:bidi w:val="0"/>
              <w:spacing w:before="0" w:after="283"/>
              <w:jc w:val="center"/>
              <w:rPr/>
            </w:pPr>
            <w:r>
              <w:rPr/>
              <w:t> </w:t>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56,587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57,253</w:t>
            </w:r>
          </w:p>
        </w:tc>
        <w:tc>
          <w:tcPr>
            <w:tcW w:w="59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3,842</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administrative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Contingent consideration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Amortization of intangibles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Strategic alliance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52,382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59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(EXPENSE)/INCOME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5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(5,059</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income/(loss)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interests in P10 Intermediate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1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P10</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5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earnings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5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Diluted earnings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591" w:type="dxa"/>
            <w:tcBorders/>
            <w:shd w:fill="CFF0FC" w:val="clear"/>
            <w:vAlign w:val="center"/>
          </w:tcPr>
          <w:p>
            <w:pPr>
              <w:pStyle w:val="TableContents"/>
              <w:bidi w:val="0"/>
              <w:spacing w:before="0" w:after="283"/>
              <w:jc w:val="left"/>
              <w:rPr/>
            </w:pPr>
            <w:r>
              <w:rPr/>
              <w:t> </w:t>
            </w:r>
          </w:p>
        </w:tc>
      </w:tr>
      <w:tr>
        <w:trPr/>
        <w:tc>
          <w:tcPr>
            <w:tcW w:w="65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115,921</w:t>
            </w:r>
          </w:p>
        </w:tc>
        <w:tc>
          <w:tcPr>
            <w:tcW w:w="591" w:type="dxa"/>
            <w:tcBorders/>
            <w:shd w:fill="FFFFFF" w:val="clear"/>
            <w:vAlign w:val="center"/>
          </w:tcPr>
          <w:p>
            <w:pPr>
              <w:pStyle w:val="TableContents"/>
              <w:bidi w:val="0"/>
              <w:spacing w:before="0" w:after="283"/>
              <w:jc w:val="left"/>
              <w:rPr/>
            </w:pPr>
            <w:r>
              <w:rPr/>
              <w:t> </w:t>
            </w:r>
          </w:p>
        </w:tc>
      </w:tr>
      <w:tr>
        <w:trPr/>
        <w:tc>
          <w:tcPr>
            <w:tcW w:w="65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123,926</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7" w:name="consolidated_statements_of_changes_in_st"/>
      <w:bookmarkEnd w:id="7"/>
      <w:r>
        <w:rPr>
          <w:rFonts w:ascii="Times New Roman" w:hAnsi="Times New Roman"/>
          <w:color w:val="000000"/>
          <w:sz w:val="20"/>
        </w:rPr>
        <w:t>Consolidated Statements of Changes in Equity</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left"/>
        <w:rPr/>
      </w:pPr>
      <w:r>
        <w:rPr/>
        <w:t> </w:t>
      </w:r>
    </w:p>
    <w:tbl>
      <w:tblPr>
        <w:tblW w:w="11225" w:type="dxa"/>
        <w:jc w:val="left"/>
        <w:tblInd w:w="0" w:type="dxa"/>
        <w:tblLayout w:type="fixed"/>
        <w:tblCellMar>
          <w:top w:w="28" w:type="dxa"/>
          <w:left w:w="28" w:type="dxa"/>
          <w:bottom w:w="28" w:type="dxa"/>
          <w:right w:w="28" w:type="dxa"/>
        </w:tblCellMar>
      </w:tblPr>
      <w:tblGrid>
        <w:gridCol w:w="1401"/>
        <w:gridCol w:w="146"/>
        <w:gridCol w:w="511"/>
        <w:gridCol w:w="151"/>
        <w:gridCol w:w="146"/>
        <w:gridCol w:w="196"/>
        <w:gridCol w:w="375"/>
        <w:gridCol w:w="151"/>
        <w:gridCol w:w="146"/>
        <w:gridCol w:w="146"/>
        <w:gridCol w:w="511"/>
        <w:gridCol w:w="151"/>
        <w:gridCol w:w="146"/>
        <w:gridCol w:w="196"/>
        <w:gridCol w:w="375"/>
        <w:gridCol w:w="146"/>
        <w:gridCol w:w="146"/>
        <w:gridCol w:w="146"/>
        <w:gridCol w:w="436"/>
        <w:gridCol w:w="146"/>
        <w:gridCol w:w="146"/>
        <w:gridCol w:w="181"/>
        <w:gridCol w:w="556"/>
        <w:gridCol w:w="151"/>
        <w:gridCol w:w="237"/>
        <w:gridCol w:w="769"/>
        <w:gridCol w:w="151"/>
        <w:gridCol w:w="194"/>
        <w:gridCol w:w="677"/>
        <w:gridCol w:w="151"/>
        <w:gridCol w:w="212"/>
        <w:gridCol w:w="599"/>
        <w:gridCol w:w="151"/>
        <w:gridCol w:w="209"/>
        <w:gridCol w:w="677"/>
        <w:gridCol w:w="396"/>
      </w:tblGrid>
      <w:tr>
        <w:trPr/>
        <w:tc>
          <w:tcPr>
            <w:tcW w:w="1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401"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 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 Controlling</w:t>
            </w:r>
          </w:p>
        </w:tc>
        <w:tc>
          <w:tcPr>
            <w:tcW w:w="151"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6" w:type="dxa"/>
            <w:tcBorders/>
            <w:shd w:fill="FFFFFF" w:val="cle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0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42,365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73,008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628,828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(225,879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40,745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433,883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w:t>
            </w:r>
          </w:p>
        </w:tc>
        <w:tc>
          <w:tcPr>
            <w:tcW w:w="151" w:type="dxa"/>
            <w:tcBorders/>
            <w:shd w:fill="CFF0FC" w:val="clear"/>
            <w:vAlign w:val="center"/>
          </w:tcPr>
          <w:p>
            <w:pPr>
              <w:pStyle w:val="TableContents"/>
              <w:bidi w:val="0"/>
              <w:spacing w:before="0" w:after="283"/>
              <w:jc w:val="left"/>
              <w:rPr/>
            </w:pPr>
            <w:r>
              <w:rPr/>
              <w:t> </w:t>
            </w:r>
          </w:p>
        </w:tc>
        <w:tc>
          <w:tcPr>
            <w:tcW w:w="87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3,252</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restricted stock units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Exercise of stock options (net of tax and strike price)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common stock for employee tax witholding and exercised stock option strike price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(3,038</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repurchase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Accrual for excise tax associated with stock repurchases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14"/>
              </w:rPr>
              <w:t>Distributions to non-controlling interests, net</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paid per share $0.03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72,832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624,706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(225,274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40,787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430,409</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5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5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7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11"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200"/>
              <w:jc w:val="right"/>
              <w:rPr/>
            </w:pPr>
            <w:r>
              <w:rPr/>
              <w:t> </w:t>
            </w:r>
          </w:p>
        </w:tc>
      </w:tr>
      <w:tr>
        <w:trPr/>
        <w:tc>
          <w:tcPr>
            <w:tcW w:w="1401" w:type="dxa"/>
            <w:tcBorders/>
            <w:shd w:fill="FFFFFF" w:val="clear"/>
            <w:vAlign w:val="center"/>
          </w:tcPr>
          <w:p>
            <w:pPr>
              <w:pStyle w:val="TableContents"/>
              <w:bidi w:val="0"/>
              <w:spacing w:before="0" w:after="283"/>
              <w:ind w:left="200" w:right="0" w:firstLine="200"/>
              <w:jc w:val="left"/>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 Class A</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 - Class 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51"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 Controlling</w:t>
            </w:r>
          </w:p>
        </w:tc>
        <w:tc>
          <w:tcPr>
            <w:tcW w:w="151" w:type="dxa"/>
            <w:tcBorders/>
            <w:shd w:fill="FFFFFF" w:val="clear"/>
            <w:vAlign w:val="center"/>
          </w:tcPr>
          <w:p>
            <w:pPr>
              <w:pStyle w:val="TableContents"/>
              <w:bidi w:val="0"/>
              <w:spacing w:before="0" w:after="283"/>
              <w:jc w:val="center"/>
              <w:rPr/>
            </w:pPr>
            <w:r>
              <w:rPr/>
              <w:t> </w:t>
            </w:r>
          </w:p>
        </w:tc>
        <w:tc>
          <w:tcPr>
            <w:tcW w:w="886"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396" w:type="dxa"/>
            <w:tcBorders/>
            <w:shd w:fill="FFFFFF" w:val="cle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left"/>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0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(17,588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636,073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(233,012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39,573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425,162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5,021</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222</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5,243</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6,175</w:t>
            </w:r>
          </w:p>
        </w:tc>
        <w:tc>
          <w:tcPr>
            <w:tcW w:w="15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6,175</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Issuance of restricted stock units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Exchange of Class B common stock for Class A common stock</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396" w:type="dxa"/>
            <w:tcBorders/>
            <w:shd w:fill="FFFFFF" w:val="clear"/>
            <w:vAlign w:val="center"/>
          </w:tcPr>
          <w:p>
            <w:pPr>
              <w:pStyle w:val="TableContents"/>
              <w:bidi w:val="0"/>
              <w:spacing w:before="0" w:after="283"/>
              <w:ind w:left="0" w:right="0" w:firstLine="200"/>
              <w:jc w:val="left"/>
              <w:rPr/>
            </w:pPr>
            <w:r>
              <w:rPr/>
              <w:t> </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Exercise of stock options</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396" w:type="dxa"/>
            <w:tcBorders/>
            <w:shd w:fill="CFF0FC" w:val="clear"/>
            <w:vAlign w:val="center"/>
          </w:tcPr>
          <w:p>
            <w:pPr>
              <w:pStyle w:val="TableContents"/>
              <w:bidi w:val="0"/>
              <w:spacing w:before="0" w:after="283"/>
              <w:ind w:left="0" w:right="0" w:firstLine="200"/>
              <w:jc w:val="left"/>
              <w:rPr/>
            </w:pPr>
            <w:r>
              <w:rPr/>
              <w:t> </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common stock for employee tax witholding and strike price</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Stock repurchase</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(30,038</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Accrual for excise tax associated with stock repurchases</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w:t>
            </w:r>
          </w:p>
        </w:tc>
        <w:tc>
          <w:tcPr>
            <w:tcW w:w="3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4"/>
              </w:rPr>
              <w:t>Distributions to non-controlling interests, net</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76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599"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09" w:type="dxa"/>
            <w:tcBorders/>
            <w:shd w:fill="CFF0FC" w:val="clear"/>
            <w:vAlign w:val="center"/>
          </w:tcPr>
          <w:p>
            <w:pPr>
              <w:pStyle w:val="TableContents"/>
              <w:bidi w:val="0"/>
              <w:spacing w:before="0" w:after="283"/>
              <w:jc w:val="left"/>
              <w:rPr/>
            </w:pPr>
            <w:r>
              <w:rPr/>
              <w:t> </w:t>
            </w:r>
          </w:p>
        </w:tc>
        <w:tc>
          <w:tcPr>
            <w:tcW w:w="67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w:t>
            </w:r>
          </w:p>
        </w:tc>
        <w:tc>
          <w:tcPr>
            <w:tcW w:w="3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769"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3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paid per share $0.03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40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March 31,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54,583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58,439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(47,622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635,944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(227,991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39,642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400,086</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bookmarkStart w:id="8" w:name="consolidated_statements_of_cash_flows"/>
      <w:bookmarkEnd w:id="8"/>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center"/>
        <w:rPr/>
      </w:pPr>
      <w:r>
        <w:rPr/>
        <w:t> </w:t>
      </w:r>
    </w:p>
    <w:tbl>
      <w:tblPr>
        <w:tblW w:w="7499" w:type="dxa"/>
        <w:jc w:val="left"/>
        <w:tblInd w:w="0" w:type="dxa"/>
        <w:tblLayout w:type="fixed"/>
        <w:tblCellMar>
          <w:top w:w="28" w:type="dxa"/>
          <w:left w:w="28" w:type="dxa"/>
          <w:bottom w:w="28" w:type="dxa"/>
          <w:right w:w="28" w:type="dxa"/>
        </w:tblCellMar>
      </w:tblPr>
      <w:tblGrid>
        <w:gridCol w:w="4586"/>
        <w:gridCol w:w="146"/>
        <w:gridCol w:w="181"/>
        <w:gridCol w:w="556"/>
        <w:gridCol w:w="151"/>
        <w:gridCol w:w="146"/>
        <w:gridCol w:w="181"/>
        <w:gridCol w:w="556"/>
        <w:gridCol w:w="996"/>
      </w:tblGrid>
      <w:tr>
        <w:trPr/>
        <w:tc>
          <w:tcPr>
            <w:tcW w:w="4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4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1"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w:t>
              <w:br/>
              <w:t>Ended March 31,</w:t>
            </w:r>
          </w:p>
        </w:tc>
        <w:tc>
          <w:tcPr>
            <w:tcW w:w="996" w:type="dxa"/>
            <w:tcBorders/>
            <w:shd w:fill="FFFFFF" w:val="clear"/>
            <w:vAlign w:val="center"/>
          </w:tcPr>
          <w:p>
            <w:pPr>
              <w:pStyle w:val="TableContents"/>
              <w:bidi w:val="0"/>
              <w:spacing w:before="0" w:after="283"/>
              <w:jc w:val="center"/>
              <w:rPr/>
            </w:pPr>
            <w:r>
              <w:rPr/>
              <w:t> </w:t>
            </w:r>
          </w:p>
        </w:tc>
      </w:tr>
      <w:tr>
        <w:trPr/>
        <w:tc>
          <w:tcPr>
            <w:tcW w:w="4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left"/>
              <w:rPr/>
            </w:pPr>
            <w:r>
              <w:rPr/>
              <w:t> </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income</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4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Adjustments to reconcile net income to net cash provided by operating</w:t>
              <w:br/>
              <w:t>   activities:</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400"/>
              <w:jc w:val="right"/>
              <w:rPr/>
            </w:pPr>
            <w:r>
              <w:rPr/>
              <w:t> </w:t>
            </w:r>
          </w:p>
        </w:tc>
      </w:tr>
      <w:tr>
        <w:trPr/>
        <w:tc>
          <w:tcPr>
            <w:tcW w:w="4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Stock-based compensation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7,099</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4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Depreciation expense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155</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4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7,248</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4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debt issuance costs and debt discount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330</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4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Income from unconsolidated subsidiaries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w:t>
            </w:r>
          </w:p>
        </w:tc>
        <w:tc>
          <w:tcPr>
            <w:tcW w:w="996" w:type="dxa"/>
            <w:tcBorders/>
            <w:shd w:fill="FFFFFF"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Deferred tax expense/(benefit)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(1,053</w:t>
            </w:r>
          </w:p>
        </w:tc>
        <w:tc>
          <w:tcPr>
            <w:tcW w:w="996" w:type="dxa"/>
            <w:tcBorders/>
            <w:shd w:fill="CFF0FC" w:val="clear"/>
            <w:vAlign w:val="center"/>
          </w:tcPr>
          <w:p>
            <w:pPr>
              <w:pStyle w:val="TableContents"/>
              <w:bidi w:val="0"/>
              <w:spacing w:before="0" w:after="283"/>
              <w:ind w:left="0" w:right="0" w:firstLine="4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Amortization of contingent payment to customers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367</w:t>
            </w:r>
          </w:p>
        </w:tc>
        <w:tc>
          <w:tcPr>
            <w:tcW w:w="996" w:type="dxa"/>
            <w:tcBorders/>
            <w:shd w:fill="FFFFFF" w:val="clear"/>
            <w:vAlign w:val="center"/>
          </w:tcPr>
          <w:p>
            <w:pPr>
              <w:pStyle w:val="TableContents"/>
              <w:bidi w:val="0"/>
              <w:spacing w:before="0" w:after="283"/>
              <w:ind w:left="0" w:right="0" w:firstLine="400"/>
              <w:jc w:val="left"/>
              <w:rPr/>
            </w:pPr>
            <w:r>
              <w:rPr/>
              <w:t> </w:t>
            </w:r>
          </w:p>
        </w:tc>
      </w:tr>
      <w:tr>
        <w:trPr/>
        <w:tc>
          <w:tcPr>
            <w:tcW w:w="4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Remeasurement of contingent consideration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996" w:type="dxa"/>
            <w:tcBorders/>
            <w:shd w:fill="CFF0FC" w:val="clear"/>
            <w:vAlign w:val="center"/>
          </w:tcPr>
          <w:p>
            <w:pPr>
              <w:pStyle w:val="TableContents"/>
              <w:bidi w:val="0"/>
              <w:spacing w:before="0" w:after="283"/>
              <w:ind w:left="0" w:right="0" w:firstLine="400"/>
              <w:jc w:val="left"/>
              <w:rPr/>
            </w:pPr>
            <w:r>
              <w:rPr/>
              <w:t> </w:t>
            </w:r>
          </w:p>
        </w:tc>
      </w:tr>
      <w:tr>
        <w:trPr/>
        <w:tc>
          <w:tcPr>
            <w:tcW w:w="4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600"/>
              <w:jc w:val="right"/>
              <w:rPr/>
            </w:pPr>
            <w:r>
              <w:rPr/>
              <w:t> </w:t>
            </w:r>
          </w:p>
        </w:tc>
      </w:tr>
      <w:tr>
        <w:trPr/>
        <w:tc>
          <w:tcPr>
            <w:tcW w:w="4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Accounts receivable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(2,673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(915</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Due from related parties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(5,060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(4,518</w:t>
            </w:r>
          </w:p>
        </w:tc>
        <w:tc>
          <w:tcPr>
            <w:tcW w:w="996" w:type="dxa"/>
            <w:tcBorders/>
            <w:shd w:fill="FFFFFF"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442</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4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Right-of-use assets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1,310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658</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4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3,281</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4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3,896</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4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Due to related parties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(1,658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(1,766</w:t>
            </w:r>
          </w:p>
        </w:tc>
        <w:tc>
          <w:tcPr>
            <w:tcW w:w="996" w:type="dxa"/>
            <w:tcBorders/>
            <w:shd w:fill="CFF0FC" w:val="clear"/>
            <w:vAlign w:val="center"/>
          </w:tcPr>
          <w:p>
            <w:pPr>
              <w:pStyle w:val="TableContents"/>
              <w:bidi w:val="0"/>
              <w:spacing w:before="0" w:after="283"/>
              <w:ind w:left="0" w:right="0" w:firstLine="6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Other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1,337</w:t>
            </w:r>
          </w:p>
        </w:tc>
        <w:tc>
          <w:tcPr>
            <w:tcW w:w="996" w:type="dxa"/>
            <w:tcBorders/>
            <w:shd w:fill="FFFFFF" w:val="clear"/>
            <w:vAlign w:val="center"/>
          </w:tcPr>
          <w:p>
            <w:pPr>
              <w:pStyle w:val="TableContents"/>
              <w:bidi w:val="0"/>
              <w:spacing w:before="0" w:after="283"/>
              <w:ind w:left="0" w:right="0" w:firstLine="600"/>
              <w:jc w:val="left"/>
              <w:rPr/>
            </w:pPr>
            <w:r>
              <w:rPr/>
              <w:t> </w:t>
            </w:r>
          </w:p>
        </w:tc>
      </w:tr>
      <w:tr>
        <w:trPr/>
        <w:tc>
          <w:tcPr>
            <w:tcW w:w="4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Deferred revenues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3,486</w:t>
            </w:r>
          </w:p>
        </w:tc>
        <w:tc>
          <w:tcPr>
            <w:tcW w:w="996" w:type="dxa"/>
            <w:tcBorders/>
            <w:shd w:fill="CFF0FC" w:val="clear"/>
            <w:vAlign w:val="center"/>
          </w:tcPr>
          <w:p>
            <w:pPr>
              <w:pStyle w:val="TableContents"/>
              <w:bidi w:val="0"/>
              <w:spacing w:before="0" w:after="283"/>
              <w:ind w:left="0" w:right="0" w:firstLine="600"/>
              <w:jc w:val="left"/>
              <w:rPr/>
            </w:pPr>
            <w:r>
              <w:rPr/>
              <w:t> </w:t>
            </w:r>
          </w:p>
        </w:tc>
      </w:tr>
      <w:tr>
        <w:trPr/>
        <w:tc>
          <w:tcPr>
            <w:tcW w:w="4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4"/>
              </w:rPr>
            </w:pPr>
            <w:r>
              <w:rPr>
                <w:rFonts w:ascii="Times New Roman" w:hAnsi="Times New Roman"/>
                <w:color w:val="000000"/>
                <w:sz w:val="14"/>
              </w:rPr>
              <w:t>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(315</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10,959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20,777</w:t>
            </w:r>
          </w:p>
        </w:tc>
        <w:tc>
          <w:tcPr>
            <w:tcW w:w="996" w:type="dxa"/>
            <w:tcBorders/>
            <w:shd w:fill="CFF0FC" w:val="clear"/>
            <w:vAlign w:val="center"/>
          </w:tcPr>
          <w:p>
            <w:pPr>
              <w:pStyle w:val="TableContents"/>
              <w:bidi w:val="0"/>
              <w:spacing w:before="0" w:after="283"/>
              <w:jc w:val="left"/>
              <w:rPr/>
            </w:pPr>
            <w:r>
              <w:rPr/>
              <w:t> </w:t>
            </w:r>
          </w:p>
        </w:tc>
      </w:tr>
      <w:tr>
        <w:trPr/>
        <w:tc>
          <w:tcPr>
            <w:tcW w:w="458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INVESTING ACTIVITIES</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7" w:type="dxa"/>
            <w:gridSpan w:val="2"/>
            <w:tcBorders/>
            <w:shd w:fill="FFFFFF" w:val="clear"/>
            <w:vAlign w:val="center"/>
          </w:tcPr>
          <w:p>
            <w:pPr>
              <w:pStyle w:val="TableContents"/>
              <w:bidi w:val="0"/>
              <w:spacing w:before="0" w:after="283"/>
              <w:jc w:val="right"/>
              <w:rPr/>
            </w:pPr>
            <w:r>
              <w:rPr/>
              <w:t> </w:t>
            </w:r>
          </w:p>
        </w:tc>
        <w:tc>
          <w:tcPr>
            <w:tcW w:w="996" w:type="dxa"/>
            <w:tcBorders/>
            <w:shd w:fill="FFFFFF" w:val="clear"/>
            <w:vAlign w:val="center"/>
          </w:tcPr>
          <w:p>
            <w:pPr>
              <w:pStyle w:val="TableContents"/>
              <w:bidi w:val="0"/>
              <w:spacing w:before="0" w:after="283"/>
              <w:ind w:left="0" w:right="0" w:firstLine="200"/>
              <w:jc w:val="right"/>
              <w:rPr/>
            </w:pPr>
            <w:r>
              <w:rPr/>
              <w:t> </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Purchase of intangible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Funding of notes receivable</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Proceeds from notes receivable</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Investments in unconsolidated subsidiaries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Distributions from investments in unconsolidated subsidiaries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996" w:type="dxa"/>
            <w:tcBorders/>
            <w:shd w:fill="CFF0FC" w:val="clear"/>
            <w:vAlign w:val="center"/>
          </w:tcPr>
          <w:p>
            <w:pPr>
              <w:pStyle w:val="TableContents"/>
              <w:bidi w:val="0"/>
              <w:spacing w:before="0" w:after="283"/>
              <w:ind w:left="0" w:right="0" w:firstLine="200"/>
              <w:jc w:val="left"/>
              <w:rPr/>
            </w:pPr>
            <w:r>
              <w:rPr/>
              <w:t> </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Software capitalization</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(484</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(701</w:t>
            </w:r>
          </w:p>
        </w:tc>
        <w:tc>
          <w:tcPr>
            <w:tcW w:w="99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FLOWS USED IN FINANCING ACTIVITIES</w:t>
            </w:r>
          </w:p>
        </w:tc>
        <w:tc>
          <w:tcPr>
            <w:tcW w:w="146" w:type="dxa"/>
            <w:tcBorders/>
            <w:shd w:fill="CFF0FC" w:val="clear"/>
            <w:vAlign w:val="center"/>
          </w:tcPr>
          <w:p>
            <w:pPr>
              <w:pStyle w:val="TableContents"/>
              <w:bidi w:val="0"/>
              <w:spacing w:before="0" w:after="283"/>
              <w:jc w:val="lef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37" w:type="dxa"/>
            <w:gridSpan w:val="2"/>
            <w:tcBorders/>
            <w:shd w:fill="CFF0FC" w:val="clear"/>
            <w:vAlign w:val="center"/>
          </w:tcPr>
          <w:p>
            <w:pPr>
              <w:pStyle w:val="TableContents"/>
              <w:bidi w:val="0"/>
              <w:spacing w:before="0" w:after="283"/>
              <w:jc w:val="right"/>
              <w:rPr/>
            </w:pPr>
            <w:r>
              <w:rPr/>
              <w:t> </w:t>
            </w:r>
          </w:p>
        </w:tc>
        <w:tc>
          <w:tcPr>
            <w:tcW w:w="996" w:type="dxa"/>
            <w:tcBorders/>
            <w:shd w:fill="CFF0FC" w:val="clear"/>
            <w:vAlign w:val="center"/>
          </w:tcPr>
          <w:p>
            <w:pPr>
              <w:pStyle w:val="TableContents"/>
              <w:bidi w:val="0"/>
              <w:spacing w:before="0" w:after="283"/>
              <w:ind w:left="0" w:right="0" w:firstLine="200"/>
              <w:jc w:val="right"/>
              <w:rPr/>
            </w:pPr>
            <w:r>
              <w:rPr/>
              <w:t> </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Borrowings on debt obligations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47,500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16,000</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Repayments on debt obligations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(23,656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(21,657</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A common stock</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(30,038</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996" w:type="dxa"/>
            <w:tcBorders/>
            <w:shd w:fill="FFFFFF" w:val="clear"/>
            <w:vAlign w:val="center"/>
          </w:tcPr>
          <w:p>
            <w:pPr>
              <w:pStyle w:val="TableContents"/>
              <w:bidi w:val="0"/>
              <w:spacing w:before="0" w:after="283"/>
              <w:ind w:left="0" w:right="0" w:firstLine="200"/>
              <w:jc w:val="left"/>
              <w:rPr/>
            </w:pPr>
            <w:r>
              <w:rPr/>
              <w:t> </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A common stock for employee tax withholding</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(3,038</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Repurchase of Class B common stock</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(851</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Payment of contingent consideration</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996" w:type="dxa"/>
            <w:tcBorders/>
            <w:shd w:fill="CFF0FC"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paid</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(3,774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(3,477</w:t>
            </w:r>
          </w:p>
        </w:tc>
        <w:tc>
          <w:tcPr>
            <w:tcW w:w="996" w:type="dxa"/>
            <w:tcBorders/>
            <w:shd w:fill="FFFFFF" w:val="cle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Distributions to non-controlling interests</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586" w:type="dxa"/>
            <w:tcBorders/>
            <w:shd w:fill="FFFFFF" w:val="cle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(12,725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(13,711</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4"/>
              </w:rPr>
            </w:pPr>
            <w:r>
              <w:rPr>
                <w:rFonts w:ascii="Times New Roman" w:hAnsi="Times New Roman"/>
                <w:color w:val="000000"/>
                <w:sz w:val="14"/>
              </w:rPr>
              <w:t>)</w:t>
            </w:r>
          </w:p>
        </w:tc>
      </w:tr>
      <w:tr>
        <w:trPr/>
        <w:tc>
          <w:tcPr>
            <w:tcW w:w="4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14"/>
              </w:rPr>
            </w:pPr>
            <w:r>
              <w:rPr>
                <w:rFonts w:ascii="Times New Roman" w:hAnsi="Times New Roman"/>
                <w:color w:val="000000"/>
                <w:sz w:val="14"/>
              </w:rPr>
              <w:t>Net change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(2,026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55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6,365</w:t>
            </w:r>
          </w:p>
        </w:tc>
        <w:tc>
          <w:tcPr>
            <w:tcW w:w="996" w:type="dxa"/>
            <w:tcBorders/>
            <w:shd w:fill="CFF0FC" w:val="clear"/>
            <w:vAlign w:val="center"/>
          </w:tcPr>
          <w:p>
            <w:pPr>
              <w:pStyle w:val="TableContents"/>
              <w:bidi w:val="0"/>
              <w:spacing w:before="0" w:after="283"/>
              <w:jc w:val="left"/>
              <w:rPr/>
            </w:pPr>
            <w:r>
              <w:rPr/>
              <w:t> </w:t>
            </w:r>
          </w:p>
        </w:tc>
      </w:tr>
      <w:tr>
        <w:trPr/>
        <w:tc>
          <w:tcPr>
            <w:tcW w:w="458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beginning</w:t>
              <w:br/>
              <w:t>   of period</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29,492</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CASH, CASH EQUIVALENTS AND RESTRICTED CASH, end of</w:t>
              <w:br/>
              <w:t>   period</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35,857</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(Unaudited, in thousands)</w:t>
      </w:r>
    </w:p>
    <w:p>
      <w:pPr>
        <w:pStyle w:val="TextBody"/>
        <w:bidi w:val="0"/>
        <w:jc w:val="center"/>
        <w:rPr/>
      </w:pPr>
      <w:r>
        <w:rPr/>
        <w:t> </w:t>
      </w:r>
    </w:p>
    <w:tbl>
      <w:tblPr>
        <w:tblW w:w="6524" w:type="dxa"/>
        <w:jc w:val="left"/>
        <w:tblInd w:w="0" w:type="dxa"/>
        <w:tblLayout w:type="fixed"/>
        <w:tblCellMar>
          <w:top w:w="28" w:type="dxa"/>
          <w:left w:w="28" w:type="dxa"/>
          <w:bottom w:w="28" w:type="dxa"/>
          <w:right w:w="28" w:type="dxa"/>
        </w:tblCellMar>
      </w:tblPr>
      <w:tblGrid>
        <w:gridCol w:w="4111"/>
        <w:gridCol w:w="146"/>
        <w:gridCol w:w="181"/>
        <w:gridCol w:w="511"/>
        <w:gridCol w:w="146"/>
        <w:gridCol w:w="146"/>
        <w:gridCol w:w="181"/>
        <w:gridCol w:w="511"/>
        <w:gridCol w:w="5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w:t>
              <w:br/>
              <w:t>Ended March 31,</w:t>
            </w:r>
          </w:p>
        </w:tc>
        <w:tc>
          <w:tcPr>
            <w:tcW w:w="591" w:type="dxa"/>
            <w:tcBorders/>
            <w:shd w:fill="FFFFFF" w:val="cle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SUPPLEMENTAL DISCLOSURE OF CASH FLOW INFORMATION</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4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paid for interest</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2,863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Net cash paid for income taxes</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Additions to right-of-use assets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Additions to lease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Dividends declared</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411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RECONCILIATION OF CASH, CASH EQUIVALENTS AND</w:t>
              <w:br/>
              <w:t>   RESTRICTED CASH</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1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Cash and cash equivalents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25,050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4"/>
              </w:rPr>
            </w:pPr>
            <w:r>
              <w:rPr>
                <w:rFonts w:ascii="Times New Roman" w:hAnsi="Times New Roman"/>
                <w:color w:val="000000"/>
                <w:sz w:val="14"/>
              </w:rPr>
              <w:t>Restricted cash</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1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4"/>
              </w:rPr>
            </w:pPr>
            <w:r>
              <w:rPr>
                <w:rFonts w:ascii="Times New Roman" w:hAnsi="Times New Roman"/>
                <w:color w:val="000000"/>
                <w:sz w:val="14"/>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35,857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Notes to Consolidated Financial Statements are an integral part of these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jc w:val="both"/>
        <w:rPr>
          <w:rFonts w:ascii="Times New Roman" w:hAnsi="Times New Roman"/>
          <w:b/>
          <w:color w:val="000000"/>
          <w:sz w:val="20"/>
        </w:rPr>
      </w:pPr>
      <w:bookmarkStart w:id="9" w:name="notes_to_fs"/>
      <w:bookmarkEnd w:id="9"/>
      <w:r>
        <w:rPr>
          <w:rFonts w:ascii="Times New Roman" w:hAnsi="Times New Roman"/>
          <w:b/>
          <w:color w:val="000000"/>
          <w:sz w:val="20"/>
        </w:rPr>
        <w:t>Note 1. Description of Business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The offering and reorganization included a reverse stock split of P10 Holdings common stock on a 0.7-for-1 basis pursuant to which every outstanding share of common stock decreased to 0.7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reorganization and IPO, P10 has two classes of common stock, Class A common stock and Class B common stock. Each share of Class B common stock is entitled to ten votes while each share of Class A common stock is entitled to one vote.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 2017, the Company changed its name from P10 Industries, Inc. to P10 Holdings, Inc. We were founded as a Texas corporation in 1992 and reincorporated in Delaware in 2000. Our headquarters are in Dallas, Texas.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In 2022, Five Points established the Reynolda brand that specializes in direct equity funds. Five Points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and other socially responsible end markets including renewable energy, historic building renovations, and affordable housing. ECP is a registered investment advisor with the United States Securities and Exchange Commission.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2022, the Company formed P10 Advisors, a wholly-owned consolidated subsidiary, to manage investment opportunities that are sourced across the P10 platform but do not fit within an existing investment mandate.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As of March 31, 2024, no units have been exchanged into shares of P10 Class A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reports noncontrolling interests related to the partnership interests which are owned by the WTI sellers. This is recorded as noncontrolling interests on the Consolidated Balance Sheets. Noncontrolling interests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2022, the Board approved a program to repurchase up to $40.0 million of outstanding shares of our Class A and Class B common stock. On February 27, 2024, the Board approved an additional $40.0 million to be used towards repurchases. These shares may be repurchased from time to time in the open market at prevailing market prices, in privately negotiated transactions, in block trades, in accordance with Rule 10b5-1 trading plans and/or through other legally permissible means. As of March 31, 2024, $59.5 million has been spent to buy back shares under this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October 20, 2023, the Company had a transition of executives ("Executive Transition") and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 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Statements of Operations. See Note 15 for further information.</w:t>
      </w:r>
    </w:p>
    <w:p>
      <w:pPr>
        <w:pStyle w:val="TextBody"/>
        <w:bidi w:val="0"/>
        <w:spacing w:before="360" w:after="283"/>
        <w:jc w:val="left"/>
        <w:rPr>
          <w:rFonts w:ascii="Times New Roman" w:hAnsi="Times New Roman"/>
          <w:sz w:val="20"/>
        </w:rPr>
      </w:pPr>
      <w:r>
        <w:rPr>
          <w:rFonts w:ascii="Times New Roman" w:hAnsi="Times New Roman"/>
          <w:b/>
          <w:color w:val="000000"/>
          <w:sz w:val="20"/>
        </w:rPr>
        <w:t>Note 2.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controlling financial interest based on either a variable interest model or voting interest model. All intercompany transactions and balances have been eliminated upon consolidation. The results for the three months ended March 31, 2024 are not necessarily indicative of the results to be expected for the full year ended December 31, 2024.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6 for more information on both consolidated and unconsolidated VIEs.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reclassifications have been made within the Consolidated Financial Statements to conform prior periods with current period presentation.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instruments with original maturities of three months or less to be cash equivalents. As of March 31, 2024, and December 31, 2023, cash equivalents include money market funds of $11.3 million and $11.1 million, respectively, which approximates fair value. The Company maintains its cash balances at various financial institutions among multiple accounts, which may periodically exceed the Federal Deposit Insurance Corporation (“FDIC”)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as of March 31, 2024 and December 31, 2023 was primarily cash on deposit from third parties related to pending tax credit projects. There are deposit liabilities associated with restricted cash reported in other liabilities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Accounts Receivable and Due from Related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Notes receivable is related to contractual amounts owed from signed, secured promissory notes with BCP Partners Holdings, LP ("BCP") as well as certain employees. In addition to contractual amounts, borrowers are obligated to pay interest on outstanding amounts. Refer to Note 5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Current Expected Credit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 our accounts receivable, due from related parties, and notes receivable using the current expected credit loss model. We determine a current estimate of all expected credit losses over the life of each financial instrument, which may result in recognition of credit losses on loans and receivables before an actual event of default. We establish reserves for any estimated credit losses with a corresponding charge in our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that accounts receivable, due from related parties, and notes receivable are fully collectible; based on historical events, current conditions, and reasonable and supportable forecasts; accordingly, no allowances have been established as of March 31, 2024 and December 31, 2023. If accounts are subsequently determined to be uncollectible, they will be expensed in the period that determination is made.</w:t>
      </w:r>
    </w:p>
    <w:p>
      <w:pPr>
        <w:pStyle w:val="TextBody"/>
        <w:bidi w:val="0"/>
        <w:spacing w:before="360" w:after="283"/>
        <w:jc w:val="left"/>
        <w:rPr>
          <w:rFonts w:ascii="Times New Roman" w:hAnsi="Times New Roman"/>
          <w:sz w:val="20"/>
        </w:rPr>
      </w:pPr>
      <w:r>
        <w:rPr>
          <w:rFonts w:ascii="Times New Roman" w:hAnsi="Times New Roman"/>
          <w:b/>
          <w:color w:val="000000"/>
          <w:sz w:val="20"/>
        </w:rPr>
        <w:t>Prepaid Expenses and Other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March 31, 2024 and December 31, 2023, respectively, there is $8.5 million and $9.6 million within prepaid expenses and other assets on the Consolidated Balance Sheets associated with allocable state tax credits purchases.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 accounts for its investment in ECP, Enhanced PC, and the ECG's asset management businesses using the equity method of accounting.</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hAnsi="Times New Roman"/>
          <w:i/>
          <w:color w:val="000000"/>
          <w:sz w:val="20"/>
        </w:rPr>
        <w:t>Financial Instruments</w:t>
      </w:r>
      <w:r>
        <w:rPr>
          <w:rFonts w:ascii="Times New Roman" w:hAnsi="Times New Roman"/>
          <w:color w:val="000000"/>
          <w:sz w:val="20"/>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accounts for RCP's investment in a privately held investment manager and ECG's tax credit finance division under this method. Distributions from investments in unconsolidated subsidiaries are presented on the accompanying Consolidated Statements of Cash Flows consistent with the nature of the underlying distribution.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pStyle w:val="TextBody"/>
        <w:bidi w:val="0"/>
        <w:jc w:val="left"/>
        <w:rPr/>
      </w:pPr>
      <w:r>
        <w:rPr/>
        <w:t> </w:t>
      </w:r>
    </w:p>
    <w:tbl>
      <w:tblPr>
        <w:tblW w:w="4460" w:type="dxa"/>
        <w:jc w:val="left"/>
        <w:tblInd w:w="0" w:type="dxa"/>
        <w:tblLayout w:type="fixed"/>
        <w:tblCellMar>
          <w:top w:w="28" w:type="dxa"/>
          <w:left w:w="28" w:type="dxa"/>
          <w:bottom w:w="28" w:type="dxa"/>
          <w:right w:w="28" w:type="dxa"/>
        </w:tblCellMar>
      </w:tblPr>
      <w:tblGrid>
        <w:gridCol w:w="2941"/>
        <w:gridCol w:w="146"/>
        <w:gridCol w:w="146"/>
        <w:gridCol w:w="146"/>
        <w:gridCol w:w="108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3 - 5 years</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7 - 10 years</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Long-lived Assets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Long-lived assets including property and equipment, lease right-of-use assets, and definite lived intangibles are evaluated for impairment under FASB ASC 360, </w:t>
      </w:r>
      <w:r>
        <w:rPr>
          <w:rFonts w:ascii="Times New Roman" w:hAnsi="Times New Roman"/>
          <w:i/>
          <w:color w:val="000000"/>
          <w:sz w:val="20"/>
        </w:rPr>
        <w:t>Property, Plant, and Equipment</w:t>
      </w:r>
      <w:r>
        <w:rPr>
          <w:rFonts w:ascii="Times New Roman" w:hAnsi="Times New Roman"/>
          <w:color w:val="000000"/>
          <w:sz w:val="20"/>
        </w:rPr>
        <w:t xml:space="preserve">.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Revenue Share and Repurchase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exercisable starting in July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the fair value at each reporting period. Refer to Note 13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Goodwill is initially measured as the excess of the cost of the acquired business over the sum of the amounts assigned to identifiable assets acquired, less the liabilities assumed. As of March 31, 2024, goodwill recorded on our Consolidated Balance Sheets relates to the acquisitions of RCP 2, RCP 3, Five Points, TrueBridge, Enhanced, Bonaccord, Hark, and WTI. As of March 31, 2024, the intangible assets are comprised of indefinite-lived intangible assets and finite-lived intangible assets related to the acquisitions of RCP 2, RCP 3, Five Points, TrueBridge, Enhanced, Bonaccord, Hark, and WTI.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Contingent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March 31, 2024 and December 31, 2023, the contingent consideration is related to the acquisition of Bonaccord on the Consolidated Balance Sheets.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Compensation and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compensation and benefits consists of employee salaries, bonuses, benefits, severance, and acquisition-related earnouts (contingent on employment) that has not yet been paid. The acquisition-related earnout contingent on employment is a result of the acquisition of WTI. The sellers and certain employees of WTI are eligible to earn up to $70.0 million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contingent upon meeting certain EBITDA related hurdles and continued employment. Upon the achievement of $20.0 million, $22.5 million, and $25.0 million of EBITDA, $35.0 million, $17.5 million, and $17.5 million are earned, respectively. The earnout period is through December 31, 2027 with the potential to extend an additional two years. Refer to Note 13 for further information.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Debt Issuance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Noncontrolling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Noncontrolling interests ("NCI") reflect the portion of income or loss and the corresponding equity attributable to third-party equity holders and employees in certain consolidated subsidiaries that are not 100% owned by the Company. Noncontrolling interests is presented as a separate component in our Consolidated Statements of Operations to clearly distinguish between our interests and the economic interest of third parties in those entities. Net income attributable to P10, as reported in the Consolidated Statements of Operations, is presented net of the portion of net income attributable to holders of non-controlling interest. NCI is allocated a share of income or loss in the respective consolidated subsidiaries in proportion to their relative ownership interest.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Treasury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records common stock purchased for treasury at cost. At the date of subsequent reissuance, the treasury stock account is reduced by the cost of such stock using the average cost method.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and December 31, 2023, we used the following valuation techniques to measure fair value for assets and there were no changes to these methodologies during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1—Assets were valued using the closing price reported in the active market in which the individual security was traded.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2—Assets were valued using quoted prices in markets that are not active, broker dealer quotations, and other methods by which all significant inputs were observable at the measurement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3—Assets were valued using unobservable inputs in which little or no market data exists as reported by the respective institutions at the measurement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values of financial instruments comprising cash and cash equivalents, restricted cash, prepaid assets, accounts payable, accounts receivable, and due from related parties approximate fair values due to the short-term maturities of these instruments. We estimate the fair value of the credit facility using level two inputs. We discount the future cash flows using current interest rates at which we could obtain similar borrowings. The Company has a contingent consideration liability related to the acquisition of Bonaccord that is measured at fair value and is remeasured on a recurring basis. The Company also had a contingent consideration liability related to the acquisition of Hark, which was paid in full on July 27, 2023. See Note 10 for additional information.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a right to invoice.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Advisory services fees are determined using fixed-rate fees and are recognized over time as the related services are completed. Other advisory services include transaction and management fees associated with managing the origination and ongoing compliance of certain investments.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Catch-up fees are recorded as revenue when such commitments are made as variable consideration.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revenue on our Consolidated Statements of Operations primarily consists of subscriptions, consulting agreements, interest income, and referral fees. Interest income is from interest bearing fund bank accounts managed by the Company and is additional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income tax expense represents our estimated taxes to be paid or refunded for the current period. In accordance with ASC 740, </w:t>
      </w:r>
      <w:r>
        <w:rPr>
          <w:rFonts w:ascii="Times New Roman" w:hAnsi="Times New Roman"/>
          <w:i/>
          <w:color w:val="000000"/>
          <w:sz w:val="20"/>
        </w:rPr>
        <w:t xml:space="preserve">Income Taxes </w:t>
      </w:r>
      <w:r>
        <w:rPr>
          <w:rFonts w:ascii="Times New Roman" w:hAnsi="Times New Roman"/>
          <w:color w:val="000000"/>
          <w:sz w:val="20"/>
        </w:rPr>
        <w:t xml:space="preserve">(“ASC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in which the differences are expected to reverse. Valuation allowances are recorded to reduce deferred tax assets to the amount we believe is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file various federal and state and local tax returns based on federal and state local consolidation and stand-alone tax rules as applicable.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16 for additional information.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w:t>
      </w:r>
      <w:r>
        <w:rPr>
          <w:rFonts w:ascii="Times New Roman" w:hAnsi="Times New Roman"/>
          <w:i/>
          <w:color w:val="000000"/>
          <w:sz w:val="20"/>
        </w:rPr>
        <w:t>Compensation - Stock Compensation</w:t>
      </w:r>
      <w:r>
        <w:rPr>
          <w:rFonts w:ascii="Times New Roman" w:hAnsi="Times New Roman"/>
          <w:color w:val="000000"/>
          <w:sz w:val="20"/>
        </w:rPr>
        <w:t xml:space="preserve">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for further discussion. Forfeitures are recognized as they occur.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According to ASC 280, </w:t>
      </w:r>
      <w:r>
        <w:rPr>
          <w:rFonts w:ascii="Times New Roman" w:hAnsi="Times New Roman"/>
          <w:i/>
          <w:color w:val="000000"/>
          <w:sz w:val="20"/>
        </w:rPr>
        <w:t>Disclosures about Segments of an Enterprise and Related Information</w:t>
      </w:r>
      <w:r>
        <w:rPr>
          <w:rFonts w:ascii="Times New Roman" w:hAnsi="Times New Roman"/>
          <w:color w:val="000000"/>
          <w:sz w:val="20"/>
        </w:rPr>
        <w:t>, operating segments are defined as components of an enterprise for which discrete financial information is evaluated regularly by the chief operating decision maker in deciding how to allocate resources and in assessing performance. The Company operates our business as a single operating segment, which is how our chief operating decision maker (our Chief Executive Officer) evaluates financial performance and makes decisions regarding the allocation of resources.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Business Acquisitions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accordance with ASC 805, </w:t>
      </w:r>
      <w:r>
        <w:rPr>
          <w:rFonts w:ascii="Times New Roman" w:hAnsi="Times New Roman"/>
          <w:i/>
          <w:color w:val="000000"/>
          <w:sz w:val="20"/>
        </w:rPr>
        <w:t>Business Combinations</w:t>
      </w:r>
      <w:r>
        <w:rPr>
          <w:rFonts w:ascii="Times New Roman" w:hAnsi="Times New Roman"/>
          <w:color w:val="000000"/>
          <w:sz w:val="20"/>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pStyle w:val="TextBody"/>
        <w:bidi w:val="0"/>
        <w:spacing w:before="36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Dividends are reflected in the Consolidated Financial Statements when declared.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Effective January 1, 2024, the Company adopted ASU 2022-03, </w:t>
      </w:r>
      <w:r>
        <w:rPr>
          <w:rFonts w:ascii="Times New Roman" w:hAnsi="Times New Roman"/>
          <w:i/>
          <w:color w:val="000000"/>
          <w:sz w:val="20"/>
        </w:rPr>
        <w:t xml:space="preserve">Fair Value Measurement of Equity Securities Subject to Contractual Sale Restrictions </w:t>
      </w:r>
      <w:r>
        <w:rPr>
          <w:rFonts w:ascii="Times New Roman" w:hAnsi="Times New Roman"/>
          <w:color w:val="000000"/>
          <w:sz w:val="20"/>
        </w:rPr>
        <w:t>("ASU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hAnsi="Arial"/>
          <w:color w:val="373739"/>
          <w:sz w:val="18"/>
        </w:rPr>
        <w:t>d</w:t>
      </w:r>
      <w:r>
        <w:rPr>
          <w:rFonts w:ascii="Times New Roman" w:hAnsi="Times New Roman"/>
          <w:color w:val="000000"/>
          <w:sz w:val="20"/>
        </w:rPr>
        <w:t>ments also clarify that an entity cannot, as a separate unit of account, recognize and measure a contractual sale restriction. The adoption of ASU 2022-03 did not have a material impact on the Company's Consolidated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Pronouncements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On November 27, 2023, the FASB issued ASU 2023-07, </w:t>
      </w:r>
      <w:r>
        <w:rPr>
          <w:rFonts w:ascii="Times New Roman" w:hAnsi="Times New Roman"/>
          <w:i/>
          <w:color w:val="000000"/>
          <w:sz w:val="20"/>
        </w:rPr>
        <w:t>Improvements to Reportable Segment Disclosure</w:t>
      </w:r>
      <w:r>
        <w:rPr>
          <w:rFonts w:ascii="Times New Roman" w:hAnsi="Times New Roman"/>
          <w:color w:val="000000"/>
          <w:sz w:val="20"/>
        </w:rPr>
        <w:t xml:space="preserve"> ("ASU 2023-07"), which requires incremental disclosures related to a public entity’s reportable segments. Required disclosures include, on an annual and interim basis, significant segment expenses that are regularly provided to the chief operating decision maker (CODM) and included within each reported measure of segment profit or loss, an amount for other segment items (which is the difference between segment revenue less segment expenses and less segment profit or loss) and a description of its composition, the title and position of the CODM, and an explanation of how the CODM uses the reported measure(s) of segment profit or loss in assessing segment performance and deciding how to allocate resources. The standard also permits disclosure of more than one measure of segment profit. ASU 2023-07 is effective for fiscal years beginning after December 15, 2023, and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interim periods within fiscal years beginning after December 15, 2024. We are evaluating the effects of these amendments on our financial reporting.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December 14, 2023, the FASB issued ASU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to expand the disclosure requirements for income taxes, specifically related to the rate reconciliation and income taxes paid. ASU 2023-09 is effective for our annual periods beginning January 1, 2025. We are evaluating the effects of these amendments on our financial reporting.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3. Revenue</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presents revenues disaggregated by product offering:</w:t>
      </w:r>
    </w:p>
    <w:p>
      <w:pPr>
        <w:pStyle w:val="TextBody"/>
        <w:bidi w:val="0"/>
        <w:spacing w:before="120" w:after="283"/>
        <w:jc w:val="both"/>
        <w:rPr/>
      </w:pPr>
      <w:r>
        <w:rPr/>
        <w:t> </w:t>
      </w:r>
    </w:p>
    <w:tbl>
      <w:tblPr>
        <w:tblW w:w="4149" w:type="dxa"/>
        <w:jc w:val="left"/>
        <w:tblInd w:w="0" w:type="dxa"/>
        <w:tblLayout w:type="fixed"/>
        <w:tblCellMar>
          <w:top w:w="28" w:type="dxa"/>
          <w:left w:w="28" w:type="dxa"/>
          <w:bottom w:w="28" w:type="dxa"/>
          <w:right w:w="28" w:type="dxa"/>
        </w:tblCellMar>
      </w:tblPr>
      <w:tblGrid>
        <w:gridCol w:w="1546"/>
        <w:gridCol w:w="146"/>
        <w:gridCol w:w="211"/>
        <w:gridCol w:w="676"/>
        <w:gridCol w:w="146"/>
        <w:gridCol w:w="146"/>
        <w:gridCol w:w="211"/>
        <w:gridCol w:w="676"/>
        <w:gridCol w:w="39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91" w:type="dxa"/>
            <w:tcBorders/>
            <w:shd w:fill="FFFFFF" w:val="cle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55,536</w:t>
            </w:r>
          </w:p>
        </w:tc>
        <w:tc>
          <w:tcPr>
            <w:tcW w:w="3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Advisory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39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CFF0FC" w:val="clear"/>
            <w:vAlign w:val="center"/>
          </w:tcPr>
          <w:p>
            <w:pPr>
              <w:pStyle w:val="TableContents"/>
              <w:bidi w:val="0"/>
              <w:spacing w:before="0" w:after="283"/>
              <w:jc w:val="left"/>
              <w:rPr/>
            </w:pPr>
            <w:r>
              <w:rPr/>
              <w:t> </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4. Strategic Alliance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Bonaccord acquisition, Bonaccord entered into a Strategic Alliance Agreement ("SAA") with a third-party investor. This SAA provides the third-party the right to receive 15% of the net management fee earnings, which includes the management fees minus applicable expenses, for Bonaccord Fund I and subsequent funds, paid quarterly, in exchange for funding certain amounts of capital commitments to the fund. Net management fee earnings the third-party has the right to receive is based on the total capital committed. For the three months ended March 31, 2024 and 2023, the strategic alliance expense reported was $0.6 million and $0.4 million, respectively. This is reported on the Consolidated Statements of Operations as strategic alliance expense in operating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as of March 31, 2024. Fund II has not yet reached the final close but the Company believes it is probable that the third-party will exercise the option to acquire equity in Bonaccord and has begun to accrue an additional 5% of net management fee earnings, which is included in the strategic alliance expense. If executed, the purchase price shall be reduced by the amount of management fee distributions which the third-party would have been paid as of the initial closing of Fund II.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terms apply for Bonaccord Fund III ("Fund III") with the exception that the third-party can acquire 9.8 basis points for every $5.0 million committed up to 4.9%. This commitment has not yet been met as of March 31, 2024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5. Notes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two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$4.8 million was drawn as of March 31, 2024 with a maturity date of September 30, 2031. The note will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is collateralized by such employees' privately owned shares of the Company. The term of the additional notes is five years, maturing on October 13, 2028 with all principal due at maturity. The notes will accrue interest at SOFR plus 2.10% and is payable annually in arrears.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and December 31, 2023, the total notes receivable balance was $5.8 million and $5.8 million, respectively. The Company recognized interest income of $0.1 million and $0.1 million for the three months ended March 31, 2024 and 2023,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Variable Interest Entities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consolidates certain VIEs for which it is the primary beneficiary. VIEs consist of certain operating entities not wholly owned by the Company and include P10 Intermediate, Holdco, RCP 2, RCP 3, TrueBridge, Hark, Bonaccord, and WTI. The assets of the consolidated VIEs totaled $566.6 million and $579.4 million as of March 31, 2024 and December 31, 2023, respectively. The liabilities of the consolidated VIEs totaled $422.6 million and $397.6 million as of March 31, 2024 and December 31, 2023, respectively. With the exception of the Credit Facility, the assets of our consolidated VIEs are owned by those entities and not generally available to satisfy P10’s obligations. The liabilities of our consolidated VIEs are obligations of those entities and their creditors do not generally have recourse to the assets of P10.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Unconsolidated VIEs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7. Investment in Unconsolidated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investment in unconsolidated subsidiaries consist of unconsolidated equity method investments primarily related to ECG’s tax credit finance and asset management activities. Additionally, the investment in Enhanced Capital Partners and Enhanced PC is recorded at zero. The Company, therefore, suspended the use of the equity method of accounting because the Company has no guaranteed obligations or commitments to provide financial support to the investee.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investment in unconsolidated subsidiaries totaled $2.8 million, of which $0.9 million related to RCP's investment in a privately held investment manager, $1.9 million related to ECG’s asset management businesses, and $0 related to ECG’s tax credit finance businesses. As of December 31, 2023, investment in unconsolidated subsidiaries totaled $1.7 million, of which $0 related to RCP's investment in a privately held investment manager, $1.7 million related to ECG’s asset management businesses, and $0 related to ECG’s tax credit finance businesses.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8.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consist of the following:</w:t>
      </w:r>
    </w:p>
    <w:p>
      <w:pPr>
        <w:pStyle w:val="TextBody"/>
        <w:bidi w:val="0"/>
        <w:spacing w:before="120" w:after="283"/>
        <w:jc w:val="both"/>
        <w:rPr/>
      </w:pPr>
      <w:r>
        <w:rPr/>
        <w:t> </w:t>
      </w:r>
    </w:p>
    <w:tbl>
      <w:tblPr>
        <w:tblW w:w="7130" w:type="dxa"/>
        <w:jc w:val="left"/>
        <w:tblInd w:w="0" w:type="dxa"/>
        <w:tblLayout w:type="fixed"/>
        <w:tblCellMar>
          <w:top w:w="28" w:type="dxa"/>
          <w:left w:w="28" w:type="dxa"/>
          <w:bottom w:w="28" w:type="dxa"/>
          <w:right w:w="28" w:type="dxa"/>
        </w:tblCellMar>
      </w:tblPr>
      <w:tblGrid>
        <w:gridCol w:w="3096"/>
        <w:gridCol w:w="146"/>
        <w:gridCol w:w="361"/>
        <w:gridCol w:w="1079"/>
        <w:gridCol w:w="166"/>
        <w:gridCol w:w="146"/>
        <w:gridCol w:w="431"/>
        <w:gridCol w:w="1294"/>
        <w:gridCol w:w="41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shd w:fill="FFFFFF" w:val="clear"/>
            <w:vAlign w:val="center"/>
          </w:tcPr>
          <w:p>
            <w:pPr>
              <w:pStyle w:val="TableContents"/>
              <w:bidi w:val="0"/>
              <w:spacing w:before="0" w:after="283"/>
              <w:jc w:val="center"/>
              <w:rPr/>
            </w:pPr>
            <w:r>
              <w:rPr/>
              <w:t> </w:t>
            </w:r>
          </w:p>
        </w:tc>
      </w:tr>
      <w:tr>
        <w:trPr/>
        <w:tc>
          <w:tcPr>
            <w:tcW w:w="30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purchased software</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w:t>
            </w:r>
          </w:p>
        </w:tc>
        <w:tc>
          <w:tcPr>
            <w:tcW w:w="411" w:type="dxa"/>
            <w:tcBorders/>
            <w:shd w:fill="CFF0FC" w:val="clear"/>
            <w:vAlign w:val="center"/>
          </w:tcPr>
          <w:p>
            <w:pPr>
              <w:pStyle w:val="TableContents"/>
              <w:bidi w:val="0"/>
              <w:spacing w:before="0" w:after="283"/>
              <w:jc w:val="left"/>
              <w:rPr/>
            </w:pPr>
            <w:r>
              <w:rPr/>
              <w:t> </w:t>
            </w:r>
          </w:p>
        </w:tc>
      </w:tr>
      <w:tr>
        <w:trPr/>
        <w:tc>
          <w:tcPr>
            <w:tcW w:w="30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411" w:type="dxa"/>
            <w:tcBorders/>
            <w:shd w:fill="FFFFFF" w:val="clear"/>
            <w:vAlign w:val="center"/>
          </w:tcPr>
          <w:p>
            <w:pPr>
              <w:pStyle w:val="TableContents"/>
              <w:bidi w:val="0"/>
              <w:spacing w:before="0" w:after="283"/>
              <w:jc w:val="left"/>
              <w:rPr/>
            </w:pPr>
            <w:r>
              <w:rPr/>
              <w:t> </w:t>
            </w:r>
          </w:p>
        </w:tc>
      </w:tr>
      <w:tr>
        <w:trPr/>
        <w:tc>
          <w:tcPr>
            <w:tcW w:w="3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6,088</w:t>
            </w:r>
          </w:p>
        </w:tc>
        <w:tc>
          <w:tcPr>
            <w:tcW w:w="411" w:type="dxa"/>
            <w:tcBorders/>
            <w:shd w:fill="FFFFFF" w:val="clear"/>
            <w:vAlign w:val="center"/>
          </w:tcPr>
          <w:p>
            <w:pPr>
              <w:pStyle w:val="TableContents"/>
              <w:bidi w:val="0"/>
              <w:spacing w:before="0" w:after="283"/>
              <w:jc w:val="left"/>
              <w:rPr/>
            </w:pPr>
            <w:r>
              <w:rPr/>
              <w:t> </w:t>
            </w:r>
          </w:p>
        </w:tc>
      </w:tr>
      <w:tr>
        <w:trPr/>
        <w:tc>
          <w:tcPr>
            <w:tcW w:w="30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9. Goodwill and Intangibles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goodwill for the three months ended March 31, 2024 are as follows:</w:t>
      </w:r>
    </w:p>
    <w:p>
      <w:pPr>
        <w:pStyle w:val="TextBody"/>
        <w:bidi w:val="0"/>
        <w:spacing w:before="120" w:after="283"/>
        <w:jc w:val="left"/>
        <w:rPr/>
      </w:pPr>
      <w:r>
        <w:rPr/>
        <w:t> </w:t>
      </w:r>
    </w:p>
    <w:tbl>
      <w:tblPr>
        <w:tblW w:w="4115" w:type="dxa"/>
        <w:jc w:val="left"/>
        <w:tblInd w:w="0" w:type="dxa"/>
        <w:tblLayout w:type="fixed"/>
        <w:tblCellMar>
          <w:top w:w="28" w:type="dxa"/>
          <w:left w:w="28" w:type="dxa"/>
          <w:bottom w:w="28" w:type="dxa"/>
          <w:right w:w="28" w:type="dxa"/>
        </w:tblCellMar>
      </w:tblPr>
      <w:tblGrid>
        <w:gridCol w:w="2686"/>
        <w:gridCol w:w="246"/>
        <w:gridCol w:w="211"/>
        <w:gridCol w:w="781"/>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2023</w:t>
            </w:r>
          </w:p>
        </w:tc>
        <w:tc>
          <w:tcPr>
            <w:tcW w:w="246" w:type="dxa"/>
            <w:tcBorders/>
            <w:shd w:fill="CFF0FC"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from acquisitions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2024</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Intangibles consists of the following:</w:t>
      </w:r>
    </w:p>
    <w:p>
      <w:pPr>
        <w:pStyle w:val="TextBody"/>
        <w:bidi w:val="0"/>
        <w:spacing w:before="120" w:after="283"/>
        <w:jc w:val="left"/>
        <w:rPr/>
      </w:pPr>
      <w:r>
        <w:rPr/>
        <w:t> </w:t>
      </w:r>
    </w:p>
    <w:tbl>
      <w:tblPr>
        <w:tblW w:w="7818" w:type="dxa"/>
        <w:jc w:val="left"/>
        <w:tblInd w:w="0" w:type="dxa"/>
        <w:tblLayout w:type="fixed"/>
        <w:tblCellMar>
          <w:top w:w="28" w:type="dxa"/>
          <w:left w:w="28" w:type="dxa"/>
          <w:bottom w:w="28" w:type="dxa"/>
          <w:right w:w="28" w:type="dxa"/>
        </w:tblCellMar>
      </w:tblPr>
      <w:tblGrid>
        <w:gridCol w:w="3271"/>
        <w:gridCol w:w="146"/>
        <w:gridCol w:w="265"/>
        <w:gridCol w:w="980"/>
        <w:gridCol w:w="146"/>
        <w:gridCol w:w="146"/>
        <w:gridCol w:w="216"/>
        <w:gridCol w:w="865"/>
        <w:gridCol w:w="166"/>
        <w:gridCol w:w="146"/>
        <w:gridCol w:w="229"/>
        <w:gridCol w:w="851"/>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indefinite-lived intangible assets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3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contracts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(117,528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77,138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tbl>
      <w:tblPr>
        <w:tblW w:w="7818" w:type="dxa"/>
        <w:jc w:val="left"/>
        <w:tblInd w:w="0" w:type="dxa"/>
        <w:tblLayout w:type="fixed"/>
        <w:tblCellMar>
          <w:top w:w="28" w:type="dxa"/>
          <w:left w:w="28" w:type="dxa"/>
          <w:bottom w:w="28" w:type="dxa"/>
          <w:right w:w="28" w:type="dxa"/>
        </w:tblCellMar>
      </w:tblPr>
      <w:tblGrid>
        <w:gridCol w:w="3271"/>
        <w:gridCol w:w="146"/>
        <w:gridCol w:w="265"/>
        <w:gridCol w:w="980"/>
        <w:gridCol w:w="146"/>
        <w:gridCol w:w="146"/>
        <w:gridCol w:w="216"/>
        <w:gridCol w:w="865"/>
        <w:gridCol w:w="166"/>
        <w:gridCol w:w="146"/>
        <w:gridCol w:w="229"/>
        <w:gridCol w:w="851"/>
        <w:gridCol w:w="3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Carrying</w:t>
              <w:b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Indefinite-lived intangible assets: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indefinite-lived intangible assets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17,405</w:t>
            </w:r>
          </w:p>
        </w:tc>
        <w:tc>
          <w:tcPr>
            <w:tcW w:w="391" w:type="dxa"/>
            <w:tcBorders/>
            <w:shd w:fill="FFFFFF" w:val="cle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Finite-lived intangible assets:</w:t>
            </w:r>
          </w:p>
        </w:tc>
        <w:tc>
          <w:tcPr>
            <w:tcW w:w="146" w:type="dxa"/>
            <w:tcBorders/>
            <w:shd w:fill="CFF0FC" w:val="clear"/>
            <w:vAlign w:val="center"/>
          </w:tcPr>
          <w:p>
            <w:pPr>
              <w:pStyle w:val="TableContents"/>
              <w:bidi w:val="0"/>
              <w:spacing w:before="0" w:after="283"/>
              <w:jc w:val="left"/>
              <w:rPr/>
            </w:pPr>
            <w:r>
              <w:rPr/>
              <w:t> </w:t>
            </w:r>
          </w:p>
        </w:tc>
        <w:tc>
          <w:tcPr>
            <w:tcW w:w="124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8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Trade names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Management and advisory contracts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9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shd w:fill="CFF0FC" w:val="clear"/>
            <w:vAlign w:val="center"/>
          </w:tcPr>
          <w:p>
            <w:pPr>
              <w:pStyle w:val="TableContents"/>
              <w:bidi w:val="0"/>
              <w:spacing w:before="0" w:after="283"/>
              <w:jc w:val="left"/>
              <w:rPr/>
            </w:pPr>
            <w:r>
              <w:rPr/>
              <w:t> </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(111,873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2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Technology</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finite-lived intangible assets</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105,790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and advisory contracts and finite lived trade names are amortized over 7 - 16 years and are being amortized in line in which the economic benefits that are expected to occur. Technology is amortized on a straight-line basis over 4 years. The amortization expense for each of the next five years and thereafter are as follows:</w:t>
      </w:r>
    </w:p>
    <w:p>
      <w:pPr>
        <w:pStyle w:val="TextBody"/>
        <w:bidi w:val="0"/>
        <w:spacing w:before="120" w:after="283"/>
        <w:jc w:val="both"/>
        <w:rPr/>
      </w:pPr>
      <w:r>
        <w:rPr/>
        <w:t> </w:t>
      </w:r>
    </w:p>
    <w:tbl>
      <w:tblPr>
        <w:tblW w:w="2860" w:type="dxa"/>
        <w:jc w:val="left"/>
        <w:tblInd w:w="0" w:type="dxa"/>
        <w:tblLayout w:type="fixed"/>
        <w:tblCellMar>
          <w:top w:w="28" w:type="dxa"/>
          <w:left w:w="28" w:type="dxa"/>
          <w:bottom w:w="28" w:type="dxa"/>
          <w:right w:w="28" w:type="dxa"/>
        </w:tblCellMar>
      </w:tblPr>
      <w:tblGrid>
        <w:gridCol w:w="1636"/>
        <w:gridCol w:w="146"/>
        <w:gridCol w:w="211"/>
        <w:gridCol w:w="676"/>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19,175</w:t>
            </w:r>
          </w:p>
        </w:tc>
        <w:tc>
          <w:tcPr>
            <w:tcW w:w="191" w:type="dxa"/>
            <w:tcBorders/>
            <w:shd w:fill="CFF0FC"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21,269</w:t>
            </w:r>
          </w:p>
        </w:tc>
        <w:tc>
          <w:tcPr>
            <w:tcW w:w="191" w:type="dxa"/>
            <w:tcBorders/>
            <w:shd w:fill="FFFFFF" w:val="clear"/>
            <w:vAlign w:val="center"/>
          </w:tcPr>
          <w:p>
            <w:pPr>
              <w:pStyle w:val="TableContents"/>
              <w:bidi w:val="0"/>
              <w:spacing w:before="0" w:after="283"/>
              <w:jc w:val="left"/>
              <w:rPr/>
            </w:pPr>
            <w:r>
              <w:rPr/>
              <w:t> </w:t>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16,640</w:t>
            </w:r>
          </w:p>
        </w:tc>
        <w:tc>
          <w:tcPr>
            <w:tcW w:w="191" w:type="dxa"/>
            <w:tcBorders/>
            <w:shd w:fill="CFF0FC"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13,307</w:t>
            </w:r>
          </w:p>
        </w:tc>
        <w:tc>
          <w:tcPr>
            <w:tcW w:w="191" w:type="dxa"/>
            <w:tcBorders/>
            <w:shd w:fill="FFFFFF" w:val="clear"/>
            <w:vAlign w:val="center"/>
          </w:tcPr>
          <w:p>
            <w:pPr>
              <w:pStyle w:val="TableContents"/>
              <w:bidi w:val="0"/>
              <w:spacing w:before="0" w:after="283"/>
              <w:jc w:val="left"/>
              <w:rPr/>
            </w:pPr>
            <w:r>
              <w:rPr/>
              <w:t> </w:t>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9,986</w:t>
            </w:r>
          </w:p>
        </w:tc>
        <w:tc>
          <w:tcPr>
            <w:tcW w:w="191" w:type="dxa"/>
            <w:tcBorders/>
            <w:shd w:fill="CFF0FC" w:val="cle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1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measures certain liabilities at fair value on a recurring basis which are discussed below. The credit facility's estimated fair value was $314.0 million and $289.8 million as of March 31, 2024 and December 31, 2023, respectively using Level 2 inputs.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Earnouts associated with the acquisitions of Bonaccord and Hark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Payments are made after each close. As of March 31, 2024, $13.4 million has been paid in total contingent consideration associated with the earnout, of which $0.2 million was paid in the three months ended March 31, 2024. Total remeasurement expense recognized for the three months ended March 31, 2024 and March 31, 2023 was $0 and $0.3 million, respectively. This is included in contingent consideration expense on the Consolidated Statements of Operations. The Company's contingent consideration is considered to be a Level 3 fair value measurement as the significant inputs are unobservable and require significant judgment or estimation. The remainder of the earnout is highly probable to be achieved given the fundraising amount to date and projected fundraising should satisfy the targets. As of March 31, 2024, the estimated fair value of the remaining contingent consideration totaled $6.5 million. Following March 31, 2024, through the date these financial statements were issued, the Company has paid $1.0 million towards the remaining contingent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Included in the total consideration of the acquisition of Hark is an earnout not to exceed $5.4 million. Total remeasurement expense recognized for the three months ended March 31, 2024 and March 31, 2023 totaled $0 and $0.1 million, respectively. This is included in contingent consideration expense on the Consolidated Statements of Operations. The entirety of the Hark contingent consideration of $5.4 million was paid during the year ended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provide details regarding the classification of these liabilities within the fair value hierarchy as of the dates presented:</w:t>
      </w:r>
    </w:p>
    <w:p>
      <w:pPr>
        <w:pStyle w:val="TextBody"/>
        <w:bidi w:val="0"/>
        <w:spacing w:before="120" w:after="283"/>
        <w:jc w:val="left"/>
        <w:rPr/>
      </w:pPr>
      <w:r>
        <w:rPr/>
        <w:t> </w:t>
      </w:r>
    </w:p>
    <w:tbl>
      <w:tblPr>
        <w:tblW w:w="7495" w:type="dxa"/>
        <w:jc w:val="left"/>
        <w:tblInd w:w="0" w:type="dxa"/>
        <w:tblLayout w:type="fixed"/>
        <w:tblCellMar>
          <w:top w:w="28" w:type="dxa"/>
          <w:left w:w="28" w:type="dxa"/>
          <w:bottom w:w="28" w:type="dxa"/>
          <w:right w:w="28" w:type="dxa"/>
        </w:tblCellMar>
      </w:tblPr>
      <w:tblGrid>
        <w:gridCol w:w="3206"/>
        <w:gridCol w:w="393"/>
        <w:gridCol w:w="312"/>
        <w:gridCol w:w="146"/>
        <w:gridCol w:w="146"/>
        <w:gridCol w:w="435"/>
        <w:gridCol w:w="345"/>
        <w:gridCol w:w="146"/>
        <w:gridCol w:w="146"/>
        <w:gridCol w:w="230"/>
        <w:gridCol w:w="625"/>
        <w:gridCol w:w="146"/>
        <w:gridCol w:w="146"/>
        <w:gridCol w:w="211"/>
        <w:gridCol w:w="571"/>
        <w:gridCol w:w="291"/>
      </w:tblGrid>
      <w:tr>
        <w:trPr/>
        <w:tc>
          <w:tcPr>
            <w:tcW w:w="320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vAlign w:val="center"/>
          </w:tcPr>
          <w:p>
            <w:pPr>
              <w:pStyle w:val="TableContents"/>
              <w:bidi w:val="0"/>
              <w:spacing w:before="0" w:after="283"/>
              <w:jc w:val="left"/>
              <w:rPr/>
            </w:pPr>
            <w:r>
              <w:rPr/>
              <w:t> </w:t>
            </w:r>
          </w:p>
        </w:tc>
        <w:tc>
          <w:tcPr>
            <w:tcW w:w="3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7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jc w:val="left"/>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399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III</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70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Contingent consideration obligation</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liabilities presented in the tables above, there were no changes in fair value hierarchy levels during the three months ended March 31, 2024 and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changes in the fair value of Level III financial instruments are set forth below:</w:t>
      </w:r>
    </w:p>
    <w:p>
      <w:pPr>
        <w:pStyle w:val="TextBody"/>
        <w:bidi w:val="0"/>
        <w:spacing w:before="120" w:after="283"/>
        <w:jc w:val="left"/>
        <w:rPr/>
      </w:pPr>
      <w:r>
        <w:rPr/>
        <w:t> </w:t>
      </w:r>
    </w:p>
    <w:tbl>
      <w:tblPr>
        <w:tblW w:w="5524" w:type="dxa"/>
        <w:jc w:val="left"/>
        <w:tblInd w:w="0" w:type="dxa"/>
        <w:tblLayout w:type="fixed"/>
        <w:tblCellMar>
          <w:top w:w="28" w:type="dxa"/>
          <w:left w:w="28" w:type="dxa"/>
          <w:bottom w:w="28" w:type="dxa"/>
          <w:right w:w="28" w:type="dxa"/>
        </w:tblCellMar>
      </w:tblPr>
      <w:tblGrid>
        <w:gridCol w:w="2236"/>
        <w:gridCol w:w="146"/>
        <w:gridCol w:w="146"/>
        <w:gridCol w:w="146"/>
        <w:gridCol w:w="146"/>
        <w:gridCol w:w="272"/>
        <w:gridCol w:w="655"/>
        <w:gridCol w:w="227"/>
        <w:gridCol w:w="219"/>
        <w:gridCol w:w="272"/>
        <w:gridCol w:w="768"/>
        <w:gridCol w:w="2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Contingent Consideration Liability</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beginning of year: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6,693</w:t>
            </w:r>
          </w:p>
        </w:tc>
        <w:tc>
          <w:tcPr>
            <w:tcW w:w="227"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27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17,337</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23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4"/>
              </w:rPr>
            </w:pPr>
            <w:r>
              <w:rPr>
                <w:rFonts w:ascii="Times New Roman" w:hAnsi="Times New Roman"/>
                <w:color w:val="000000"/>
                <w:sz w:val="14"/>
              </w:rPr>
              <w:t>Change in fair value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65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227"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236" w:type="dxa"/>
            <w:tcBorders/>
            <w:shd w:fill="CFF0FC" w:val="clear"/>
            <w:vAlign w:val="center"/>
          </w:tcPr>
          <w:p>
            <w:pPr>
              <w:pStyle w:val="TableContents"/>
              <w:bidi w:val="0"/>
              <w:spacing w:before="0" w:after="283"/>
              <w:ind w:left="100" w:right="0" w:firstLine="100"/>
              <w:jc w:val="left"/>
              <w:rPr>
                <w:color w:val="000000"/>
              </w:rPr>
            </w:pPr>
            <w:r>
              <w:rPr>
                <w:color w:val="000000"/>
              </w:rPr>
              <w:t>   </w:t>
            </w:r>
            <w:r>
              <w:rPr>
                <w:rFonts w:ascii="Times New Roman" w:hAnsi="Times New Roman"/>
                <w:color w:val="000000"/>
                <w:sz w:val="14"/>
              </w:rPr>
              <w:t>Settlements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(214</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219" w:type="dxa"/>
            <w:tcBorders/>
            <w:shd w:fill="CFF0FC" w:val="cle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236"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end of period: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6,509</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17,039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Debt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obligations consists of the following:</w:t>
      </w:r>
    </w:p>
    <w:p>
      <w:pPr>
        <w:pStyle w:val="TextBody"/>
        <w:bidi w:val="0"/>
        <w:spacing w:before="120" w:after="283"/>
        <w:jc w:val="both"/>
        <w:rPr/>
      </w:pPr>
      <w:r>
        <w:rPr/>
        <w:t> </w:t>
      </w:r>
    </w:p>
    <w:tbl>
      <w:tblPr>
        <w:tblW w:w="5037" w:type="dxa"/>
        <w:jc w:val="left"/>
        <w:tblInd w:w="0" w:type="dxa"/>
        <w:tblLayout w:type="fixed"/>
        <w:tblCellMar>
          <w:top w:w="28" w:type="dxa"/>
          <w:left w:w="28" w:type="dxa"/>
          <w:bottom w:w="28" w:type="dxa"/>
          <w:right w:w="28" w:type="dxa"/>
        </w:tblCellMar>
      </w:tblPr>
      <w:tblGrid>
        <w:gridCol w:w="2281"/>
        <w:gridCol w:w="146"/>
        <w:gridCol w:w="211"/>
        <w:gridCol w:w="781"/>
        <w:gridCol w:w="166"/>
        <w:gridCol w:w="146"/>
        <w:gridCol w:w="233"/>
        <w:gridCol w:w="862"/>
        <w:gridCol w:w="21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211" w:type="dxa"/>
            <w:tcBorders/>
            <w:shd w:fill="FFFFFF" w:val="cle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90,700</w:t>
            </w:r>
          </w:p>
        </w:tc>
        <w:tc>
          <w:tcPr>
            <w:tcW w:w="21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95"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201,875</w:t>
            </w:r>
          </w:p>
        </w:tc>
        <w:tc>
          <w:tcPr>
            <w:tcW w:w="21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obligations,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principal balance consists of the following tranches: </w:t>
      </w:r>
    </w:p>
    <w:p>
      <w:pPr>
        <w:pStyle w:val="TextBody"/>
        <w:bidi w:val="0"/>
        <w:spacing w:before="120" w:after="283"/>
        <w:jc w:val="both"/>
        <w:rPr/>
      </w:pPr>
      <w:r>
        <w:rPr/>
        <w:t> </w:t>
      </w:r>
    </w:p>
    <w:tbl>
      <w:tblPr>
        <w:tblW w:w="8384" w:type="dxa"/>
        <w:jc w:val="left"/>
        <w:tblInd w:w="0" w:type="dxa"/>
        <w:tblLayout w:type="fixed"/>
        <w:tblCellMar>
          <w:top w:w="28" w:type="dxa"/>
          <w:left w:w="28" w:type="dxa"/>
          <w:bottom w:w="28" w:type="dxa"/>
          <w:right w:w="28" w:type="dxa"/>
        </w:tblCellMar>
      </w:tblPr>
      <w:tblGrid>
        <w:gridCol w:w="1546"/>
        <w:gridCol w:w="146"/>
        <w:gridCol w:w="344"/>
        <w:gridCol w:w="1276"/>
        <w:gridCol w:w="146"/>
        <w:gridCol w:w="146"/>
        <w:gridCol w:w="225"/>
        <w:gridCol w:w="720"/>
        <w:gridCol w:w="271"/>
        <w:gridCol w:w="146"/>
        <w:gridCol w:w="249"/>
        <w:gridCol w:w="801"/>
        <w:gridCol w:w="271"/>
        <w:gridCol w:w="146"/>
        <w:gridCol w:w="195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92" w:type="dxa"/>
            <w:gridSpan w:val="13"/>
            <w:tcBorders/>
            <w:shd w:fill="FFFFFF" w:val="cle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92"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2024</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Base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SOFR Rate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 Expiration Date</w:t>
            </w:r>
          </w:p>
        </w:tc>
      </w:tr>
      <w:tr>
        <w:trPr/>
        <w:tc>
          <w:tcPr>
            <w:tcW w:w="15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5"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51" w:type="dxa"/>
            <w:tcBorders/>
            <w:shd w:fill="FFFFFF" w:val="clear"/>
            <w:vAlign w:val="center"/>
          </w:tcPr>
          <w:p>
            <w:pPr>
              <w:pStyle w:val="TableContents"/>
              <w:bidi w:val="0"/>
              <w:spacing w:before="0" w:after="283"/>
              <w:jc w:val="center"/>
              <w:rPr/>
            </w:pPr>
            <w:r>
              <w:rPr/>
              <w:t> </w:t>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4/18/2024</w:t>
            </w:r>
          </w:p>
        </w:tc>
      </w:tr>
      <w:tr>
        <w:trPr/>
        <w:tc>
          <w:tcPr>
            <w:tcW w:w="1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2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2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6/3/2024</w:t>
            </w:r>
          </w:p>
        </w:tc>
      </w:tr>
      <w:tr>
        <w:trPr/>
        <w:tc>
          <w:tcPr>
            <w:tcW w:w="15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 Facility</w:t>
            </w:r>
          </w:p>
        </w:tc>
        <w:tc>
          <w:tcPr>
            <w:tcW w:w="146" w:type="dxa"/>
            <w:tcBorders/>
            <w:shd w:fill="CFF0FC" w:val="cle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9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4/22/2024</w:t>
            </w:r>
          </w:p>
        </w:tc>
      </w:tr>
      <w:tr>
        <w:trPr/>
        <w:tc>
          <w:tcPr>
            <w:tcW w:w="1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0"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5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Revolving Credit Facility and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for the Term Loan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affirmative and negative covenants typical of such financing transactions, and specific financial covenants which require P10 to maintain a minimum leverage ratio. As of March 31, 2024, P10 was in compliance with its financial covenants required under the facility. For the three months ended March 31, 2024 and March 31, 2023, $5.4 million and $4.8 million of interest expense was incurred, respectively.</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Debt Payable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principal maturities of debt as of March 31, 2024 are as follows:</w:t>
      </w:r>
    </w:p>
    <w:p>
      <w:pPr>
        <w:pStyle w:val="TextBody"/>
        <w:bidi w:val="0"/>
        <w:spacing w:before="120" w:after="283"/>
        <w:jc w:val="left"/>
        <w:rPr/>
      </w:pPr>
      <w:r>
        <w:rPr/>
        <w:t> </w:t>
      </w:r>
    </w:p>
    <w:tbl>
      <w:tblPr>
        <w:tblW w:w="2275" w:type="dxa"/>
        <w:jc w:val="left"/>
        <w:tblInd w:w="0" w:type="dxa"/>
        <w:tblLayout w:type="fixed"/>
        <w:tblCellMar>
          <w:top w:w="28" w:type="dxa"/>
          <w:left w:w="28" w:type="dxa"/>
          <w:bottom w:w="28" w:type="dxa"/>
          <w:right w:w="28" w:type="dxa"/>
        </w:tblCellMar>
      </w:tblPr>
      <w:tblGrid>
        <w:gridCol w:w="946"/>
        <w:gridCol w:w="146"/>
        <w:gridCol w:w="211"/>
        <w:gridCol w:w="781"/>
        <w:gridCol w:w="191"/>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7,969</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308,450</w:t>
            </w:r>
          </w:p>
        </w:tc>
        <w:tc>
          <w:tcPr>
            <w:tcW w:w="191" w:type="dxa"/>
            <w:tcBorders/>
            <w:shd w:fill="FFFFFF" w:val="cle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316,419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Related 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$0.1 million in rent to 210 Capital, LLC for the three months ended March 31, 2024 and March 31, 2023,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in Note 1, through its subsidiaries, the Company serves as the investment manager to the Funds. Certain expenses incurred by the Funds are paid upfront and are reimbursed from the Funds as permissible per fund agreements. As of March 31, 2024, the total accounts receivable from the Funds totaled $23.8 million, of which $6.9 million related to reimbursable expenses and $16.9 million related to fees earned but not yet received. As of December 31, 2023, the total accounts receivable from the Funds totaled $18.9 million, of which $5.5 million related to reimbursable expenses and $13.4 million related to fees earned but not yet received. Reimbursable expenses and fees earned but not yet received are included in due from related parties and accounts receivable on the Consolidated Balance Sheets, respectively. In certain instances, the Company may incur expenses related to specific products that never materialize.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that is commensurate with the level of services being performed as the projects expire. The Company did not adjust the promised amount of consideration for the effects of a significant financing component at each contract inception as the Company expected that the period between services being provided and cash collection would be less than one year. The total advisory fees are $110.1 million over ten years inclusive of new projects added since inception. This agreement is subject to customary termination provisions. Since inception, $66.2 million of the total $110.1 million advisory fees have been recognized as revenue. There was $43.9 million in remaining performance obligations related to this agreement, which will be recognized between April 1, 2024 and December 31, 2031. For the three months ended March 31, 2024 and March 31, 2023, advisory fees earned or recognized under this agreement were $4.2 million and $4.9 million, respectively, and is reported in management and advisory fees on the Consolidated Statements of Operations. The Company also earns interest income on the balance outstanding. Revenues from interest were $0.2 million and $0.1 million for the three months ended March 31, 2024 and March 31, 2023, respectively, which is included in management and advisory fees on the Consolidated Statements of Operations. As of March 31, 2024 and December 31, 2023, the associated receivable was $52.7 million and $48.5 million and is included in due from related parties on the Consolidated Balance Sheets. Payment is expected to be collected as the permanent capital subsidiaries complete and liquidate multi-year projects covered under this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invoice associated with this agreement is paid quarterly in arrears and subject to 5% of interest per annum. The Company recognized $3.2 million and $3.2 million for the three months ended March 31, 2024 and March 31, 2023, respectively, related to this agreement within compensation and benefits in our Consolidated Statements of Operations. As of March 31, 2024 and December 31, 2023, the associated accrual was $0.4 million and $2.1 million, respectively, and is included in due to related parties on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6, 2022, Crossroads entered into the Advisory Agreement (the "Crossroads Advisory Agreement") with ECG. The Crossroads Advisory Agreement provides for ECG to receive a services fee of approximately 1.5% per year of the capital deployed by Crossroads under the Crossroads Advisory Agreement (0.375% quarterly) and an incentive fee of 15% over a 7% hurdle rate. In relation to the strategic partnership with Crossroads effective September 10, 2021 and the Crossroads Advisory Agreement, the Company recognized $2.2 million and $2.3 million for the three months ended March 31, 2024 and March 31, 2023, respectively, which is included in management and advisory fees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funds managed by the Company do not have the ability to change the investment strategy of Crossroads. Two members of the Board of Directors of the Company, including the Executive Chairman, are directors of Crossroads and have recused themselves from any decisions related to Crossroads or CPF. The Company recognizes an annual fee from the funds of $20 thousand of which $5 thousand and $5 thousand have been recognized for the three months ended March 31, 2024 and March 31, 2023, which is included in management and advisory fees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the closing of the Bonaccord acquisition on September 30, 2021, an Advance Agreement and Secured Promissory Note was signed with BCP, an entity that was formed by employees of the Company. Additional Secured Promissory Notes were signed with certain Bonaccord employees on October 13, 2023. For details, see Note 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13. Commitments and Contingencies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office space and various equipment under non-cancelable operating leases, with the longest lease expiring in 2032. These lease agreements provide for various renewal options. Rent expense for the various leased office space and equipment was approximately $1.0 million for the three months ended March 31, 2024 and $0.8 million for the three months ended March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leases an insignificant amount of office equipment under non-cancelable financing leases, with the longest lease expiring in 2028. The finance lease right-of-use asset is included in right-of-use assets and the finance lease liability is included in lease liabilities in the Consolidated Balance Sheets. Amortization and interest expense for the finance leased equipment is included in general, administrative, and other in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the Company’s operating leases as of March 31, 2024:</w:t>
      </w:r>
    </w:p>
    <w:p>
      <w:pPr>
        <w:pStyle w:val="TextBody"/>
        <w:bidi w:val="0"/>
        <w:spacing w:before="120" w:after="283"/>
        <w:jc w:val="both"/>
        <w:rPr/>
      </w:pPr>
      <w:r>
        <w:rPr/>
        <w:t> </w:t>
      </w:r>
    </w:p>
    <w:tbl>
      <w:tblPr>
        <w:tblW w:w="8205" w:type="dxa"/>
        <w:jc w:val="left"/>
        <w:tblInd w:w="0" w:type="dxa"/>
        <w:tblLayout w:type="fixed"/>
        <w:tblCellMar>
          <w:top w:w="28" w:type="dxa"/>
          <w:left w:w="28" w:type="dxa"/>
          <w:bottom w:w="28" w:type="dxa"/>
          <w:right w:w="28" w:type="dxa"/>
        </w:tblCellMar>
      </w:tblPr>
      <w:tblGrid>
        <w:gridCol w:w="6856"/>
        <w:gridCol w:w="146"/>
        <w:gridCol w:w="211"/>
        <w:gridCol w:w="676"/>
        <w:gridCol w:w="316"/>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19,551</w:t>
            </w:r>
          </w:p>
        </w:tc>
        <w:tc>
          <w:tcPr>
            <w:tcW w:w="316"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w:t>
            </w:r>
          </w:p>
        </w:tc>
        <w:tc>
          <w:tcPr>
            <w:tcW w:w="316"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three months ended March 31, 2024 for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316" w:type="dxa"/>
            <w:tcBorders/>
            <w:shd w:fill="CFF0FC" w:val="clear"/>
            <w:vAlign w:val="center"/>
          </w:tcPr>
          <w:p>
            <w:pPr>
              <w:pStyle w:val="TableContents"/>
              <w:bidi w:val="0"/>
              <w:spacing w:before="0" w:after="283"/>
              <w:jc w:val="left"/>
              <w:rPr/>
            </w:pPr>
            <w:r>
              <w:rPr/>
              <w:t> </w:t>
            </w:r>
          </w:p>
        </w:tc>
      </w:tr>
      <w:tr>
        <w:trPr/>
        <w:tc>
          <w:tcPr>
            <w:tcW w:w="6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(in years)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16" w:type="dxa"/>
            <w:tcBorders/>
            <w:shd w:fill="FFFFFF" w:val="clear"/>
            <w:vAlign w:val="center"/>
          </w:tcPr>
          <w:p>
            <w:pPr>
              <w:pStyle w:val="TableContents"/>
              <w:bidi w:val="0"/>
              <w:spacing w:before="0" w:after="283"/>
              <w:jc w:val="left"/>
              <w:rPr/>
            </w:pPr>
            <w:r>
              <w:rPr/>
              <w:t> </w:t>
            </w:r>
          </w:p>
        </w:tc>
      </w:tr>
      <w:tr>
        <w:trPr/>
        <w:tc>
          <w:tcPr>
            <w:tcW w:w="6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contractual lease payments as of March 31, 2024 are as follows:</w:t>
      </w:r>
    </w:p>
    <w:p>
      <w:pPr>
        <w:pStyle w:val="TextBody"/>
        <w:bidi w:val="0"/>
        <w:spacing w:before="120" w:after="283"/>
        <w:jc w:val="left"/>
        <w:rPr/>
      </w:pPr>
      <w:r>
        <w:rPr/>
        <w:t> </w:t>
      </w:r>
    </w:p>
    <w:tbl>
      <w:tblPr>
        <w:tblW w:w="4230" w:type="dxa"/>
        <w:jc w:val="left"/>
        <w:tblInd w:w="0" w:type="dxa"/>
        <w:tblLayout w:type="fixed"/>
        <w:tblCellMar>
          <w:top w:w="28" w:type="dxa"/>
          <w:left w:w="28" w:type="dxa"/>
          <w:bottom w:w="28" w:type="dxa"/>
          <w:right w:w="28" w:type="dxa"/>
        </w:tblCellMar>
      </w:tblPr>
      <w:tblGrid>
        <w:gridCol w:w="2986"/>
        <w:gridCol w:w="146"/>
        <w:gridCol w:w="211"/>
        <w:gridCol w:w="676"/>
        <w:gridCol w:w="21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3,909</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3,829</w:t>
            </w:r>
          </w:p>
        </w:tc>
        <w:tc>
          <w:tcPr>
            <w:tcW w:w="21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3,549</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27,330</w:t>
            </w:r>
          </w:p>
        </w:tc>
        <w:tc>
          <w:tcPr>
            <w:tcW w:w="21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Earnout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acquisition of WTI, an earnout payment of up to $70.0 million of cash and common stock may be earned upon meeting certain performance metrics. 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P10 Intermediate, no later than 90 days following the last day of the calendar quarter in which a milestone payment is achieved. Total payments will not exceed $70.0 million and any amounts paid will be paid by October 2027, at which point the earnout expires. The Company will evaluate whether each earn-out hurdle is probable of occurring and recognize an expense over the period the hurdle is expected to be achieved. As of March 31, 2024, the Company has determined that only the first two EBITDA hurdles are probable of being achieved. For the three months ended March 31, 2024 and March 31, 2023, $3.0 million and $5.9 million of expense was recognized, respectively, which is included in compensation and benefits in the Consolidated Statements of Operations. As of March 31, 2024 and December 31, 2023, the balance was $29.2 million and $26.2 million, respectively, which is included in accrued compensation and benefits in the Consolidated Balance Sheets. No payments have been made on the earnout.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Bonus Payment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months ended March 31, 2024 and March 31, 2023, the Company recognized $0.5 million and $0.5 million of expense, respectively, which is included in compensation and benefits in the Consolidated Statements of Operations. As of March 31, 2024 and December 31, 2023, the balance was $2.9 million and $2.4 million, respectively, and is included in accrued compensation and benefits in the Consolidated Balance Sheets.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Revenue Share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accrued contingent liabilities and contingent payments to customers assets in our Consolidated Balance Sheets for agreements that exist between ECG and third party customers. The agreements require ECG to share in certain revenues earned with the third parties and also include an option for the third parties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agreements. As of March 31, 2024, the Company has determined that the put options are probable of being exercised and have accrued estimated contingent liabilities and contingent payments to customers. As of March 31, 2024 and December 31, 2023, the associated liabilities were $16.2 million and $16.2 million, respectively, and are included in accrued contingent liabilities on the Consolidated Balance Sheets. The associated contingent payments to customers assets were $13.6 million and $14.0 million as of March 31, 2024 and December 31, 2023, respectively. The Company recognized $0.4 million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$0.4 million of amortization of contingent payments to customers for the three months ended March 31, 2024 and March 31, 2023, respectively, which is included in management and advisory fees on the Consolidated Statements of Operations. The Company will reassess each period and recognize all changes as if they occurred at inception.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Departure of Chief Operating Officer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announced that William "Fritz" Souder, the Company's Chief Operating Officer ("COO"), will be retiring from P10 in May of 2024. Associated with his termination, the COO will receive $1.2 million of severance payments. As of March 31, 2024 and December 31, 2023, the Company has $1.2 million of severance payable related to the retirement, which is included in accrued compensation and benefits in the Consolidated Balance Sheets. The severance expense was accrued in the fourth quarter of 2023 and has no impact on the Consolidated Statements of Operations for the three months ended March 31, 2024 and March 31, 2023. In addition, the COO will be granted options to purchase 34,608 shares of common stock of the Company.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14.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these methodologies, the Company’s effective income tax rate was 25.11% for the three months ended March 31, 2024. The Company's effective income tax rate for the three months ended March 31, 2023 was not meaningful due to the impact of a discrete item recognized in the tax rate for the period that related to windfall tax benefits associated with employee stock options exercised during the period. Absent any discrete items for both years, the Company's effective tax rates would be 29.44% and 28.64% for the three months ended March 31, 2024 and March 31, 2023, respectively. The effective tax rate differs from the federal statutory rate of 21% due to executive compensation subject to Section 162(m) limitation, state taxes, and a discrete period recognition of windfall tax adjustments related to options exercised year-to-date.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March 31, 2024, the Company has recorded a $12.8 million valuation allowance against deferred tax assets, primarily related to a note impairment. There was no change to the valuation allowance during the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15. Stockholders' Equity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2018 Plan provided for an initial 6,300,000 shares (adjusted for the reverse stock split). The Plan provided for the issuance of 3,000,000 shares available for grant, in addition to those approved in the 2018 Plan for a total of 9,300,000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June 17, 2022, at the Annual Meeting of Stockholders, the shareholders authorized an increase of 5,000,000 shares that may be issued under the Plan. On December 9, 2022, a special meeting of stockholders was held to increase the number of shares issuable under the Plan by 4,000,000 shares, resulting in a total of 18,300,000 shares available for grant under the Plan and the 2018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stock option activity for the three months ended March 31, 2024 is as follows:</w:t>
      </w:r>
    </w:p>
    <w:p>
      <w:pPr>
        <w:pStyle w:val="TextBody"/>
        <w:bidi w:val="0"/>
        <w:spacing w:before="120" w:after="283"/>
        <w:jc w:val="both"/>
        <w:rPr/>
      </w:pPr>
      <w:r>
        <w:rPr/>
        <w:t> </w:t>
      </w:r>
    </w:p>
    <w:tbl>
      <w:tblPr>
        <w:tblW w:w="9938" w:type="dxa"/>
        <w:jc w:val="left"/>
        <w:tblInd w:w="0" w:type="dxa"/>
        <w:tblLayout w:type="fixed"/>
        <w:tblCellMar>
          <w:top w:w="28" w:type="dxa"/>
          <w:left w:w="28" w:type="dxa"/>
          <w:bottom w:w="28" w:type="dxa"/>
          <w:right w:w="28" w:type="dxa"/>
        </w:tblCellMar>
      </w:tblPr>
      <w:tblGrid>
        <w:gridCol w:w="3166"/>
        <w:gridCol w:w="146"/>
        <w:gridCol w:w="146"/>
        <w:gridCol w:w="1036"/>
        <w:gridCol w:w="166"/>
        <w:gridCol w:w="146"/>
        <w:gridCol w:w="453"/>
        <w:gridCol w:w="1002"/>
        <w:gridCol w:w="146"/>
        <w:gridCol w:w="146"/>
        <w:gridCol w:w="345"/>
        <w:gridCol w:w="1110"/>
        <w:gridCol w:w="146"/>
        <w:gridCol w:w="146"/>
        <w:gridCol w:w="211"/>
        <w:gridCol w:w="10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Life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(whole dollars)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shd w:fill="CFF0FC" w:val="clear"/>
            <w:vAlign w:val="center"/>
          </w:tcPr>
          <w:p>
            <w:pPr>
              <w:pStyle w:val="TableContents"/>
              <w:bidi w:val="0"/>
              <w:spacing w:before="0" w:after="283"/>
              <w:jc w:val="left"/>
              <w:rPr/>
            </w:pPr>
            <w:r>
              <w:rPr/>
              <w:t> </w:t>
            </w:r>
          </w:p>
        </w:tc>
        <w:tc>
          <w:tcPr>
            <w:tcW w:w="11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30,872,113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2,470,917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14,859,139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19,536,214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2,563,271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11,036,795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Compensation expense equal to the grant date fair value is recognized for these awards over the vesting period and is included in compensation and benefits in our Consolidated Statements of Operations.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P10 and a group of similar publicly traded companies determined to be most reflective of the expected volatility of the Company due to the nature of operations of these entities.</w:t>
      </w:r>
      <w:r>
        <w:rPr>
          <w:rFonts w:ascii="Times New Roman" w:hAnsi="Times New Roman"/>
          <w:color w:val="4B4B4B"/>
          <w:sz w:val="20"/>
        </w:rPr>
        <w:t xml:space="preserve"> </w:t>
      </w:r>
      <w:r>
        <w:rPr>
          <w:rFonts w:ascii="Times New Roman" w:hAnsi="Times New Roman"/>
          <w:color w:val="000000"/>
          <w:sz w:val="20"/>
        </w:rPr>
        <w:t>The risk-free rates are based on the U.S. Treasury yield in effect at the time of grant. The dividend yield is based on a $0.0325 per share quarterly dividend. The stock-based compensation expense for stock options was $2.8 million and $1.6 million for the three months ended March 31, 2024 and March 31, 2023, respectively. Unrecognized stock-based compensation expense related to outstanding unvested stock options as of March 31, 2024 was $14.2 million and is expected to be recognized over a weighted average period of 3.22 years. Any future forfeitures will impact this amount.</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weighted average assumptions used in calculating the fair value of stock options granted during the three months ended March 31, 2024 and March 31, 2023 were as follows: </w:t>
      </w:r>
    </w:p>
    <w:p>
      <w:pPr>
        <w:pStyle w:val="TextBody"/>
        <w:bidi w:val="0"/>
        <w:spacing w:before="120" w:after="283"/>
        <w:jc w:val="left"/>
        <w:rPr/>
      </w:pPr>
      <w:r>
        <w:rPr/>
        <w:t> </w:t>
      </w:r>
    </w:p>
    <w:tbl>
      <w:tblPr>
        <w:tblW w:w="5577" w:type="dxa"/>
        <w:jc w:val="left"/>
        <w:tblInd w:w="0" w:type="dxa"/>
        <w:tblLayout w:type="fixed"/>
        <w:tblCellMar>
          <w:top w:w="28" w:type="dxa"/>
          <w:left w:w="28" w:type="dxa"/>
          <w:bottom w:w="28" w:type="dxa"/>
          <w:right w:w="28" w:type="dxa"/>
        </w:tblCellMar>
      </w:tblPr>
      <w:tblGrid>
        <w:gridCol w:w="2131"/>
        <w:gridCol w:w="146"/>
        <w:gridCol w:w="235"/>
        <w:gridCol w:w="921"/>
        <w:gridCol w:w="437"/>
        <w:gridCol w:w="235"/>
        <w:gridCol w:w="235"/>
        <w:gridCol w:w="92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37" w:type="dxa"/>
            <w:tcBorders/>
            <w:shd w:fill="CFF0FC" w:val="clear"/>
            <w:vAlign w:val="center"/>
          </w:tcPr>
          <w:p>
            <w:pPr>
              <w:pStyle w:val="TableContents"/>
              <w:bidi w:val="0"/>
              <w:spacing w:before="0" w:after="283"/>
              <w:jc w:val="right"/>
              <w:rPr/>
            </w:pPr>
            <w:r>
              <w:rPr/>
              <w:t> </w:t>
            </w:r>
          </w:p>
        </w:tc>
        <w:tc>
          <w:tcPr>
            <w:tcW w:w="235" w:type="dxa"/>
            <w:tcBorders/>
            <w:shd w:fill="CFF0FC" w:val="clear"/>
            <w:vAlign w:val="center"/>
          </w:tcPr>
          <w:p>
            <w:pPr>
              <w:pStyle w:val="TableContents"/>
              <w:bidi w:val="0"/>
              <w:spacing w:before="0" w:after="283"/>
              <w:jc w:val="left"/>
              <w:rPr/>
            </w:pPr>
            <w:r>
              <w:rPr/>
              <w:t> </w:t>
            </w:r>
          </w:p>
        </w:tc>
        <w:tc>
          <w:tcPr>
            <w:tcW w:w="115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16" w:type="dxa"/>
            <w:tcBorders/>
            <w:shd w:fill="CFF0FC" w:val="clear"/>
            <w:vAlign w:val="center"/>
          </w:tcPr>
          <w:p>
            <w:pPr>
              <w:pStyle w:val="TableContents"/>
              <w:bidi w:val="0"/>
              <w:spacing w:before="0" w:after="283"/>
              <w:jc w:val="righ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w:t>
            </w:r>
          </w:p>
        </w:tc>
        <w:tc>
          <w:tcPr>
            <w:tcW w:w="4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4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4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5"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restricted stock awards ("RSAs") to certain non-employee directors. Holders of RSAs have no voting rights and accrue dividends until vesting with payment being made once they vest. All of the shares currently vest one year from the grant date. </w:t>
      </w:r>
    </w:p>
    <w:p>
      <w:pPr>
        <w:pStyle w:val="TextBody"/>
        <w:bidi w:val="0"/>
        <w:spacing w:before="120" w:after="283"/>
        <w:jc w:val="left"/>
        <w:rPr/>
      </w:pPr>
      <w:r>
        <w:rPr/>
        <w:t> </w:t>
      </w:r>
    </w:p>
    <w:tbl>
      <w:tblPr>
        <w:tblW w:w="6845" w:type="dxa"/>
        <w:jc w:val="left"/>
        <w:tblInd w:w="0" w:type="dxa"/>
        <w:tblLayout w:type="fixed"/>
        <w:tblCellMar>
          <w:top w:w="28" w:type="dxa"/>
          <w:left w:w="28" w:type="dxa"/>
          <w:bottom w:w="28" w:type="dxa"/>
          <w:right w:w="28" w:type="dxa"/>
        </w:tblCellMar>
      </w:tblPr>
      <w:tblGrid>
        <w:gridCol w:w="3166"/>
        <w:gridCol w:w="146"/>
        <w:gridCol w:w="157"/>
        <w:gridCol w:w="728"/>
        <w:gridCol w:w="146"/>
        <w:gridCol w:w="146"/>
        <w:gridCol w:w="529"/>
        <w:gridCol w:w="1436"/>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7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9" w:type="dxa"/>
            <w:tcBorders/>
            <w:shd w:fill="CFF0FC" w:val="clear"/>
            <w:vAlign w:val="center"/>
          </w:tcPr>
          <w:p>
            <w:pPr>
              <w:pStyle w:val="TableContents"/>
              <w:bidi w:val="0"/>
              <w:spacing w:before="0" w:after="283"/>
              <w:jc w:val="left"/>
              <w:rPr/>
            </w:pPr>
            <w:r>
              <w:rPr/>
              <w:t> </w:t>
            </w:r>
          </w:p>
        </w:tc>
        <w:tc>
          <w:tcPr>
            <w:tcW w:w="143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2024</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granted restricted stock units ("RSUs") to certain employees. Holders of RSUs have no voting rights and generally are not eligible to receive dividends or other distributions paid with respect to any RSUs that have not vested. All of the shares currently vest one year from the grant date excluding the Hark, Bonaccord, and Executive Market Units, which are discussed in more detail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a value of $17.5 million of units may vest at each future achievement of performance metrics. As of March 31, 2024, certain performance metrics have been met and specific employees have earned $8.8 million in value, which $6.6 million was issued in shares and $2.2 million was issued in cash. The Company evaluates whether it is probable that the Bonaccord Units will vest and applies the tranche method to determine the amount of expense to recognized during the period. Future vested tranches will be settled in cash. An expense of $0.4 million and $3.6 million has been recorded for the three months ended March 31, 2024 and March 31, 2023, respectively, on the Consolidated Statements of Operations. The unrecognized expense associated with the Bonaccord Units was $4.3 million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All Hark Units have vested and been issued in 2023. An expense of $0 and $0.3 million has been recorded for the three months ended March 31, 2024 and March 31, 2023, respectively, on the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time of Executive Transition, the Company entered into an Executive Transition Agreement with a certain former executive, which granted Restricted Stock Units ("Executive Transition Units") for meeting a service requirement. The Executive Transition Units may not be transferred, sold, pledged, exchanged, assigned or otherwise encumbered or disposed of by any grantee until they have become vested. The award has a stated value of $4.0 million and will be issued in $1.0 million increments quarterly beginning on October 20, 2023 and at the start of each of the following three quarters. Each $1.0 million increment will vest one year following issuance. Attributes of this award include graded vesting and service conditions, therefore, the expense recognition of this award is recognized on straight-line basis over the requisite service period of the award in line with the policy election discussed in Note 2. As of March 31, 2024, $2.0 million has been issued. For the three months ended March 31, 2024, $0.6 million of stock compensation was recognized on the Consolidated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Statements of Operations. No stock compensation expense for these units was incurred for the three months ended March 31, 2023. The unrecognized expense associated with the Executive Transition Units was $2.9 million as of March 31,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volume-weighted average price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March 31, 2024, none of the Executive Market Units have vested. For the three months ended March 31, 2024, $0.7 million of stock compensation was recognized on the Consolidated Statements of Operations. No stock compensation was incurred for the three months ended March 31, 2023. The unrecognized expense associated with the Executive Market Units was $9.6 million as of March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below table shows the assumptions used in the Monte Carlo simulation for the Executive Market Units' fair value. </w:t>
      </w:r>
    </w:p>
    <w:p>
      <w:pPr>
        <w:pStyle w:val="TextBody"/>
        <w:bidi w:val="0"/>
        <w:spacing w:before="120" w:after="283"/>
        <w:jc w:val="both"/>
        <w:rPr/>
      </w:pPr>
      <w:r>
        <w:rPr/>
        <w:t> </w:t>
      </w:r>
    </w:p>
    <w:tbl>
      <w:tblPr>
        <w:tblW w:w="2848" w:type="dxa"/>
        <w:jc w:val="left"/>
        <w:tblInd w:w="0" w:type="dxa"/>
        <w:tblLayout w:type="fixed"/>
        <w:tblCellMar>
          <w:top w:w="28" w:type="dxa"/>
          <w:left w:w="28" w:type="dxa"/>
          <w:bottom w:w="28" w:type="dxa"/>
          <w:right w:w="28" w:type="dxa"/>
        </w:tblCellMar>
      </w:tblPr>
      <w:tblGrid>
        <w:gridCol w:w="1531"/>
        <w:gridCol w:w="146"/>
        <w:gridCol w:w="1171"/>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As of</w:t>
            </w:r>
          </w:p>
        </w:tc>
      </w:tr>
      <w:tr>
        <w:trPr/>
        <w:tc>
          <w:tcPr>
            <w:tcW w:w="15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October 23, 2023</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life</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4"/>
              </w:rPr>
              <w:t>5.0</w:t>
            </w:r>
            <w:r>
              <w:rPr>
                <w:rFonts w:ascii="Times New Roman" w:hAnsi="Times New Roman"/>
                <w:color w:val="000000"/>
                <w:sz w:val="20"/>
              </w:rPr>
              <w:t> </w:t>
            </w:r>
            <w:r>
              <w:rPr>
                <w:rFonts w:ascii="Times New Roman" w:hAnsi="Times New Roman"/>
                <w:color w:val="000000"/>
                <w:sz w:val="14"/>
              </w:rPr>
              <w:t>(yrs)</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volatility</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40.00%</w:t>
            </w:r>
          </w:p>
        </w:tc>
      </w:tr>
      <w:tr>
        <w:trPr/>
        <w:tc>
          <w:tcPr>
            <w:tcW w:w="153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Risk-free interest rate</w:t>
            </w:r>
          </w:p>
        </w:tc>
        <w:tc>
          <w:tcPr>
            <w:tcW w:w="146"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4.81%</w:t>
            </w:r>
          </w:p>
        </w:tc>
      </w:tr>
      <w:tr>
        <w:trPr/>
        <w:tc>
          <w:tcPr>
            <w:tcW w:w="153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Expected dividend yield</w:t>
            </w:r>
          </w:p>
        </w:tc>
        <w:tc>
          <w:tcPr>
            <w:tcW w:w="146" w:type="dxa"/>
            <w:tcBorders/>
            <w:shd w:fill="CFF0FC" w:val="clear"/>
            <w:vAlign w:val="center"/>
          </w:tcPr>
          <w:p>
            <w:pPr>
              <w:pStyle w:val="TableContents"/>
              <w:bidi w:val="0"/>
              <w:spacing w:before="0" w:after="283"/>
              <w:jc w:val="left"/>
              <w:rPr/>
            </w:pPr>
            <w:r>
              <w:rPr/>
              <w:t> </w:t>
            </w:r>
          </w:p>
        </w:tc>
        <w:tc>
          <w:tcPr>
            <w:tcW w:w="117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1.42%</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below table excludes Executive Market Units that the market conditions have not been satisfied, Executive Transition Units that have not vested and are recorded as a liability, and Bonaccord or Hark that were issued outside of the Plan, that have not vested and are recorded as a liability or vested and settled in cash.</w:t>
      </w:r>
    </w:p>
    <w:p>
      <w:pPr>
        <w:pStyle w:val="TextBody"/>
        <w:bidi w:val="0"/>
        <w:spacing w:before="120" w:after="283"/>
        <w:jc w:val="left"/>
        <w:rPr/>
      </w:pPr>
      <w:r>
        <w:rPr/>
        <w:t> </w:t>
      </w:r>
    </w:p>
    <w:tbl>
      <w:tblPr>
        <w:tblW w:w="7057"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612"/>
        <w:gridCol w:w="135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 Grant</w:t>
            </w:r>
          </w:p>
        </w:tc>
        <w:tc>
          <w:tcPr>
            <w:tcW w:w="391" w:type="dxa"/>
            <w:tcBorders/>
            <w:shd w:fill="FFFFFF" w:val="cle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Fair Value Per RSU</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1,418,094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shd w:fill="CFF0FC" w:val="clear"/>
            <w:vAlign w:val="center"/>
          </w:tcPr>
          <w:p>
            <w:pPr>
              <w:pStyle w:val="TableContents"/>
              <w:bidi w:val="0"/>
              <w:spacing w:before="0" w:after="283"/>
              <w:jc w:val="left"/>
              <w:rPr/>
            </w:pPr>
            <w:r>
              <w:rPr/>
              <w:t> </w:t>
            </w:r>
          </w:p>
        </w:tc>
        <w:tc>
          <w:tcPr>
            <w:tcW w:w="135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16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(618,623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left"/>
              <w:rPr/>
            </w:pPr>
            <w:r>
              <w:rPr/>
              <w:t> </w:t>
            </w:r>
          </w:p>
        </w:tc>
        <w:tc>
          <w:tcPr>
            <w:tcW w:w="13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6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1,742,713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16. Earnings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months ended March 31, 2024 and March 31, 2023, diluted EPS also reflects the potential dilution that could occur assuming that all units in P10 Intermediate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P10, Inc.</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jc w:val="center"/>
        <w:rPr>
          <w:rFonts w:ascii="Times New Roman" w:hAnsi="Times New Roman"/>
          <w:i/>
          <w:color w:val="000000"/>
          <w:sz w:val="20"/>
        </w:rPr>
      </w:pPr>
      <w:r>
        <w:rPr>
          <w:rFonts w:ascii="Times New Roman" w:hAnsi="Times New Roman"/>
          <w:i/>
          <w:color w:val="000000"/>
          <w:sz w:val="20"/>
        </w:rPr>
        <w:t>(Unaudited, dollar amounts stated in thousands)</w:t>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the numerators and denominators used in the computation of basic and diluted EPS:</w:t>
      </w:r>
    </w:p>
    <w:p>
      <w:pPr>
        <w:pStyle w:val="TextBody"/>
        <w:bidi w:val="0"/>
        <w:spacing w:before="120" w:after="283"/>
        <w:jc w:val="left"/>
        <w:rPr/>
      </w:pPr>
      <w:r>
        <w:rPr/>
        <w:t> </w:t>
      </w:r>
    </w:p>
    <w:tbl>
      <w:tblPr>
        <w:tblW w:w="9440" w:type="dxa"/>
        <w:jc w:val="left"/>
        <w:tblInd w:w="0" w:type="dxa"/>
        <w:tblLayout w:type="fixed"/>
        <w:tblCellMar>
          <w:top w:w="28" w:type="dxa"/>
          <w:left w:w="28" w:type="dxa"/>
          <w:bottom w:w="28" w:type="dxa"/>
          <w:right w:w="28" w:type="dxa"/>
        </w:tblCellMar>
      </w:tblPr>
      <w:tblGrid>
        <w:gridCol w:w="6281"/>
        <w:gridCol w:w="146"/>
        <w:gridCol w:w="211"/>
        <w:gridCol w:w="781"/>
        <w:gridCol w:w="146"/>
        <w:gridCol w:w="146"/>
        <w:gridCol w:w="211"/>
        <w:gridCol w:w="781"/>
        <w:gridCol w:w="146"/>
        <w:gridCol w:w="591"/>
      </w:tblGrid>
      <w:tr>
        <w:trPr/>
        <w:tc>
          <w:tcPr>
            <w:tcW w:w="6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14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6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62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62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91" w:type="dxa"/>
            <w:tcBorders/>
            <w:shd w:fill="CFF0FC" w:val="clear"/>
            <w:vAlign w:val="center"/>
          </w:tcPr>
          <w:p>
            <w:pPr>
              <w:pStyle w:val="TableContents"/>
              <w:bidi w:val="0"/>
              <w:spacing w:before="0" w:after="283"/>
              <w:ind w:left="0" w:right="0" w:firstLine="100"/>
              <w:jc w:val="left"/>
              <w:rPr/>
            </w:pPr>
            <w:r>
              <w:rPr/>
              <w:t> </w:t>
            </w:r>
          </w:p>
        </w:tc>
      </w:tr>
      <w:tr>
        <w:trPr/>
        <w:tc>
          <w:tcPr>
            <w:tcW w:w="62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Numerator for basic calculation—Net income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Numerator for basic calculation—Net income</w:t>
              <w:br/>
              <w:t>   attributable to P10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 for:</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2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income attributable to noncontrolling interests in P10 Intermediate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earnings per share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Numerator for earnings per share assuming dilution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Denominator for basic calculation—Weighted-</w:t>
              <w:br/>
              <w:t>   average shares outstanding, basic attributable to P10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115,921</w:t>
            </w:r>
          </w:p>
        </w:tc>
        <w:tc>
          <w:tcPr>
            <w:tcW w:w="14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shares assumed upon exercise of partnership units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3,917</w:t>
            </w:r>
          </w:p>
        </w:tc>
        <w:tc>
          <w:tcPr>
            <w:tcW w:w="14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shares assumed upon exercise of stock</w:t>
              <w:br/>
              <w:t>   options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62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earnings per share assuming dilution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per Class A share—basic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per Class A share—diluted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per Class B share—basic</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Earnings per Class B share—diluted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computations of diluted earnings per share on a weighted average basis would exclude 12.0 million options for the three months ended March 31, 2024, and 5.1 million options for the three months ended March 31, 2023, respectively, because the options were anti-dilutive.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17.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Board of Directors of the Company has declared a quarterly cash dividend of $0.035 per share of Class A and Class B common stock, payable on June 20, 2024, to the holders of record as of the close of business on May 31,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9, 2024 an amendment to the Transition Agreement with Robert Alpert was executed, resigning him as Executive Chairman and Chairman of the Board effective as of the Company's Annual Meeting on June 14,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ASC 855, Subsequent Events, the Company evaluated all material events or transactions that occurred after March 31, 2024, the Consolidated Balance Sheets date, through the date the Consolidated Financial Statements were issued, and determined there have been no additional events or transactions that would materially impact the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7_mda"/>
      <w:bookmarkEnd w:id="10"/>
      <w:r>
        <w:rPr>
          <w:rFonts w:ascii="Times New Roman" w:hAnsi="Times New Roman"/>
          <w:b/>
          <w:color w:val="000000"/>
          <w:sz w:val="20"/>
        </w:rPr>
        <w:t xml:space="preserve">Item 2. </w:t>
      </w:r>
      <w:bookmarkStart w:id="11" w:name="mda"/>
      <w:bookmarkEnd w:id="11"/>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2023, particularly in "Risk Factors" and the "Forward-Looking Information." Unless otherwise indicated, references in this Quarterly Report on Form 10-Q to fiscal 2024 and 2023 are to our fiscal years ended December 31, 2024 and 2023, respectively.</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Business Overview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20, 2023, the Company entered into an executive transition agreement with each of Mr. Alpert and Mr. Webb (each, a "Transition Agreement"). Pursuant to the Transition Agreements, Mr. Alpert and Mr. Webb ceased to serve as Co-Chief Executive Officer, and Mr. Alpert and Mr. Webb were appointed as Executive Chairman and Executive Vice Chairman, respectively, for a one-year period. Additionally, Mr. Webb's Transition Agreement provides a one-year transition period to continue serving the Company in a mergers and acquisitions capacity. Effective October 23, 2023, the board of the Company appointed Luke A. Sarsfield III as Chief Executive Officer ("CEO") of the Company. In connection with his appointment as CEO, the Company entered into an employment agreement with Mr. Sarsfield (the "Employment Agreement") setting forth the terms of his employment and compensation. In connection with both the Transition Agreements and the Employment Agreement, provisions were made for severance and sign-on compensation, respectively. The associated expenses were recorded in compensation and benefits on the Consolidated Statements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our private market solutions were comprised of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Private Equity Solutions (PES)</w:t>
      </w:r>
      <w:r>
        <w:rPr>
          <w:rFonts w:ascii="Times New Roman" w:hAnsi="Times New Roman"/>
          <w:color w:val="000000"/>
          <w:sz w:val="20"/>
        </w:rPr>
        <w:t>. Under PES, we make direct and indirect investments in middle and lower- middle market private equity across North America. PES also makes minority equity investments in a diversified portfolio of mid-sized managers across private equity, private credit, real estate and real assets. The PES investment team, which is comprised of 41 investment professionals with an average of 25+ years of experience, has deep and long-standing investor and fund manager relationships in the middle and lower-middle market which it has cultivated over the past 20 years, including over 1,900+ investors, 300+ fund managers, 750+ private market funds and 2,900+ portfolio companies. We have 54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5,600 investment firms, 10,200 funds, 47,000 individual transactions, 31,000 private companies and 317,000 financial metrics. As of March 31, 2024, PES managed $12.5 billion of Fee-Paying Assets Under Management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Venture Capital Solutions (VCS). </w:t>
      </w:r>
      <w:r>
        <w:rPr>
          <w:rFonts w:ascii="Times New Roman" w:hAnsi="Times New Roman"/>
          <w:color w:val="000000"/>
          <w:sz w:val="20"/>
        </w:rPr>
        <w:t xml:space="preserve">Under VCS, we make investments in venture capital funds across North America and specialize in targeting high-performing, access-constrained opportunities. The VCS investment team, which is comprised of 13 investment professionals with an average of 23+ years of experience, has deep and long-standing investor and fund manager relationships in the venture market which it has cultivated over the past 14+ years, including over 1,900+ investors, 80+ fund managers, 50+ direct investments, 350+ private market funds and 13,000+ portfolio companies. We have 20 active investment vehicles. Our VCS solution is differentiated by our innovative strategic partnerships and our vantage point within the venture capital and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ecosystems, maximizing advantages for our investors. In addition, since 2011, we have partnered with Forbes to publish the Midas List, a ranking of the top value-creating venture capitalists. As of March 31, 2024, VCS managed $6.5 billion of FPAUM.</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Impact Investing Solutions (IIS). </w:t>
      </w:r>
      <w:r>
        <w:rPr>
          <w:rFonts w:ascii="Times New Roman" w:hAnsi="Times New Roman"/>
          <w:color w:val="000000"/>
          <w:sz w:val="20"/>
        </w:rPr>
        <w:t>Under IIS, we make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14 investment professionals with an average of 23+ years of experience, has deep and long-standing relationships in the impact market which it has cultivated over the past 20 years, including deploying capital on behalf of over 120 investors. We currently have 36 active investment vehicles. We are differentiated in both the breadth of impact areas served, the type of capital deployed and the duration of our track record. From inception in 1999 through March 31, 2024, inclusive of proprietary assets and assets managed by affiliates, Enhanced Capital has raised a total of $5.9 billion. Of the total AUM, impact assets represent $3.8 billion invested in over 1,400 projects and businesses across 40 states, Washington DC, and Puerto Rico and does not include investments made by non-impact affiliates. Investments in clean energy have generated an estimate of over 2,229 GWh of renewable energy from inception to December 31, 2023. As of March 31, 2024, IIS managed $1.9 billion of FPAUM</w:t>
      </w:r>
      <w:r>
        <w:rPr>
          <w:rFonts w:ascii="Times New Roman" w:hAnsi="Times New Roman"/>
          <w:i/>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Private Credit Solutions (PCS). </w:t>
      </w:r>
      <w:r>
        <w:rPr>
          <w:rFonts w:ascii="Times New Roman" w:hAnsi="Times New Roman"/>
          <w:color w:val="000000"/>
          <w:sz w:val="20"/>
        </w:rPr>
        <w:t>Under PCS, we primarily make debt investments across North America, targeting lower middle market 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35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400 credit opportunities annually. We currently maintain 75+ active sponsor relationships and have 100+ platform investments. As of March 31, 2024, PCS managed approximately $2.9 billion of FPAUM.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2022, the Board approved a program to repurchase up to $40.0 million of outstanding shares of our Class A and Class B common stock. Upon completion of purchases under the prior authorizations, on February 27, 2024, the Board of Directors authorized an additional $40.0 million for repurchases under the Stock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March 31, 2024, $59.5 million has been spent to buy back shares under this program.</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Sources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Primary Investment Funds. </w:t>
      </w:r>
      <w:r>
        <w:rPr>
          <w:rFonts w:ascii="Times New Roman" w:hAnsi="Times New Roman"/>
          <w:color w:val="000000"/>
          <w:sz w:val="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$13.8 billion of our FPAUM as of March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Direct and Co-Investment Funds. </w:t>
      </w:r>
      <w:r>
        <w:rPr>
          <w:rFonts w:ascii="Times New Roman" w:hAnsi="Times New Roman"/>
          <w:color w:val="000000"/>
          <w:sz w:val="20"/>
        </w:rPr>
        <w:t xml:space="preserve">Direct and co-investments involve acquiring an equity interest in or making a loan to an operating company, project, property, alternative asset manager, or asset, typically by co-investing alongside an investment by a fund manager or by investing directly in the underlying asset. P10’s direct and co-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$8.4 billion of our FPAUM as of March 31,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Secondaries. </w:t>
      </w:r>
      <w:r>
        <w:rPr>
          <w:rFonts w:ascii="Times New Roman" w:hAnsi="Times New Roman"/>
          <w:color w:val="000000"/>
          <w:sz w:val="20"/>
        </w:rPr>
        <w:t>Secondaries refer to investments in existing private markets funds through the acquisition of an existing interest in a private 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$1.6 billion of our FPAUM as of March 31, 2024.</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our business as a single operating segment, which is how our chief operating decision maker evaluates financial performance and makes decisions regarding the allocation of resources.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Trends Affecting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continued growth of our business may be influenced by several factors, including the following market trends: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Accelerating demand for private markets solutions. </w:t>
      </w:r>
      <w:r>
        <w:rPr>
          <w:rFonts w:ascii="Times New Roman" w:hAnsi="Times New Roman"/>
          <w:color w:val="000000"/>
          <w:sz w:val="20"/>
        </w:rPr>
        <w:t>Our ability to attract new capital is dependent on investor demand for private markets 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Favorable lower and lower-middle market dynamics, and data driven sourcing. </w:t>
      </w:r>
      <w:r>
        <w:rPr>
          <w:rFonts w:ascii="Times New Roman" w:hAnsi="Times New Roman"/>
          <w:color w:val="000000"/>
          <w:sz w:val="20"/>
        </w:rPr>
        <w:t xml:space="preserve">We attribute our strong investment performance track record 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advantage is dependent on several factors, including our continued access to a broad set of private market information on an on-going basis.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Expanding asset class solutions, broaden geographic reach and grow private markets network effect. </w:t>
      </w:r>
      <w:r>
        <w:rPr>
          <w:rFonts w:ascii="Times New Roman" w:hAnsi="Times New Roman"/>
          <w:color w:val="000000"/>
          <w:sz w:val="20"/>
        </w:rPr>
        <w:t>Our ability to continue growing is 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Increasing regulatory requirements and political uncertainty. </w:t>
      </w:r>
      <w:r>
        <w:rPr>
          <w:rFonts w:ascii="Times New Roman" w:hAnsi="Times New Roman"/>
          <w:color w:val="000000"/>
          <w:sz w:val="20"/>
        </w:rPr>
        <w:t>The complex regulatory and tax environment could restrict our operations and subject us to increased compliance costs and administrative burdens, as well as restrictions on our business activities. The SEC recently adopted new rules and rule amendments to enhance the regulation of private fund advisers and update the existing compliance rule that applies to all investment advisers. Compliance with these new rules is expected to increase our compliance costs and further restrict certain business activities. In addition, the SEC recently adopted significant new compliance requirements for investment advisers related to cybersecurity matters that are expected to increase compliance costs. There is additional uncertainty around potential legal, regulatory, and tax changes, which may impact our profitability or impact our ability to operate and grow our business.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Our ability to raise capital in order to fund acquisitions and strategic growth initiatives. </w:t>
      </w:r>
      <w:r>
        <w:rPr>
          <w:rFonts w:ascii="Times New Roman" w:hAnsi="Times New Roman"/>
          <w:color w:val="000000"/>
          <w:sz w:val="20"/>
        </w:rPr>
        <w:t>In addition to organic growth of our existing 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Increased competition to work with top private equity fund managers. </w:t>
      </w:r>
      <w:r>
        <w:rPr>
          <w:rFonts w:ascii="Times New Roman" w:hAnsi="Times New Roman"/>
          <w:color w:val="000000"/>
          <w:sz w:val="20"/>
        </w:rPr>
        <w:t>There has been a trend amongst larger private markets investors to 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Data advantage relative to competitors. </w:t>
      </w:r>
      <w:r>
        <w:rPr>
          <w:rFonts w:ascii="Times New Roman" w:hAnsi="Times New Roman"/>
          <w:color w:val="000000"/>
          <w:sz w:val="20"/>
        </w:rPr>
        <w:t>We believe that the general trend towards transparency and consistency in private markets reporting 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Consolidation of Manager relationships and flight to quality. </w:t>
      </w:r>
      <w:r>
        <w:rPr>
          <w:rFonts w:ascii="Times New Roman" w:hAnsi="Times New Roman"/>
          <w:color w:val="000000"/>
          <w:sz w:val="20"/>
        </w:rPr>
        <w:t xml:space="preserve">As global financial markets continue to remain uncertain and private markets 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investors access to access-constrained investment opportunities, investors may favor our strategies as they make decisions on market exposure and allocation levels.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Counter-cyclical strategies can thrive in a higher-rate environment. </w:t>
      </w:r>
      <w:r>
        <w:rPr>
          <w:rFonts w:ascii="Times New Roman" w:hAnsi="Times New Roman"/>
          <w:color w:val="000000"/>
          <w:sz w:val="20"/>
        </w:rPr>
        <w:t>Some strategies are counter-cyclical in nature and can take advantage of 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Key Financial &amp; Operating Metrics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a certain period of time has lapsed per the agreements. The Company believes it is probable that the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length of the management contracts. The amortization is reported in management and advisory fees on the Consolidated Statements of Operations.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an economic incentive for them to outperform on behalf of our investors. This structure differs from that of most of our competitors, which we believe better aligns the objectives of our stockholders, investors and investment professionals.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includes rent, travel and entertainment, technology, insurance and other general costs associated with operating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Strategic alliance expense is included in operating expenses. This expense is driven by the Strategic Alliance Agreement that Bonaccord entered into with an investor at the time Bonaccord was acquired in exchange for a portion of net management fee earnings.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net, includes interest paid and accrued on our outstanding debt, along with the amortization of deferred financing costs. Other (expense)/income includes any accrued expenses related to litigation and regulatory activity as necessary, which would be discussed in Note 13 of our Consolidated Financial Statements.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Benefit/(Expense)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benefit/(expense) is comprised of current and deferred tax benefit (expense). Current income tax benefit/(expense)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Fee-Paying Assets Under Management, or FPAUM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For the three months ended March 31, 2024 and March 31, 2023.</w:t>
      </w:r>
    </w:p>
    <w:p>
      <w:pPr>
        <w:pStyle w:val="TextBody"/>
        <w:bidi w:val="0"/>
        <w:spacing w:before="120" w:after="283"/>
        <w:jc w:val="both"/>
        <w:rPr/>
      </w:pPr>
      <w:r>
        <w:rPr/>
        <w:t> </w:t>
      </w:r>
    </w:p>
    <w:tbl>
      <w:tblPr>
        <w:tblW w:w="6501" w:type="dxa"/>
        <w:jc w:val="left"/>
        <w:tblInd w:w="0" w:type="dxa"/>
        <w:tblLayout w:type="fixed"/>
        <w:tblCellMar>
          <w:top w:w="28" w:type="dxa"/>
          <w:left w:w="28" w:type="dxa"/>
          <w:bottom w:w="28" w:type="dxa"/>
          <w:right w:w="28" w:type="dxa"/>
        </w:tblCellMar>
      </w:tblPr>
      <w:tblGrid>
        <w:gridCol w:w="2471"/>
        <w:gridCol w:w="146"/>
        <w:gridCol w:w="146"/>
        <w:gridCol w:w="181"/>
        <w:gridCol w:w="511"/>
        <w:gridCol w:w="151"/>
        <w:gridCol w:w="146"/>
        <w:gridCol w:w="181"/>
        <w:gridCol w:w="511"/>
        <w:gridCol w:w="151"/>
        <w:gridCol w:w="146"/>
        <w:gridCol w:w="181"/>
        <w:gridCol w:w="481"/>
        <w:gridCol w:w="151"/>
        <w:gridCol w:w="146"/>
        <w:gridCol w:w="801"/>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38" w:type="dxa"/>
            <w:gridSpan w:val="13"/>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 the three months</w:t>
              <w:br/>
              <w:t>ended March 31,</w:t>
            </w:r>
          </w:p>
        </w:tc>
      </w:tr>
      <w:tr>
        <w:trPr/>
        <w:tc>
          <w:tcPr>
            <w:tcW w:w="2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38"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Change</w:t>
            </w:r>
          </w:p>
        </w:tc>
      </w:tr>
      <w:tr>
        <w:trPr/>
        <w:tc>
          <w:tcPr>
            <w:tcW w:w="247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REVENUES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81"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801" w:type="dxa"/>
            <w:tcBorders/>
            <w:shd w:fill="FFFFFF" w:val="clear"/>
            <w:vAlign w:val="center"/>
          </w:tcPr>
          <w:p>
            <w:pPr>
              <w:pStyle w:val="TableContents"/>
              <w:bidi w:val="0"/>
              <w:spacing w:before="0" w:after="283"/>
              <w:ind w:left="0" w:right="0" w:firstLine="160"/>
              <w:jc w:val="center"/>
              <w:rPr/>
            </w:pPr>
            <w:r>
              <w:rPr/>
              <w:t> </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Management and advisory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15%</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Other revenue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993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49%</w:t>
            </w:r>
          </w:p>
        </w:tc>
      </w:tr>
      <w:tr>
        <w:trPr/>
        <w:tc>
          <w:tcPr>
            <w:tcW w:w="2471"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revenues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66,115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57,253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8,862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15%</w:t>
            </w:r>
          </w:p>
        </w:tc>
      </w:tr>
      <w:tr>
        <w:trPr/>
        <w:tc>
          <w:tcPr>
            <w:tcW w:w="247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pPr>
            <w:r>
              <w:rPr/>
              <w:t> </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Compensation and benefits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37,109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4%</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Professional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3,768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General, administrative and other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25%</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Contingent consideration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(92)%</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Amortization of intangibles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(811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(11)%</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Strategic alliance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53%</w:t>
            </w:r>
          </w:p>
        </w:tc>
      </w:tr>
      <w:tr>
        <w:trPr/>
        <w:tc>
          <w:tcPr>
            <w:tcW w:w="2471" w:type="dxa"/>
            <w:tcBorders/>
            <w:shd w:fill="CFF0FC" w:val="cle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54,016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52,382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3%</w:t>
            </w:r>
          </w:p>
        </w:tc>
      </w:tr>
      <w:tr>
        <w:trPr/>
        <w:tc>
          <w:tcPr>
            <w:tcW w:w="2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t> </w:t>
            </w:r>
          </w:p>
        </w:tc>
      </w:tr>
      <w:tr>
        <w:trPr/>
        <w:tc>
          <w:tcPr>
            <w:tcW w:w="2471" w:type="dxa"/>
            <w:tcBorders/>
            <w:shd w:fill="FFFFFF"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INCOME FROM OPERATIONS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12,099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148%</w:t>
            </w:r>
          </w:p>
        </w:tc>
      </w:tr>
      <w:tr>
        <w:trPr/>
        <w:tc>
          <w:tcPr>
            <w:tcW w:w="2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pPr>
            <w:r>
              <w:rPr/>
              <w:t> </w:t>
            </w:r>
          </w:p>
        </w:tc>
      </w:tr>
      <w:tr>
        <w:trPr/>
        <w:tc>
          <w:tcPr>
            <w:tcW w:w="247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OTHER (EXPENSE)/INCOME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center"/>
              <w:rPr/>
            </w:pPr>
            <w:r>
              <w:rPr/>
              <w:t> </w:t>
            </w:r>
          </w:p>
        </w:tc>
      </w:tr>
      <w:tr>
        <w:trPr/>
        <w:tc>
          <w:tcPr>
            <w:tcW w:w="24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pPr>
            <w:r>
              <w:rPr/>
              <w:t> </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Interest expense,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(5,776</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(5,172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(604</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12%</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Other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320"/>
              <w:jc w:val="center"/>
              <w:rPr>
                <w:rFonts w:ascii="Times New Roman" w:hAnsi="Times New Roman"/>
                <w:color w:val="000000"/>
                <w:sz w:val="14"/>
              </w:rPr>
            </w:pPr>
            <w:r>
              <w:rPr>
                <w:rFonts w:ascii="Times New Roman" w:hAnsi="Times New Roman"/>
                <w:color w:val="000000"/>
                <w:sz w:val="14"/>
              </w:rPr>
              <w:t>500%</w:t>
            </w:r>
          </w:p>
        </w:tc>
      </w:tr>
      <w:tr>
        <w:trPr/>
        <w:tc>
          <w:tcPr>
            <w:tcW w:w="2471" w:type="dxa"/>
            <w:tcBorders/>
            <w:shd w:fill="FFFFFF" w:val="clear"/>
            <w:vAlign w:val="center"/>
          </w:tcPr>
          <w:p>
            <w:pPr>
              <w:pStyle w:val="TableContents"/>
              <w:bidi w:val="0"/>
              <w:spacing w:before="0" w:after="283"/>
              <w:ind w:left="320" w:right="0" w:firstLine="320"/>
              <w:jc w:val="left"/>
              <w:rPr>
                <w:rFonts w:ascii="Times New Roman" w:hAnsi="Times New Roman"/>
                <w:color w:val="000000"/>
                <w:sz w:val="14"/>
              </w:rPr>
            </w:pPr>
            <w:r>
              <w:rPr>
                <w:rFonts w:ascii="Times New Roman" w:hAnsi="Times New Roman"/>
                <w:color w:val="000000"/>
                <w:sz w:val="14"/>
              </w:rPr>
              <w:t>Total other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1%</w:t>
            </w:r>
          </w:p>
        </w:tc>
      </w:tr>
      <w:tr>
        <w:trPr/>
        <w:tc>
          <w:tcPr>
            <w:tcW w:w="2471"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Net income/(loss) before income taxes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(188</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ind w:left="0" w:right="0" w:firstLine="160"/>
              <w:jc w:val="center"/>
              <w:rPr>
                <w:rFonts w:ascii="Times New Roman" w:hAnsi="Times New Roman"/>
                <w:color w:val="000000"/>
                <w:sz w:val="14"/>
              </w:rPr>
            </w:pPr>
            <w:r>
              <w:rPr>
                <w:rFonts w:ascii="Times New Roman" w:hAnsi="Times New Roman"/>
                <w:color w:val="000000"/>
                <w:sz w:val="14"/>
              </w:rPr>
              <w:t>3,824%</w:t>
            </w:r>
          </w:p>
        </w:tc>
      </w:tr>
      <w:tr>
        <w:trPr/>
        <w:tc>
          <w:tcPr>
            <w:tcW w:w="2471"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Income tax (expense)/benefit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(1,758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(284)%</w:t>
            </w:r>
          </w:p>
        </w:tc>
      </w:tr>
      <w:tr>
        <w:trPr/>
        <w:tc>
          <w:tcPr>
            <w:tcW w:w="2471" w:type="dxa"/>
            <w:tcBorders/>
            <w:shd w:fill="CFF0FC" w:val="cle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NET INCOME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5,243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4,474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582%</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total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March 31, 2024 and March 31, 2023. For the three months ended March 31, 2024 compared to the three months ended March 31, 2023, total revenues increased by $8.9 million or 15% due to organic FPAUM growth across Bonaccord and TrueBridge.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Management and advisory fees increased by $8.5 million, or 15%, to $65.1 million for the three months ended March 31, 2024 as compared to the three months ended March 31, 2023 due primarily to organic FPAUM growth of $8.9 million at Bonaccord and TrueBridge, slightly offset by fee step-downs at Five Points Capital for $0.3 million. Catch-up fees for the three months ended March 31, 2024 were $7.7 million of the $65.1 million in management and advisory fees associated with the fund closings at Bonaccord, TrueBridge, and RCP compared to the $3.0 million associated with fund closings at Bonaccord, TrueBridge, and RCP for the three months ended March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revenues, which represent ancillary elements of our business, increased by $0.3 million or 49% to $1.0 million for the three months ended March 31, 2024 as compared to the three months ended March 31, 2023 driven primarily by an increase of $0.3 million of interest income in other revenue.</w:t>
      </w:r>
    </w:p>
    <w:p>
      <w:pPr>
        <w:pStyle w:val="TextBody"/>
        <w:bidi w:val="0"/>
        <w:spacing w:before="120" w:after="283"/>
        <w:jc w:val="both"/>
        <w:rPr/>
      </w:pPr>
      <w:r>
        <w:rPr/>
        <w:t> </w:t>
      </w:r>
    </w:p>
    <w:tbl>
      <w:tblPr>
        <w:tblW w:w="7170" w:type="dxa"/>
        <w:jc w:val="left"/>
        <w:tblInd w:w="0" w:type="dxa"/>
        <w:tblLayout w:type="fixed"/>
        <w:tblCellMar>
          <w:top w:w="28" w:type="dxa"/>
          <w:left w:w="28" w:type="dxa"/>
          <w:bottom w:w="28" w:type="dxa"/>
          <w:right w:w="28" w:type="dxa"/>
        </w:tblCellMar>
      </w:tblPr>
      <w:tblGrid>
        <w:gridCol w:w="2506"/>
        <w:gridCol w:w="146"/>
        <w:gridCol w:w="146"/>
        <w:gridCol w:w="196"/>
        <w:gridCol w:w="601"/>
        <w:gridCol w:w="146"/>
        <w:gridCol w:w="146"/>
        <w:gridCol w:w="196"/>
        <w:gridCol w:w="601"/>
        <w:gridCol w:w="146"/>
        <w:gridCol w:w="220"/>
        <w:gridCol w:w="576"/>
        <w:gridCol w:w="166"/>
        <w:gridCol w:w="146"/>
        <w:gridCol w:w="258"/>
        <w:gridCol w:w="613"/>
        <w:gridCol w:w="36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11" w:type="dxa"/>
            <w:gridSpan w:val="13"/>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361" w:type="dxa"/>
            <w:tcBorders/>
            <w:shd w:fill="FFFFFF" w:val="cle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361" w:type="dxa"/>
            <w:tcBorders/>
            <w:shd w:fill="FFFFFF" w:val="clear"/>
            <w:vAlign w:val="center"/>
          </w:tcPr>
          <w:p>
            <w:pPr>
              <w:pStyle w:val="TableContents"/>
              <w:bidi w:val="0"/>
              <w:spacing w:before="0" w:after="283"/>
              <w:jc w:val="center"/>
              <w:rPr/>
            </w:pPr>
            <w:r>
              <w:rPr/>
              <w:t> </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35,642</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3,842</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administrative, and other</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Amortization of intangibles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7,248</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57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Strategic alliance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8"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6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operating expenses increased by $1.6 million, or 3%, to $54.0 million for the three months ended March 31, 2024 compared to the three months ended March 31, 2023. This increase was primarily due to increases in general, administrative and other expenses as well as compensation and benefits expense offset slightly by decreases in amortization expense of intangibles and contingent consideration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and benefits expense increased by $1.5 million, or 4%, to $37.1 million, for the three months ended March 31, 2024 compared to the three months ended March 31, 2023. The increase was primarily driven by a $1.8 million increase due to increases in headcount and associated benefits across the Company as well as merit-based salary raises to retain and motivate talent across the Company offset by a decrease in stock compensation expense recognized in the first quarter of 2024 as compared to the first quarter of 2023, respectively. Stock compensation expense decreased by $0.3 million, which was primarily driven by remeasurement for the fair value of the Bonaccord Units and Hark Units related to the acquisition of Bonaccord and Hark. In 2023, the Hark Units were fully earned and recognized, therefore, there was no correlating expense in 2024 associated with the Hark Units. Moreover, The Bonaccord Units, which are recognized using the tranche method, had a decrease in expense for the first quarter of 2024 compared to the first quarter of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Professional fees decreased by $0.1 million, or 2%, to $3.8 million. The primary cost in professional fees for the three months ended March 31, 2024 and 2023 are audit, tax, and legal fees associated with year end reporting and strategic planning.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administrative and other increased by $1.2 million, or 25%, to $6.1 million, due primarily to ongoing enhancements to infrastructure, technology, and security as well as marketing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Contingent consideration expense decreased by $0.4 million, to $0, for the three months ended March 31, 2024 as compared to the three months ended March 31, 2023. This was driven by remeasurement for the fair value of the contingent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consideration related to the acquisition of Bonaccord. The Hark contingent consideration was fully earned and paid in 2023 and the Bonaccord contingent consideration remaining fair value is $6.5 million as of March 31,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Amortization of intangibles decreased by $0.8 million, or (11)%, to $6.4 million, for the three months ended March 31, 2024 as compared to the three months ended March 31, 2023. This is due to decreases at ECG, RCP, and TrueBridge. The decrease at ECG is driven by unique syndicate contracts and advisory contracts' amortization schedule, which is based on projected revenues at the time of acquisition. The decreases at RCP and TrueBridge are driven by asset management fee contracts' amortization schedule, which is based on projected revenues at the time of acquisition.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Other (Expense)/Income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expenses increased by $39 thousand, or 1%, to $5.1 million for the three months ended March 31, 2024 compared to the three months ended March 31, 2023. This increase was driven by an increase in interest expense of $600 thousand on the credit facility due to rising SOFR rates and a larger draw on debt in the first three months ended March 31, 2024. This was offset by $565 thousand of income primarily as a result of interest earned for money market accounts.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 (Expense)/Benefit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For the 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increased by $2.7 million to $1.8 million for the three months ended March 31, 2024 compared to a benefit of $1.0 million for the three months ended March 31, 2023. The increase was primarily due to additional income, and a decrease in the stock-based compensation-related tax benefit.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FPAUM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a period-to-period roll-forward of our fee paying assets under management on an actual basis.</w:t>
      </w:r>
    </w:p>
    <w:p>
      <w:pPr>
        <w:pStyle w:val="TextBody"/>
        <w:bidi w:val="0"/>
        <w:jc w:val="both"/>
        <w:rPr/>
      </w:pPr>
      <w:r>
        <w:rPr/>
        <w:t> </w:t>
      </w:r>
    </w:p>
    <w:tbl>
      <w:tblPr>
        <w:tblW w:w="7705" w:type="dxa"/>
        <w:jc w:val="left"/>
        <w:tblInd w:w="0" w:type="dxa"/>
        <w:tblLayout w:type="fixed"/>
        <w:tblCellMar>
          <w:top w:w="28" w:type="dxa"/>
          <w:left w:w="28" w:type="dxa"/>
          <w:bottom w:w="28" w:type="dxa"/>
          <w:right w:w="28" w:type="dxa"/>
        </w:tblCellMar>
      </w:tblPr>
      <w:tblGrid>
        <w:gridCol w:w="2966"/>
        <w:gridCol w:w="546"/>
        <w:gridCol w:w="389"/>
        <w:gridCol w:w="1246"/>
        <w:gridCol w:w="166"/>
        <w:gridCol w:w="146"/>
        <w:gridCol w:w="389"/>
        <w:gridCol w:w="1246"/>
        <w:gridCol w:w="611"/>
      </w:tblGrid>
      <w:tr>
        <w:trPr/>
        <w:tc>
          <w:tcPr>
            <w:tcW w:w="29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611" w:type="dxa"/>
            <w:tcBorders/>
            <w:shd w:fill="FFFFFF" w:val="clear"/>
            <w:vAlign w:val="center"/>
          </w:tcPr>
          <w:p>
            <w:pPr>
              <w:pStyle w:val="TableContents"/>
              <w:bidi w:val="0"/>
              <w:spacing w:before="0" w:after="283"/>
              <w:jc w:val="center"/>
              <w:rPr/>
            </w:pPr>
            <w:r>
              <w:rPr/>
              <w:t> </w:t>
            </w:r>
          </w:p>
        </w:tc>
      </w:tr>
      <w:tr>
        <w:trPr/>
        <w:tc>
          <w:tcPr>
            <w:tcW w:w="296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296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611" w:type="dxa"/>
            <w:tcBorders/>
            <w:shd w:fill="FFFFFF" w:val="clear"/>
            <w:vAlign w:val="center"/>
          </w:tcPr>
          <w:p>
            <w:pPr>
              <w:pStyle w:val="TableContents"/>
              <w:bidi w:val="0"/>
              <w:spacing w:before="0" w:after="283"/>
              <w:jc w:val="center"/>
              <w:rPr/>
            </w:pPr>
            <w:r>
              <w:rPr/>
              <w:t> </w:t>
            </w:r>
          </w:p>
        </w:tc>
      </w:tr>
      <w:tr>
        <w:trPr/>
        <w:tc>
          <w:tcPr>
            <w:tcW w:w="29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5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296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w:t>
            </w:r>
          </w:p>
        </w:tc>
        <w:tc>
          <w:tcPr>
            <w:tcW w:w="546" w:type="dxa"/>
            <w:tcBorders/>
            <w:shd w:fill="FFFFFF" w:val="clear"/>
            <w:vAlign w:val="center"/>
          </w:tcPr>
          <w:p>
            <w:pPr>
              <w:pStyle w:val="TableContents"/>
              <w:bidi w:val="0"/>
              <w:spacing w:before="0" w:after="283"/>
              <w:ind w:left="200" w:right="0" w:firstLine="200"/>
              <w:jc w:val="left"/>
              <w:rPr/>
            </w:pPr>
            <w:r>
              <w:rPr/>
              <w:t> </w:t>
            </w:r>
          </w:p>
        </w:tc>
        <w:tc>
          <w:tcPr>
            <w:tcW w:w="163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400"/>
              <w:jc w:val="right"/>
              <w:rPr/>
            </w:pPr>
            <w:r>
              <w:rPr/>
              <w:t> </w:t>
            </w:r>
          </w:p>
        </w:tc>
      </w:tr>
      <w:tr>
        <w:trPr/>
        <w:tc>
          <w:tcPr>
            <w:tcW w:w="296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Acquisitions</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966" w:type="dxa"/>
            <w:tcBorders/>
            <w:shd w:fill="FFFFFF" w:val="cle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raised </w:t>
            </w:r>
            <w:r>
              <w:rPr>
                <w:rFonts w:ascii="Times New Roman" w:hAnsi="Times New Roman"/>
                <w:color w:val="000000"/>
                <w:sz w:val="13"/>
              </w:rPr>
              <w:t>(1)</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2966" w:type="dxa"/>
            <w:tcBorders/>
            <w:shd w:fill="CFF0FC" w:val="cle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Capital deployed </w:t>
            </w:r>
            <w:r>
              <w:rPr>
                <w:rFonts w:ascii="Times New Roman" w:hAnsi="Times New Roman"/>
                <w:color w:val="000000"/>
                <w:sz w:val="13"/>
              </w:rPr>
              <w:t>(2)</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2966" w:type="dxa"/>
            <w:tcBorders/>
            <w:shd w:fill="FFFFFF" w:val="cle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20"/>
              </w:rPr>
              <w:t xml:space="preserve">Net Asset Value Change </w:t>
            </w:r>
            <w:r>
              <w:rPr>
                <w:rFonts w:ascii="Times New Roman" w:hAnsi="Times New Roman"/>
                <w:color w:val="000000"/>
                <w:sz w:val="13"/>
              </w:rPr>
              <w:t>(3)</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546" w:type="dxa"/>
            <w:tcBorders/>
            <w:shd w:fill="CFF0FC" w:val="clear"/>
            <w:vAlign w:val="center"/>
          </w:tcPr>
          <w:p>
            <w:pPr>
              <w:pStyle w:val="TableContents"/>
              <w:bidi w:val="0"/>
              <w:spacing w:before="0" w:after="283"/>
              <w:ind w:left="200" w:right="0" w:firstLine="200"/>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2966"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Scheduled fee base stepdowns</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Expiration of fee period</w:t>
            </w:r>
          </w:p>
        </w:tc>
        <w:tc>
          <w:tcPr>
            <w:tcW w:w="546" w:type="dxa"/>
            <w:tcBorders/>
            <w:shd w:fill="CFF0FC" w:val="clear"/>
            <w:vAlign w:val="center"/>
          </w:tcPr>
          <w:p>
            <w:pPr>
              <w:pStyle w:val="TableContents"/>
              <w:bidi w:val="0"/>
              <w:spacing w:before="0" w:after="283"/>
              <w:ind w:left="400" w:right="0" w:firstLine="400"/>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w:t>
            </w:r>
          </w:p>
        </w:tc>
        <w:tc>
          <w:tcPr>
            <w:tcW w:w="546" w:type="dxa"/>
            <w:tcBorders/>
            <w:shd w:fill="FFFFFF" w:val="cle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new commitments from funds that earn fees on a committed capital fee base.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certain vehicles, fees are based on capital deployed, as such increasing FPAUM.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Net asset value change consists primarily of the impact of market value appreciation (depreciation) from funds that earn fees on a net asset value basis.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FPAUM as of March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FPAUM increased by $0.6 billion, or 2.5%, to $23.8 billion for the three months ended March 31, 2024, due primarily to an increase in capital raised and deployed from our private equity and venture capital solutions and offset by expirations and scheduled fee stepdowns.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Fee-Related Revenue ("FRR"), Fee-Related Earnings ("FRE"),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Fee-Related Revenues is calculated as Total Revenues less any incentive fees. Fee-Related Earnings is a non-GAAP performance measure used to monitor our baseline earnings less any incentive fee revenue and excluding any incentive fee-related expenses. ANI reflects our actual cash flows generated by our core operations. ANI is calculated as Adjusted EBITDA, less actual cash paid for interest and federal and state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compute Adjusted EBITDA, we adjust our GAAP net (loss)/income for the following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that typically do not require us to pay them in cash in the current period (such as depreciation, amortization and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financing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One-time expenses related to restructuring of the management team including placement/search fees;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cash income taxes paid during the three months ended March 31, 2024 and March 31, 2023 differ significantly from the net income tax expense, which is primarily comprised of deferred tax expense as described in the results of operations.</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tbl>
      <w:tblPr>
        <w:tblW w:w="7044" w:type="dxa"/>
        <w:jc w:val="left"/>
        <w:tblInd w:w="0" w:type="dxa"/>
        <w:tblLayout w:type="fixed"/>
        <w:tblCellMar>
          <w:top w:w="28" w:type="dxa"/>
          <w:left w:w="28" w:type="dxa"/>
          <w:bottom w:w="28" w:type="dxa"/>
          <w:right w:w="28" w:type="dxa"/>
        </w:tblCellMar>
      </w:tblPr>
      <w:tblGrid>
        <w:gridCol w:w="4401"/>
        <w:gridCol w:w="146"/>
        <w:gridCol w:w="211"/>
        <w:gridCol w:w="676"/>
        <w:gridCol w:w="166"/>
        <w:gridCol w:w="146"/>
        <w:gridCol w:w="211"/>
        <w:gridCol w:w="676"/>
        <w:gridCol w:w="411"/>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w:t>
            </w:r>
          </w:p>
        </w:tc>
        <w:tc>
          <w:tcPr>
            <w:tcW w:w="411" w:type="dxa"/>
            <w:tcBorders/>
            <w:shd w:fill="FFFFFF" w:val="cle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 Ended</w:t>
            </w:r>
          </w:p>
        </w:tc>
        <w:tc>
          <w:tcPr>
            <w:tcW w:w="411" w:type="dxa"/>
            <w:tcBorders/>
            <w:shd w:fill="FFFFFF" w:val="cle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8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411"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&amp;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expense/(benefit)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Non-recurring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stock based compensation -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Earn out related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interest expense,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cash paid on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GAAP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57,253</w:t>
            </w:r>
          </w:p>
        </w:tc>
        <w:tc>
          <w:tcPr>
            <w:tcW w:w="411"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Non-Fee Related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56,133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28,406</w:t>
            </w:r>
          </w:p>
        </w:tc>
        <w:tc>
          <w:tcPr>
            <w:tcW w:w="411"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Less: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Non-Fee Related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Fee-Related Earnings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Financial Position, Liquidity and Capital Resources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Selected Statements of Financial Position</w:t>
      </w:r>
    </w:p>
    <w:p>
      <w:pPr>
        <w:pStyle w:val="TextBody"/>
        <w:bidi w:val="0"/>
        <w:spacing w:before="120" w:after="283"/>
        <w:jc w:val="both"/>
        <w:rPr/>
      </w:pPr>
      <w:r>
        <w:rPr/>
        <w:t> </w:t>
      </w:r>
    </w:p>
    <w:tbl>
      <w:tblPr>
        <w:tblW w:w="9418" w:type="dxa"/>
        <w:jc w:val="left"/>
        <w:tblInd w:w="0" w:type="dxa"/>
        <w:tblLayout w:type="fixed"/>
        <w:tblCellMar>
          <w:top w:w="28" w:type="dxa"/>
          <w:left w:w="28" w:type="dxa"/>
          <w:bottom w:w="28" w:type="dxa"/>
          <w:right w:w="28" w:type="dxa"/>
        </w:tblCellMar>
      </w:tblPr>
      <w:tblGrid>
        <w:gridCol w:w="4426"/>
        <w:gridCol w:w="146"/>
        <w:gridCol w:w="211"/>
        <w:gridCol w:w="781"/>
        <w:gridCol w:w="146"/>
        <w:gridCol w:w="146"/>
        <w:gridCol w:w="233"/>
        <w:gridCol w:w="862"/>
        <w:gridCol w:w="146"/>
        <w:gridCol w:w="146"/>
        <w:gridCol w:w="211"/>
        <w:gridCol w:w="736"/>
        <w:gridCol w:w="166"/>
        <w:gridCol w:w="146"/>
        <w:gridCol w:w="91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9"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(including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and other intangibles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622,796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obligations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314,036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289,844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a decrease in cash and cash equivalents of $2.0 million from December 31, 2023 to $30.0 million as of March 31, 2024 primarily due to timing of debt facility maturities and associated repayments. There was a decrease in goodwill and intangible assets of $6.4 million due to amortization of intangibles during the three months ended March 31, 2024. Remaining total assets increased in the same period by $7.2 million. The increase is driven by an increase in accounts receivable from related parties which is primarily due to ECG's Advisory Agreement with Enhanced PC and Crossroads. Debt obligations increased by $24.2 million which is driven by revolver activity due to common stock repurchases during the period.</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$125.0 million accordion feature available in the credit agreement, which we exercised in September 2022. The accordion was not drawn until October 2022, at which point it was divided to $87.5 million of term loan and $37.5 million of revolver. The Company incurred $1.4 million of up front fees during the exercise which are reflected as deferred issuance costs in debt obligations on the Consolidated Balance Sheets.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2024, the Term Loan with a balance of $199.2 million is incurring interest at a weighted average SOFR rate of 7.39%. As of March 31, 2024, the Revolver Facility is split into thirteen tranches. The total principal outstanding is $117.2 million and the weighted average SOFR rate amongst the tranches is 7.43%. The tranches are all incurring interest at a set rate for one, three, or six month periods and are subsequently reset at the current SOFR rate. Refer to Note 11 of our Consolidated Financial Statements for further details provided on the tranches and associated interest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affirmative and negative covenants typical of such financing transactions, and specific financial covenants which require P10 to maintain a minimum leverage ratio of less than or equal to 3.50. As of March 31, 2024, P10 was in compliance with its financial covenants required under the facility. As of March 31, 2024, the balance drawn on the revolving credit facility is $117.2 million. The Company has incurred $5.4 million in interest expense for the three months ended March 31,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Three Months Ended March 31, 2024 Compared to the Three Months Ended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reflects our cash flows for the three months ended March 31, 2024 and 2023:</w:t>
      </w:r>
    </w:p>
    <w:p>
      <w:pPr>
        <w:pStyle w:val="TextBody"/>
        <w:bidi w:val="0"/>
        <w:spacing w:before="120" w:after="283"/>
        <w:jc w:val="both"/>
        <w:rPr/>
      </w:pPr>
      <w:r>
        <w:rPr/>
        <w:t> </w:t>
      </w:r>
    </w:p>
    <w:tbl>
      <w:tblPr>
        <w:tblW w:w="8800" w:type="dxa"/>
        <w:jc w:val="left"/>
        <w:tblInd w:w="0" w:type="dxa"/>
        <w:tblLayout w:type="fixed"/>
        <w:tblCellMar>
          <w:top w:w="28" w:type="dxa"/>
          <w:left w:w="28" w:type="dxa"/>
          <w:bottom w:w="28" w:type="dxa"/>
          <w:right w:w="28" w:type="dxa"/>
        </w:tblCellMar>
      </w:tblPr>
      <w:tblGrid>
        <w:gridCol w:w="4066"/>
        <w:gridCol w:w="146"/>
        <w:gridCol w:w="211"/>
        <w:gridCol w:w="736"/>
        <w:gridCol w:w="166"/>
        <w:gridCol w:w="146"/>
        <w:gridCol w:w="211"/>
        <w:gridCol w:w="736"/>
        <w:gridCol w:w="166"/>
        <w:gridCol w:w="146"/>
        <w:gridCol w:w="211"/>
        <w:gridCol w:w="631"/>
        <w:gridCol w:w="166"/>
        <w:gridCol w:w="146"/>
        <w:gridCol w:w="916"/>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8" w:type="dxa"/>
            <w:gridSpan w:val="8"/>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w:t>
              <w:br/>
              <w:t>Ended March 31,</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1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0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40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0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cash, cash equivalents and</w:t>
              <w:br/>
              <w:t>   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(132)%</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from operating activities decreased by $9.8 million, or (47)%, to $11.0 million for the three months ended March 31, 2024 compared to the three months ended March 31, 2023. The components of this net decrease primarily consisted of the following changes in revenue and operating assets and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an increase in revenues of $8.9 million associated with additional fund closings as well as organic growth, net income only increased by $4.4 million due to offsetting increases in income tax expense, compensation and benefits expenses as well as general, administrative and other expenses primarily driven by organic growth; and</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deferred tax expense for $2.4 million due to additional income, and a decrease in the stock-based compensation-related tax benefit;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change in accounts payable and accrued expenses for $4.2 million primarily driven by a $3.0 million payment of a TrueBridge management fee refund paid to investors for a change in management at one of their funds in the first quarter of 2024, a decrease in accruals for revenue and profit share agreements of about $1.2 million;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change in accrued compensation and benefits for $4.3 million driven by a change in estimate for timing of achieving the earnout payment related to the acquisition, which prospectively adjusted recognition of the expense and resulted in lower expense for the three months ended March 31, 2024 compared to the three months ended March 31, 2023;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change in deferred revenues for $3.2 million due to a larger amount of prepayments for management fees not earned by the company in the first quarter of 2023 compared to the first quarter of 2024.</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cash used in investing activities decreased by $0.4 million, or (63)%, to ($0.3) million, for the three months ended March 31, 2024 as compared to the three months ended March 31, 2023. This decrease in cash used was due to purchases of additional property and equipment in the first quarter of 2023.</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Three Months Ended March 31, 2024 and March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 net $12.7 million for the three months ended March 31, 2024 for cash used in financing activities, as compared to cash used in financing activities of $13.7 million for the three months ended March 31, 2023. The change is driven by the repurchase of common stock in the first quarter of 2024 offset by an increase in draws on debt during the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Future Sources and Uses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Off 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invest in any off-balance sheet vehicles that provide liquidity, capital resources, market or credit risk support, or engage in any activities that expose us to any liability that is not reflected in our consolidated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of our consolidated financial statements for further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6 of our consolidated financial statements for more information on both consolidated and unconsolidated VIEs.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Holdings, and ECG are concluded to be consolidated subsidiaries of P10 under the voting interest model.</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Revenue Recognition of Management Fees and Management Fees Received in Advance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recognized when the Company transfers promised goods or services to customers in an amount that reflects the consideration to which the Company expects to be entitled to in exchange for those goods 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determination of who is the customer in a contractual arrangement will be made on a contract-by-contract basis, the customer will generally be the investment fund for the Company’s significant management and advisory contracts.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Management and Advisory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pStyle w:val="TextBody"/>
        <w:bidi w:val="0"/>
        <w:spacing w:before="360" w:after="283"/>
        <w:jc w:val="both"/>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relates to grants for shares of P10 awarded to our employees through stock options as well as RSUs awarded to employees and RSAs issued to non-employee directors as compensation for service on the Company's board. Stock compensation expense for awards that cliff-vest after a service period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either a performance condition or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a liability on the Consolidated Balance Sheets. Refer to Note 15 to our Consolidated Financial Statements for further discussion. Forfeitures are recognized as they occur.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file various federal and state and local tax returns based on federal and state local consolidation and stand- alone tax rules as applicable.</w:t>
      </w:r>
    </w:p>
    <w:p>
      <w:pPr>
        <w:pStyle w:val="TextBody"/>
        <w:bidi w:val="0"/>
        <w:spacing w:before="360" w:after="283"/>
        <w:jc w:val="left"/>
        <w:rPr>
          <w:rFonts w:ascii="Times New Roman" w:hAnsi="Times New Roman"/>
          <w:b/>
          <w:color w:val="000000"/>
          <w:sz w:val="20"/>
        </w:rPr>
      </w:pPr>
      <w:bookmarkStart w:id="12" w:name="item_7a_qual_quan"/>
      <w:bookmarkEnd w:id="12"/>
      <w:r>
        <w:rPr>
          <w:rFonts w:ascii="Times New Roman" w:hAnsi="Times New Roman"/>
          <w:b/>
          <w:color w:val="000000"/>
          <w:sz w:val="20"/>
        </w:rPr>
        <w:t>Item 3. Qualitative and Quantitative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Fair value of the financial assets and liabilities of our specialized investment vehicles may fluctuate in response to changes in the value of underlying assets, and interest rates.</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we had $199.2 million in outstanding principal in Term Loans under our Term Loan and $117.2 million under our Revolving Credit Facility. The annual interest rate on the Term Loan is based on SOFR, subject to a floor of 0.10%, plus 2.00%. On March 31, 2024, the interest rate on these borrowings was 2.1% + SOFR. We estimate that a 100-basis point increase in the interest rate would result in an approximately $2.0 million increase in interest expense related to the loan over the next 12 months.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pStyle w:val="TextBody"/>
        <w:bidi w:val="0"/>
        <w:spacing w:before="360" w:after="283"/>
        <w:jc w:val="left"/>
        <w:rPr>
          <w:rFonts w:ascii="Times New Roman" w:hAnsi="Times New Roman"/>
          <w:b/>
          <w:color w:val="000000"/>
          <w:sz w:val="20"/>
        </w:rPr>
      </w:pPr>
      <w:bookmarkStart w:id="13" w:name="controls_and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Controls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such term is defined in Rules 13a-15(f) and 15d-15(f) under the Exchange Act) during our most recent quarter ended March 31, 2024 that have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sz w:val="20"/>
        </w:rPr>
      </w:pPr>
      <w:bookmarkStart w:id="14" w:name="part_2"/>
      <w:bookmarkEnd w:id="14"/>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 OTHER INFORMATION</w:t>
      </w:r>
    </w:p>
    <w:p>
      <w:pPr>
        <w:pStyle w:val="TextBody"/>
        <w:bidi w:val="0"/>
        <w:spacing w:before="480" w:after="283"/>
        <w:jc w:val="left"/>
        <w:rPr>
          <w:rFonts w:ascii="Times New Roman" w:hAnsi="Times New Roman"/>
          <w:b/>
          <w:color w:val="000000"/>
          <w:sz w:val="20"/>
        </w:rPr>
      </w:pPr>
      <w:bookmarkStart w:id="15" w:name="item_5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pStyle w:val="TextBody"/>
        <w:bidi w:val="0"/>
        <w:spacing w:before="360" w:after="283"/>
        <w:jc w:val="left"/>
        <w:rPr>
          <w:rFonts w:ascii="Times New Roman" w:hAnsi="Times New Roman"/>
          <w:b/>
          <w:color w:val="000000"/>
          <w:sz w:val="20"/>
        </w:rPr>
      </w:pPr>
      <w:bookmarkStart w:id="16" w:name="item_6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from the risk factors previously disclosed in “Risk Factors” included in our annual report on Form 10-K for the year ended December 31, 2023. </w:t>
      </w:r>
    </w:p>
    <w:p>
      <w:pPr>
        <w:pStyle w:val="TextBody"/>
        <w:bidi w:val="0"/>
        <w:spacing w:before="360" w:after="283"/>
        <w:jc w:val="left"/>
        <w:rPr>
          <w:rFonts w:ascii="Times New Roman" w:hAnsi="Times New Roman"/>
          <w:b/>
          <w:color w:val="000000"/>
          <w:sz w:val="20"/>
        </w:rPr>
      </w:pPr>
      <w:bookmarkStart w:id="17" w:name="item_7_unregistered_sale"/>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information about our repurchase activity with respect to shares of our common stock for the quarter ended March 31, 2024:</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41"/>
        <w:gridCol w:w="246"/>
        <w:gridCol w:w="1166"/>
        <w:gridCol w:w="146"/>
        <w:gridCol w:w="366"/>
        <w:gridCol w:w="735"/>
        <w:gridCol w:w="146"/>
        <w:gridCol w:w="478"/>
        <w:gridCol w:w="2267"/>
        <w:gridCol w:w="146"/>
        <w:gridCol w:w="644"/>
        <w:gridCol w:w="2727"/>
        <w:gridCol w:w="197"/>
      </w:tblGrid>
      <w:tr>
        <w:trPr/>
        <w:tc>
          <w:tcPr>
            <w:tcW w:w="9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41"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1" w:type="dxa"/>
            <w:gridSpan w:val="2"/>
            <w:tcBorders/>
            <w:shd w:fill="FFFFFF" w:val="clear"/>
            <w:vAlign w:val="center"/>
          </w:tcPr>
          <w:p>
            <w:pPr>
              <w:pStyle w:val="TableContents"/>
              <w:bidi w:val="0"/>
              <w:spacing w:before="0" w:after="283"/>
              <w:jc w:val="center"/>
              <w:rPr/>
            </w:pPr>
            <w:r>
              <w:rPr/>
              <w:t> </w:t>
            </w:r>
          </w:p>
        </w:tc>
        <w:tc>
          <w:tcPr>
            <w:tcW w:w="197" w:type="dxa"/>
            <w:tcBorders/>
            <w:shd w:fill="FFFFFF" w:val="clear"/>
            <w:vAlign w:val="center"/>
          </w:tcPr>
          <w:p>
            <w:pPr>
              <w:pStyle w:val="TableContents"/>
              <w:bidi w:val="0"/>
              <w:spacing w:before="0" w:after="283"/>
              <w:jc w:val="center"/>
              <w:rPr/>
            </w:pPr>
            <w:r>
              <w:rPr/>
              <w:t> </w:t>
            </w:r>
          </w:p>
        </w:tc>
      </w:tr>
      <w:tr>
        <w:trPr/>
        <w:tc>
          <w:tcPr>
            <w:tcW w:w="9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Period</w:t>
            </w:r>
          </w:p>
        </w:tc>
        <w:tc>
          <w:tcPr>
            <w:tcW w:w="141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Total Number of Shares Purchased</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Average Price Paid per Share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Total Number of Shares Purchased as Part of Publicly Announced Plan or Program (1)</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Calibri;sans-serif" w:hAnsi="Calibri;sans-serif"/>
                <w:b/>
                <w:color w:val="000000"/>
                <w:sz w:val="14"/>
              </w:rPr>
            </w:pPr>
            <w:r>
              <w:rPr>
                <w:rFonts w:ascii="Calibri;sans-serif" w:hAnsi="Calibri;sans-serif"/>
                <w:b/>
                <w:color w:val="000000"/>
                <w:sz w:val="14"/>
              </w:rPr>
              <w:t>Maximum Approximate Dollar Value of Shares that May Yet Be Purchased Under the Plans or Programs (1)</w:t>
            </w:r>
          </w:p>
        </w:tc>
        <w:tc>
          <w:tcPr>
            <w:tcW w:w="19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1"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January 1 - 31, 2024</w:t>
            </w:r>
          </w:p>
        </w:tc>
        <w:tc>
          <w:tcPr>
            <w:tcW w:w="246" w:type="dxa"/>
            <w:tcBorders/>
            <w:shd w:fill="CFF0FC" w:val="clear"/>
            <w:vAlign w:val="center"/>
          </w:tcPr>
          <w:p>
            <w:pPr>
              <w:pStyle w:val="TableContents"/>
              <w:bidi w:val="0"/>
              <w:spacing w:before="0" w:after="283"/>
              <w:jc w:val="left"/>
              <w:rPr/>
            </w:pPr>
            <w:r>
              <w:rPr/>
              <w:t> </w:t>
            </w:r>
          </w:p>
        </w:tc>
        <w:tc>
          <w:tcPr>
            <w:tcW w:w="11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478" w:type="dxa"/>
            <w:tcBorders/>
            <w:shd w:fill="CFF0FC" w:val="clear"/>
            <w:vAlign w:val="center"/>
          </w:tcPr>
          <w:p>
            <w:pPr>
              <w:pStyle w:val="TableContents"/>
              <w:bidi w:val="0"/>
              <w:spacing w:before="0" w:after="283"/>
              <w:jc w:val="left"/>
              <w:rPr/>
            </w:pPr>
            <w:r>
              <w:rPr/>
              <w:t> </w:t>
            </w:r>
          </w:p>
        </w:tc>
        <w:tc>
          <w:tcPr>
            <w:tcW w:w="2267"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727"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10,566,370</w:t>
            </w:r>
          </w:p>
        </w:tc>
        <w:tc>
          <w:tcPr>
            <w:tcW w:w="197" w:type="dxa"/>
            <w:tcBorders/>
            <w:shd w:fill="CFF0FC" w:val="clear"/>
            <w:vAlign w:val="center"/>
          </w:tcPr>
          <w:p>
            <w:pPr>
              <w:pStyle w:val="TableContents"/>
              <w:bidi w:val="0"/>
              <w:spacing w:before="0" w:after="283"/>
              <w:jc w:val="left"/>
              <w:rPr/>
            </w:pPr>
            <w:r>
              <w:rPr/>
              <w:t> </w:t>
            </w:r>
          </w:p>
        </w:tc>
      </w:tr>
      <w:tr>
        <w:trPr/>
        <w:tc>
          <w:tcPr>
            <w:tcW w:w="941" w:type="dxa"/>
            <w:tcBorders/>
            <w:shd w:fill="FFFFFF"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February 1 - 29, 2024</w:t>
            </w:r>
          </w:p>
        </w:tc>
        <w:tc>
          <w:tcPr>
            <w:tcW w:w="246"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735" w:type="dxa"/>
            <w:tcBorders/>
            <w:shd w:fill="FFFFFF"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2267" w:type="dxa"/>
            <w:tcBorders/>
            <w:shd w:fill="FFFFFF"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727" w:type="dxa"/>
            <w:tcBorders/>
            <w:shd w:fill="FFFFFF"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50,566,370</w:t>
            </w:r>
          </w:p>
        </w:tc>
        <w:tc>
          <w:tcPr>
            <w:tcW w:w="197" w:type="dxa"/>
            <w:tcBorders/>
            <w:shd w:fill="FFFFFF" w:val="clear"/>
            <w:vAlign w:val="center"/>
          </w:tcPr>
          <w:p>
            <w:pPr>
              <w:pStyle w:val="TableContents"/>
              <w:bidi w:val="0"/>
              <w:spacing w:before="0" w:after="283"/>
              <w:jc w:val="left"/>
              <w:rPr/>
            </w:pPr>
            <w:r>
              <w:rPr/>
              <w:t> </w:t>
            </w:r>
          </w:p>
        </w:tc>
      </w:tr>
      <w:tr>
        <w:trPr/>
        <w:tc>
          <w:tcPr>
            <w:tcW w:w="941"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March 1 - 31, 2024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3,683,400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735"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8.15</w:t>
            </w:r>
          </w:p>
        </w:tc>
        <w:tc>
          <w:tcPr>
            <w:tcW w:w="146" w:type="dxa"/>
            <w:tcBorders/>
            <w:shd w:fill="CFF0FC" w:val="cle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3,683,400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left"/>
              <w:rPr>
                <w:rFonts w:ascii="Calibri;sans-serif" w:hAnsi="Calibri;sans-serif"/>
                <w:color w:val="000000"/>
                <w:sz w:val="14"/>
              </w:rPr>
            </w:pPr>
            <w:r>
              <w:rPr>
                <w:rFonts w:ascii="Calibri;sans-serif" w:hAnsi="Calibri;sans-serif"/>
                <w:color w:val="000000"/>
                <w:sz w:val="14"/>
              </w:rPr>
              <w:t>$</w:t>
            </w:r>
          </w:p>
        </w:tc>
        <w:tc>
          <w:tcPr>
            <w:tcW w:w="2727" w:type="dxa"/>
            <w:tcBorders/>
            <w:shd w:fill="CFF0FC" w:val="clear"/>
            <w:vAlign w:val="center"/>
          </w:tcPr>
          <w:p>
            <w:pPr>
              <w:pStyle w:val="TableContents"/>
              <w:bidi w:val="0"/>
              <w:spacing w:before="0" w:after="283"/>
              <w:jc w:val="right"/>
              <w:rPr>
                <w:rFonts w:ascii="Calibri;sans-serif" w:hAnsi="Calibri;sans-serif"/>
                <w:color w:val="000000"/>
                <w:sz w:val="14"/>
              </w:rPr>
            </w:pPr>
            <w:r>
              <w:rPr>
                <w:rFonts w:ascii="Calibri;sans-serif" w:hAnsi="Calibri;sans-serif"/>
                <w:color w:val="000000"/>
                <w:sz w:val="14"/>
              </w:rPr>
              <w:t>20,524,759</w:t>
            </w:r>
          </w:p>
        </w:tc>
        <w:tc>
          <w:tcPr>
            <w:tcW w:w="197" w:type="dxa"/>
            <w:tcBorders/>
            <w:shd w:fill="CFF0FC" w:val="clear"/>
            <w:vAlign w:val="center"/>
          </w:tcPr>
          <w:p>
            <w:pPr>
              <w:pStyle w:val="TableContents"/>
              <w:bidi w:val="0"/>
              <w:spacing w:before="0" w:after="283"/>
              <w:jc w:val="left"/>
              <w:rPr/>
            </w:pPr>
            <w:r>
              <w:rPr/>
              <w:t> </w:t>
            </w:r>
          </w:p>
        </w:tc>
      </w:tr>
      <w:tr>
        <w:trPr/>
        <w:tc>
          <w:tcPr>
            <w:tcW w:w="941" w:type="dxa"/>
            <w:tcBorders/>
            <w:shd w:fill="FFFFFF"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Total</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3,683,400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rFonts w:ascii="Calibri;sans-serif" w:hAnsi="Calibri;sans-serif"/>
                <w:b/>
                <w:color w:val="000000"/>
                <w:sz w:val="14"/>
              </w:rPr>
            </w:pPr>
            <w:r>
              <w:rPr>
                <w:rFonts w:ascii="Calibri;sans-serif" w:hAnsi="Calibri;sans-serif"/>
                <w:b/>
                <w:color w:val="000000"/>
                <w:sz w:val="14"/>
              </w:rPr>
              <w:t>$</w:t>
            </w:r>
          </w:p>
        </w:tc>
        <w:tc>
          <w:tcPr>
            <w:tcW w:w="735" w:type="dxa"/>
            <w:tcBorders/>
            <w:shd w:fill="FFFFFF" w:val="cle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8.15</w:t>
            </w:r>
          </w:p>
        </w:tc>
        <w:tc>
          <w:tcPr>
            <w:tcW w:w="146" w:type="dxa"/>
            <w:tcBorders/>
            <w:shd w:fill="FFFFFF" w:val="clear"/>
            <w:vAlign w:val="center"/>
          </w:tcPr>
          <w:p>
            <w:pPr>
              <w:pStyle w:val="TableContents"/>
              <w:bidi w:val="0"/>
              <w:spacing w:before="0" w:after="283"/>
              <w:jc w:val="left"/>
              <w:rPr/>
            </w:pPr>
            <w:r>
              <w:rPr/>
              <w:t> </w:t>
            </w:r>
          </w:p>
        </w:tc>
        <w:tc>
          <w:tcPr>
            <w:tcW w:w="4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Calibri;sans-serif" w:hAnsi="Calibri;sans-serif"/>
                <w:b/>
                <w:color w:val="000000"/>
                <w:sz w:val="14"/>
              </w:rPr>
            </w:pPr>
            <w:r>
              <w:rPr>
                <w:rFonts w:ascii="Calibri;sans-serif" w:hAnsi="Calibri;sans-serif"/>
                <w:b/>
                <w:color w:val="000000"/>
                <w:sz w:val="14"/>
              </w:rPr>
              <w:t>3,683,400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71"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May 12, 2022, we announced that our Board of Directors authorized a program to repurchase outstanding shares of our Class A and Class B common stock as of the date of authorization, not to exceed $20 million (the "Stock Repurchase Program"). Upon completion of purchases under the prior authorization, on December 27, 2022, we announced that our Board of Directors authorized an additional $20 million for repurchases under the Stock Repurchase Program. On February 27, 2024, the Board of Directors authorized an additional $40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 </w:t>
      </w:r>
    </w:p>
    <w:p>
      <w:pPr>
        <w:pStyle w:val="TextBody"/>
        <w:bidi w:val="0"/>
        <w:spacing w:before="360" w:after="283"/>
        <w:jc w:val="left"/>
        <w:rPr>
          <w:rFonts w:ascii="Times New Roman" w:hAnsi="Times New Roman"/>
          <w:b/>
          <w:color w:val="000000"/>
          <w:sz w:val="20"/>
        </w:rPr>
      </w:pPr>
      <w:bookmarkStart w:id="18" w:name="item_9_other_info"/>
      <w:bookmarkEnd w:id="18"/>
      <w:r>
        <w:rPr>
          <w:rFonts w:ascii="Times New Roman" w:hAnsi="Times New Roman"/>
          <w:b/>
          <w:color w:val="000000"/>
          <w:sz w:val="20"/>
        </w:rPr>
        <w:t>Item 3.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the Company nor any of our officers or directors adopted or terminated a Rule 10b5-1 or non-Rule 10b5-1 trading arrangement as defined by Item 408(a) and Item 408(d) of Regulation S-K during the last fiscal quarter.</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9" w:name="item_15_exhibits_financial"/>
      <w:bookmarkStart w:id="20" w:name="item_6a_exhibits"/>
      <w:bookmarkEnd w:id="19"/>
      <w:bookmarkEnd w:id="20"/>
      <w:r>
        <w:rPr>
          <w:rFonts w:ascii="Times New Roman" w:hAnsi="Times New Roman"/>
          <w:b/>
          <w:color w:val="000000"/>
          <w:sz w:val="20"/>
        </w:rPr>
        <w:t>Item 4.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3"/>
        <w:gridCol w:w="146"/>
        <w:gridCol w:w="9246"/>
      </w:tblGrid>
      <w:tr>
        <w:trPr/>
        <w:tc>
          <w:tcPr>
            <w:tcW w:w="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6" w:type="dxa"/>
            <w:tcBorders/>
            <w:vAlign w:val="center"/>
          </w:tcPr>
          <w:p>
            <w:pPr>
              <w:pStyle w:val="TableContents"/>
              <w:bidi w:val="0"/>
              <w:spacing w:before="0" w:after="283"/>
              <w:jc w:val="left"/>
              <w:rPr>
                <w:sz w:val="4"/>
                <w:szCs w:val="4"/>
              </w:rPr>
            </w:pPr>
            <w:r>
              <w:rPr>
                <w:sz w:val="4"/>
                <w:szCs w:val="4"/>
              </w:rPr>
            </w:r>
          </w:p>
        </w:tc>
      </w:tr>
      <w:tr>
        <w:trPr/>
        <w:tc>
          <w:tcPr>
            <w:tcW w:w="81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10_1.htm">
              <w:r>
                <w:rPr>
                  <w:rStyle w:val="InternetLink"/>
                  <w:rFonts w:ascii="Times New Roman" w:hAnsi="Times New Roman"/>
                  <w:color w:val="0000FF"/>
                  <w:sz w:val="20"/>
                  <w:u w:val="single"/>
                </w:rPr>
                <w:t>Amended &amp; Restated Employment Agreement, dated as of February 27, 2024, by and between P10 Intermediate Holdings LLC, and Amanda Coussens.</w:t>
              </w:r>
            </w:hyperlink>
            <w:hyperlink w:anchor="px-ex10_1.htm">
              <w:r>
                <w:rPr>
                  <w:rStyle w:val="InternetLink"/>
                  <w:rFonts w:ascii="Times New Roman" w:hAnsi="Times New Roman"/>
                  <w:color w:val="0000FF"/>
                  <w:sz w:val="20"/>
                </w:rPr>
                <w:t xml:space="preserve"> </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10_2.htm">
              <w:r>
                <w:rPr>
                  <w:rStyle w:val="InternetLink"/>
                  <w:rFonts w:ascii="Times New Roman" w:hAnsi="Times New Roman"/>
                  <w:color w:val="0000FF"/>
                  <w:sz w:val="20"/>
                  <w:u w:val="single"/>
                </w:rPr>
                <w:t>Employment Agreement, dated as of February 27, 2024, by and between P10 Intermediate Holdings, LLC and Richard J. (Arjay) Jensen.</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10_3.htm">
              <w:r>
                <w:rPr>
                  <w:rStyle w:val="InternetLink"/>
                  <w:rFonts w:ascii="Times New Roman" w:hAnsi="Times New Roman"/>
                  <w:color w:val="0000FF"/>
                  <w:sz w:val="20"/>
                  <w:u w:val="single"/>
                </w:rPr>
                <w:t>Employment Agreement, dated as of February 27, 2024, by and between P10 Intermediate Holdings LLC, and Mark Hood.</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31_1.htm">
              <w:r>
                <w:rPr>
                  <w:rStyle w:val="InternetLink"/>
                  <w:rFonts w:ascii="Times New Roman" w:hAnsi="Times New Roman"/>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31_2.htm">
              <w:r>
                <w:rPr>
                  <w:rStyle w:val="InternetLink"/>
                  <w:rFonts w:ascii="Times New Roman" w:hAnsi="Times New Roman"/>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32_1.htm">
              <w:r>
                <w:rPr>
                  <w:rStyle w:val="InternetLink"/>
                  <w:rFonts w:ascii="Times New Roman" w:hAnsi="Times New Roman"/>
                  <w:color w:val="0000FF"/>
                  <w:sz w:val="20"/>
                  <w:u w:val="single"/>
                </w:rPr>
                <w:t>Certification of Chief Executive Officer Pursuant to 18 U.S.C. Section 1350, as Adopted Pursuant to Section 906 of the Sarbanes-Oxley Act of 2002.</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hyperlink w:anchor="px-ex32_2.htm">
              <w:r>
                <w:rPr>
                  <w:rStyle w:val="InternetLink"/>
                  <w:rFonts w:ascii="Times New Roman" w:hAnsi="Times New Roman"/>
                  <w:color w:val="0000FF"/>
                  <w:sz w:val="20"/>
                  <w:u w:val="single"/>
                </w:rPr>
                <w:t>Certification of Chief Financial Officer Pursuant to 18 U.S.C. Section 1350, as Adopted Pursuant to Section 906 of the Sarbanes-Oxley Act of 2002.</w:t>
              </w:r>
            </w:hyperlink>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81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pPr>
            <w:r>
              <w:rPr/>
              <w:t> </w:t>
            </w:r>
          </w:p>
        </w:tc>
      </w:tr>
      <w:tr>
        <w:trPr/>
        <w:tc>
          <w:tcPr>
            <w:tcW w:w="81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2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8"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p>
      <w:pPr>
        <w:pStyle w:val="TextBody"/>
        <w:bidi w:val="0"/>
        <w:jc w:val="left"/>
        <w:rPr/>
      </w:pPr>
      <w:r>
        <w:rPr/>
        <w:t> </w:t>
      </w:r>
    </w:p>
    <w:tbl>
      <w:tblPr>
        <w:tblW w:w="9599" w:type="dxa"/>
        <w:jc w:val="left"/>
        <w:tblInd w:w="0" w:type="dxa"/>
        <w:tblLayout w:type="fixed"/>
        <w:tblCellMar>
          <w:top w:w="28" w:type="dxa"/>
          <w:left w:w="28" w:type="dxa"/>
          <w:bottom w:w="28" w:type="dxa"/>
          <w:right w:w="28" w:type="dxa"/>
        </w:tblCellMar>
      </w:tblPr>
      <w:tblGrid>
        <w:gridCol w:w="1636"/>
        <w:gridCol w:w="146"/>
        <w:gridCol w:w="406"/>
        <w:gridCol w:w="741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P10,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4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 and Director</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41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 (Principal Financial Officer and 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bookmarkStart w:id="22" w:name="px-ex10_1.htm"/>
      <w:bookmarkStart w:id="23" w:name="kspxex10_1"/>
      <w:bookmarkEnd w:id="22"/>
      <w:bookmarkEnd w:id="23"/>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EMPLOYMENT AGREEMENT</w:t>
      </w:r>
    </w:p>
    <w:p>
      <w:pPr>
        <w:pStyle w:val="TextBody"/>
        <w:bidi w:val="0"/>
        <w:spacing w:before="120" w:after="283"/>
        <w:jc w:val="left"/>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effective as of February 27,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P10 Intermediate Holdings, LLC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Amanda Coussens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WHEREAS, Executive and the Company desire to memorialize the terms and conditions of Executive’s employment with the Company and its affiliates by entering into this Agreement;</w:t>
      </w:r>
    </w:p>
    <w:p>
      <w:pPr>
        <w:pStyle w:val="TextBody"/>
        <w:bidi w:val="0"/>
        <w:spacing w:before="120" w:after="283"/>
        <w:jc w:val="left"/>
        <w:rPr>
          <w:rFonts w:ascii="Times New Roman" w:hAnsi="Times New Roman"/>
          <w:sz w:val="20"/>
        </w:rPr>
      </w:pPr>
      <w:r>
        <w:rPr>
          <w:rFonts w:ascii="Times New Roman" w:hAnsi="Times New Roman"/>
          <w:color w:val="000000"/>
          <w:sz w:val="24"/>
        </w:rPr>
        <w:t>WHEREAS, the Company and Executive intend that this Agreement will supersede and replace the Employment Agreement between the Company and Executive, dated November 11, 2022 (the “</w:t>
      </w:r>
      <w:r>
        <w:rPr>
          <w:rFonts w:ascii="Times New Roman" w:hAnsi="Times New Roman"/>
          <w:color w:val="000000"/>
          <w:sz w:val="24"/>
          <w:u w:val="single"/>
        </w:rPr>
        <w:t>Prior Agreement</w:t>
      </w:r>
      <w:r>
        <w:rPr>
          <w:rFonts w:ascii="Times New Roman" w:hAnsi="Times New Roman"/>
          <w:color w:val="000000"/>
          <w:sz w:val="20"/>
        </w:rPr>
        <w:t>”</w:t>
      </w:r>
      <w:r>
        <w:rPr>
          <w:rFonts w:ascii="Times New Roman" w:hAnsi="Times New Roman"/>
          <w:color w:val="000000"/>
          <w:sz w:val="24"/>
        </w:rPr>
        <w:t>) and any and all other amendments or changes to such Prior Agreement, and that upon execution of this Agreement, the Prior Agreement, including any amendments or changes thereto, shall have no further force or effect,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NOW THEREFORE, for and in consideration of the mutual covenants and agreements contained herein, and for other good and valuable consideration, the receipt and sufficiency of which are hereby acknowledged, the parties hereto,intending to be legally bound, hereby agree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120" w:after="283"/>
        <w:jc w:val="left"/>
        <w:rPr/>
      </w:pPr>
      <w:r>
        <w:rPr>
          <w:rFonts w:ascii="Times New Roman" w:hAnsi="Times New Roman"/>
          <w:color w:val="000000"/>
          <w:sz w:val="24"/>
          <w:u w:val="single"/>
        </w:rPr>
        <w:t>Title and Job Duties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rPr>
        <w:t>The Company hereby agrees to continue to employ Executive, and Executive hereby accepts such continued employment, in the position of Chief Financial Officer, subject to the terms and conditions set forth herein. In this capacity, Executive shall have the duties, authorities and responsibilities that are designated from time to time by the Company’s 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 and the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of P10, Inc. (“</w:t>
      </w:r>
      <w:r>
        <w:rPr>
          <w:rFonts w:ascii="Times New Roman" w:hAnsi="Times New Roman"/>
          <w:color w:val="000000"/>
          <w:sz w:val="24"/>
          <w:u w:val="single"/>
        </w:rPr>
        <w:t>P10</w:t>
      </w:r>
      <w:r>
        <w:rPr>
          <w:color w:val="000000"/>
        </w:rPr>
        <w:t>”</w:t>
      </w:r>
      <w:r>
        <w:rPr>
          <w:rFonts w:ascii="Times New Roman" w:hAnsi="Times New Roman"/>
          <w:color w:val="000000"/>
          <w:sz w:val="24"/>
        </w:rPr>
        <w:t>) commensurate with her title. In performing her duties, Executive shall report to the CEO.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pPr>
      <w:r>
        <w:rPr>
          <w:rFonts w:ascii="Times New Roman" w:hAnsi="Times New Roman"/>
          <w:color w:val="000000"/>
          <w:sz w:val="24"/>
        </w:rPr>
        <w:t>Executive agrees during the term of her employment to: (i) devote her full business and professional time and energy to the Company, P10 and each of their direct and indirect parents, subsidiaries, divisions, and affiliates and each affiliated investment vehicle and any related entities (the “</w:t>
      </w:r>
      <w:r>
        <w:rPr>
          <w:rFonts w:ascii="Times New Roman" w:hAnsi="Times New Roman"/>
          <w:color w:val="000000"/>
          <w:sz w:val="24"/>
          <w:u w:val="single"/>
        </w:rPr>
        <w:t>Affiliated Entities</w:t>
      </w:r>
      <w:r>
        <w:rPr>
          <w:color w:val="000000"/>
        </w:rPr>
        <w:t>”</w:t>
      </w:r>
      <w:r>
        <w:rPr>
          <w:rFonts w:ascii="Times New Roman" w:hAnsi="Times New Roman"/>
          <w:color w:val="000000"/>
          <w:sz w:val="24"/>
        </w:rPr>
        <w:t>); (ii) use her best efforts, skill, knowledge and abilities in the performance of her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she may be assigned, appointed or elected from time to time by the Board or governing body of any Affiliated Entity, without any additional compensation.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Without limiting the generality of the foregoing, Executive shall not, without the written approval of the Board or CEO, render services of a business or commercial nature on her own behalf or on behalf of any other person, firm, corporation or entity, whether for compensation or otherwise, during her employment with the Company; provided that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4"/>
        </w:rPr>
        <w:t xml:space="preserve">foregoing shall not prevent Executive from (i) serving on the boards of directors of or holding any other offices or positions in non-profit organizations; (ii) with the prior written approval of the Board or CEO, serving on the board of directors or advisory boards of other for-profit companies; (iii) participating in charitable, civic, educational, professional, community or industry affairs; and (iv) managing Executive’s personal investments, so long as such activities do not (x) individually, or in the aggregate, materially interfere or conflict with the performance of Executive’s duties and responsibilities hereunder, (y) create a potential business or fiduciary conflict, or (z) violate any written policy of the Company or any Affiliated Entity applicable to Executive or violate any covenants applicable to Executive hereunder or under any other document, agreement or instrument between Executive and the Company or any Affiliated Entity. Notwithstanding the foregoing, Executive shall be able to engage in the following activities listed on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120" w:after="283"/>
        <w:jc w:val="left"/>
        <w:rPr/>
      </w:pPr>
      <w:r>
        <w:rPr>
          <w:rFonts w:ascii="Times New Roman" w:hAnsi="Times New Roman"/>
          <w:color w:val="000000"/>
          <w:sz w:val="24"/>
          <w:u w:val="single"/>
        </w:rPr>
        <w:t>Compensation</w:t>
      </w:r>
      <w:r>
        <w:rPr>
          <w:rFonts w:ascii="Times New Roman" w:hAnsi="Times New Roman"/>
          <w:color w:val="000000"/>
          <w:sz w:val="24"/>
        </w:rPr>
        <w:t>. Subject to the terms and conditions of this Agreement, during the Term (as defined below), Executive shall be compensated by the Company for her services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Base Salary</w:t>
      </w:r>
      <w:r>
        <w:rPr>
          <w:rFonts w:ascii="Times New Roman" w:hAnsi="Times New Roman"/>
          <w:color w:val="000000"/>
          <w:sz w:val="24"/>
        </w:rPr>
        <w:t>. The Company shall pay Executive an annual salary of</w:t>
      </w:r>
    </w:p>
    <w:p>
      <w:pPr>
        <w:pStyle w:val="TextBody"/>
        <w:bidi w:val="0"/>
        <w:jc w:val="left"/>
        <w:rPr>
          <w:rFonts w:ascii="Times New Roman" w:hAnsi="Times New Roman"/>
          <w:sz w:val="20"/>
        </w:rPr>
      </w:pPr>
      <w:r>
        <w:rPr>
          <w:rFonts w:ascii="Times New Roman" w:hAnsi="Times New Roman"/>
          <w:color w:val="000000"/>
          <w:sz w:val="24"/>
        </w:rPr>
        <w:t>$500,000 (the “</w:t>
      </w:r>
      <w:r>
        <w:rPr>
          <w:rFonts w:ascii="Times New Roman" w:hAnsi="Times New Roman"/>
          <w:color w:val="000000"/>
          <w:sz w:val="24"/>
          <w:u w:val="single"/>
        </w:rPr>
        <w:t>Base Salary</w:t>
      </w:r>
      <w:r>
        <w:rPr>
          <w:rFonts w:ascii="Times New Roman" w:hAnsi="Times New Roman"/>
          <w:color w:val="000000"/>
          <w:sz w:val="20"/>
        </w:rPr>
        <w:t>”</w:t>
      </w:r>
      <w:r>
        <w:rPr>
          <w:rFonts w:ascii="Times New Roman" w:hAnsi="Times New Roman"/>
          <w:color w:val="000000"/>
          <w:sz w:val="24"/>
        </w:rPr>
        <w:t>), payable in substantially equal monthly or more frequent installments in accordance with the Company’s normal payroll practices in effect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Bonus</w:t>
      </w:r>
      <w:r>
        <w:rPr>
          <w:rFonts w:ascii="Times New Roman" w:hAnsi="Times New Roman"/>
          <w:color w:val="000000"/>
          <w:sz w:val="24"/>
        </w:rPr>
        <w:t>. For each full fiscal year of the Company, Executive shall be eligible to receive an annual bonus (the “</w:t>
      </w:r>
      <w:r>
        <w:rPr>
          <w:rFonts w:ascii="Times New Roman" w:hAnsi="Times New Roman"/>
          <w:color w:val="000000"/>
          <w:sz w:val="24"/>
          <w:u w:val="single"/>
        </w:rPr>
        <w:t>Annual Bonus</w:t>
      </w:r>
      <w:r>
        <w:rPr>
          <w:color w:val="000000"/>
        </w:rPr>
        <w:t>”</w:t>
      </w:r>
      <w:r>
        <w:rPr>
          <w:rFonts w:ascii="Times New Roman" w:hAnsi="Times New Roman"/>
          <w:color w:val="000000"/>
          <w:sz w:val="24"/>
        </w:rPr>
        <w:t>) based on the performance of the Company, the Affiliated Entities and/or Executive as determined by the compensation committee of the Board (the “</w:t>
      </w:r>
      <w:r>
        <w:rPr>
          <w:rFonts w:ascii="Times New Roman" w:hAnsi="Times New Roman"/>
          <w:color w:val="000000"/>
          <w:sz w:val="24"/>
          <w:u w:val="single"/>
        </w:rPr>
        <w:t>Compensation Committee</w:t>
      </w:r>
      <w:r>
        <w:rPr>
          <w:color w:val="000000"/>
        </w:rPr>
        <w:t>”</w:t>
      </w:r>
      <w:r>
        <w:rPr>
          <w:rFonts w:ascii="Times New Roman" w:hAnsi="Times New Roman"/>
          <w:color w:val="000000"/>
          <w:sz w:val="24"/>
        </w:rPr>
        <w:t>), in its discretion, with the target amount of Executive’s Annual Bonus equal to $400,000 (“</w:t>
      </w:r>
      <w:r>
        <w:rPr>
          <w:rFonts w:ascii="Times New Roman" w:hAnsi="Times New Roman"/>
          <w:color w:val="000000"/>
          <w:sz w:val="24"/>
          <w:u w:val="single"/>
        </w:rPr>
        <w:t>Target Annual Bonus</w:t>
      </w:r>
      <w:r>
        <w:rPr>
          <w:color w:val="000000"/>
        </w:rPr>
        <w:t>”</w:t>
      </w:r>
      <w:r>
        <w:rPr>
          <w:rFonts w:ascii="Times New Roman" w:hAnsi="Times New Roman"/>
          <w:color w:val="000000"/>
          <w:sz w:val="24"/>
        </w:rPr>
        <w:t>). The amount of the Annual Bonus to be paid to Executive and the performance metrics and requirements shall be determined by the Compensation Committee, in its sole discretion. The Annual Bonus will be paid in cash, restricted stock, restricted stock units, carried interest in the Company’s affiliated investment vehicles or a combination of the foregoing, as determined in the sole discretion of the Compensation Committee; provided, however,that in no event shall less than 75% of Executive’s Annual Bonus be paid in cash.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Equity and Other Incentives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Executive shall be eligible to receive an annual equity award and award of carried interest in the Company’s affiliated investment vehicles with a target value of $1 million, with such equity value based on the fair market value of the Company’s common stock and the carried interest value based upon a reasonable methodology consistent with targeted values described in the applicable investment vehicle offering materials of the Affiliated Entities and the Company’s practice generally for awarding carried interest to employees, each at the time of grant; provided, however, the carried interest value shall be at an appropriate ratio to the equity value (which shall not be less than 2:1) as determined by the Compensation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Committee, in its discretion, after consultation with the compensation consultant. The amount of any annual equity award and carried interest award, if any, and terms and conditions shall be determined by the Compensation Committee in its discretion. All awards shall be subject to the terms and conditions of P10’s equity incentive plan or other applicable plan documents and any applicable award agreements. In order to be eligible to receive the awards hereunder (if any), Executive must be employed by the Company on the date of grant of such awards and in “good standing.”</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be eligible to receive such other additional equity awards and incentive compensation in such amount, in such form and on such terms as shall be determined by the Compensation Committee in its sole discretion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Benefits</w:t>
      </w:r>
      <w:r>
        <w:rPr>
          <w:rFonts w:ascii="Times New Roman" w:hAnsi="Times New Roman"/>
          <w:color w:val="000000"/>
          <w:sz w:val="24"/>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programs.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Vacation</w:t>
      </w:r>
      <w:r>
        <w:rPr>
          <w:rFonts w:ascii="Times New Roman" w:hAnsi="Times New Roman"/>
          <w:color w:val="000000"/>
          <w:sz w:val="24"/>
        </w:rPr>
        <w:t>. Executive shall be entitled to vacation in accordance with the Company’s standard vacation policy extended to executive officers of the Company.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Business Expenses</w:t>
      </w:r>
      <w:r>
        <w:rPr>
          <w:rFonts w:ascii="Times New Roman" w:hAnsi="Times New Roman"/>
          <w:color w:val="000000"/>
          <w:sz w:val="24"/>
        </w:rPr>
        <w:t>. Executive shall be reimbursed by the Company for all reasonable business, promotional, travel, and entertainment expenses incurred or paid by Executive during the Term in connection with the performance of her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120" w:after="283"/>
        <w:jc w:val="left"/>
        <w:rPr/>
      </w:pPr>
      <w:r>
        <w:rPr>
          <w:rFonts w:ascii="Times New Roman" w:hAnsi="Times New Roman"/>
          <w:color w:val="000000"/>
          <w:sz w:val="24"/>
          <w:u w:val="single"/>
        </w:rPr>
        <w:t>Employment Period</w:t>
      </w:r>
      <w:r>
        <w:rPr>
          <w:rFonts w:ascii="Times New Roman" w:hAnsi="Times New Roman"/>
          <w:color w:val="000000"/>
          <w:sz w:val="24"/>
        </w:rPr>
        <w:t>. The terms set forth in this Agreement will commence on the Effective Date and remain in effect until the first anniversary of the Effective Date (the “</w:t>
      </w:r>
      <w:r>
        <w:rPr>
          <w:rFonts w:ascii="Times New Roman" w:hAnsi="Times New Roman"/>
          <w:color w:val="000000"/>
          <w:sz w:val="24"/>
          <w:u w:val="single"/>
        </w:rPr>
        <w:t>Initial</w:t>
      </w:r>
      <w:r>
        <w:rPr>
          <w:color w:val="000000"/>
        </w:rPr>
        <w:t xml:space="preserve"> </w:t>
      </w:r>
      <w:r>
        <w:rPr>
          <w:rFonts w:ascii="Times New Roman" w:hAnsi="Times New Roman"/>
          <w:color w:val="000000"/>
          <w:sz w:val="24"/>
          <w:u w:val="single"/>
        </w:rPr>
        <w:t>Term</w:t>
      </w:r>
      <w:r>
        <w:rPr>
          <w:color w:val="000000"/>
        </w:rPr>
        <w:t>”</w:t>
      </w:r>
      <w:r>
        <w:rPr>
          <w:rFonts w:ascii="Times New Roman" w:hAnsi="Times New Roman"/>
          <w:color w:val="000000"/>
          <w:sz w:val="24"/>
        </w:rPr>
        <w:t>) unless earlier terminated as provided in Section 4 of this Agreement. The Initial Term shall automatically renew for additional one (1) year periods (each a “</w:t>
      </w:r>
      <w:r>
        <w:rPr>
          <w:rFonts w:ascii="Times New Roman" w:hAnsi="Times New Roman"/>
          <w:color w:val="000000"/>
          <w:sz w:val="24"/>
          <w:u w:val="single"/>
        </w:rPr>
        <w:t>Renewal Term</w:t>
      </w:r>
      <w:r>
        <w:rPr>
          <w:color w:val="000000"/>
        </w:rPr>
        <w:t>”</w:t>
      </w:r>
      <w:r>
        <w:rPr>
          <w:rFonts w:ascii="Times New Roman" w:hAnsi="Times New Roman"/>
          <w:color w:val="000000"/>
          <w:sz w:val="24"/>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hAnsi="Times New Roman"/>
          <w:color w:val="000000"/>
          <w:sz w:val="24"/>
          <w:u w:val="single"/>
        </w:rPr>
        <w:t>Term</w:t>
      </w:r>
      <w:r>
        <w:rPr>
          <w:color w:val="000000"/>
        </w:rPr>
        <w:t xml:space="preserve">” </w:t>
      </w:r>
      <w:r>
        <w:rPr>
          <w:rFonts w:ascii="Times New Roman" w:hAnsi="Times New Roman"/>
          <w:color w:val="000000"/>
          <w:sz w:val="24"/>
        </w:rPr>
        <w:t>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120" w:after="283"/>
        <w:jc w:val="left"/>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By The Company For Cause</w:t>
      </w:r>
      <w:r>
        <w:rPr>
          <w:rFonts w:ascii="Times New Roman" w:hAnsi="Times New Roman"/>
          <w:color w:val="000000"/>
          <w:sz w:val="24"/>
        </w:rPr>
        <w:t>. At the election of the Company, Executive’s employment may be terminated for Cause (as defined below) immediately upon written notice to Executive.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that Executive:</w:t>
      </w:r>
    </w:p>
    <w:p>
      <w:pPr>
        <w:pStyle w:val="TextBody"/>
        <w:bidi w:val="0"/>
        <w:jc w:val="left"/>
        <w:rPr>
          <w:rFonts w:ascii="Times New Roman" w:hAnsi="Times New Roman"/>
          <w:color w:val="000000"/>
          <w:sz w:val="24"/>
        </w:rPr>
      </w:pPr>
      <w:r>
        <w:rPr>
          <w:rFonts w:ascii="Times New Roman" w:hAnsi="Times New Roman"/>
          <w:color w:val="000000"/>
          <w:sz w:val="24"/>
        </w:rPr>
        <w:t>(i) pleads “guilty” or “no contest” to or is indicted for or convicted of a felony under federal or state law or a crime under federal or state law which involves Executive’s fraud or dishonesty; (ii) in carrying out her duties, engages in conduct that constitutes gross negligence or willful misconduct; (iii) engages in misconduct that causes, or is reasonably likely to cause, material harm to the reputation or business of the Company or any Affiliated Entities or knowingly or 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On Account of Death or Disability of Executive</w:t>
      </w:r>
      <w:r>
        <w:rPr>
          <w:rFonts w:ascii="Times New Roman" w:hAnsi="Times New Roman"/>
          <w:color w:val="000000"/>
          <w:sz w:val="24"/>
        </w:rPr>
        <w:t>. Executive’s employment shall automatically terminate in the event of Executive’s death. At the election of the Company, Executive’s employment may be terminated on account of Executive’s Disability. For purposes of this Agreement, “</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Executive, by reason of any medically determinable physical or mental impairment, becomes unable to perform, with or without reasonable accommodation, the essential functions of her job hereunder and such incapacity has continued for a total of ninety (90) consecutive days or for any one hundred eighty (180) days in a period of three hundred sixty-five (365) consecutive days.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Termination By The Company Without Cause</w:t>
      </w:r>
      <w:r>
        <w:rPr>
          <w:rFonts w:ascii="Times New Roman" w:hAnsi="Times New Roman"/>
          <w:color w:val="000000"/>
          <w:sz w:val="24"/>
        </w:rPr>
        <w:t>. At the election of the Company, Executive’s employment may be terminated upon thirty (30) days’ written notice (provided, however, that the Company may elect to pay Executive for up to thirty (30) days in lieu of such written notice or portion thereof) to Executive for any other reason or for no reason at all (“</w:t>
      </w:r>
      <w:r>
        <w:rPr>
          <w:rFonts w:ascii="Times New Roman" w:hAnsi="Times New Roman"/>
          <w:color w:val="000000"/>
          <w:sz w:val="24"/>
          <w:u w:val="single"/>
        </w:rPr>
        <w:t>Without Cause</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Voluntary Termination by Executive</w:t>
      </w:r>
      <w:r>
        <w:rPr>
          <w:rFonts w:ascii="Times New Roman" w:hAnsi="Times New Roman"/>
          <w:color w:val="000000"/>
          <w:sz w:val="24"/>
        </w:rPr>
        <w:t>. Executive may terminate her employment hereunder at any time and for any reason whatsoever or for no reason at all in Executive’s sole discretion by giving thirty (30) days’ prior written notice (“</w:t>
      </w:r>
      <w:r>
        <w:rPr>
          <w:rFonts w:ascii="Times New Roman" w:hAnsi="Times New Roman"/>
          <w:color w:val="000000"/>
          <w:sz w:val="24"/>
          <w:u w:val="single"/>
        </w:rPr>
        <w:t>Voluntary Resignation</w:t>
      </w:r>
      <w:r>
        <w:rPr>
          <w:color w:val="000000"/>
        </w:rPr>
        <w:t>”</w:t>
      </w:r>
      <w:r>
        <w:rPr>
          <w:rFonts w:ascii="Times New Roman" w:hAnsi="Times New Roman"/>
          <w:color w:val="000000"/>
          <w:sz w:val="24"/>
        </w:rPr>
        <w:t>), which such notice may be waived or reduced by the Company in its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Termination by Executive For Good Reason</w:t>
      </w:r>
      <w:r>
        <w:rPr>
          <w:rFonts w:ascii="Times New Roman" w:hAnsi="Times New Roman"/>
          <w:color w:val="000000"/>
          <w:sz w:val="24"/>
        </w:rPr>
        <w:t>. Executive may terminate her employment for Good Reason (as defined and in accordance with the below). For purposes of this Agreement, “</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 xml:space="preserve">shall mean the occurrence of one of the following events without Executive’s written consent: (i)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 (25) miles from Executive’s principal place of employment as of the Effective Date. Notwithstanding </w:t>
      </w:r>
    </w:p>
    <w:p>
      <w:pPr>
        <w:pStyle w:val="TextBody"/>
        <w:bidi w:val="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foregoing, in order for Executive to terminate for Good Reason, (x)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(y) the Company must fail to correct such occurrence in all material respects within thirty (30) days following written notification by Executive and (z) Executive’s termination must be effective no later than thirty (30) days following the end of such cure period.</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Resignation of all Positions</w:t>
      </w:r>
      <w:r>
        <w:rPr>
          <w:rFonts w:ascii="Times New Roman" w:hAnsi="Times New Roman"/>
          <w:color w:val="000000"/>
          <w:sz w:val="24"/>
        </w:rPr>
        <w:t>. Effective as of any date of termination of Executive’s employment with the Company, Executive shall resign and be removed from, and shall no longer hold, any and all positions then held by him with the Company or any Affiliated Entities, including, but not limited to any position as an officer, director or fiduciary of any employee benefit plan of any Affiliated Entity or any affiliated investment funds and Executive agrees that she shall execute any documentation reasonably necessary to give effect to the provisions of this Section.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120" w:after="283"/>
        <w:jc w:val="left"/>
        <w:rPr/>
      </w:pPr>
      <w:r>
        <w:rPr>
          <w:rFonts w:ascii="Times New Roman" w:hAnsi="Times New Roman"/>
          <w:color w:val="000000"/>
          <w:sz w:val="24"/>
          <w:u w:val="single"/>
        </w:rPr>
        <w:t>Cooperation</w:t>
      </w:r>
      <w:r>
        <w:rPr>
          <w:rFonts w:ascii="Times New Roman" w:hAnsi="Times New Roman"/>
          <w:color w:val="000000"/>
          <w:sz w:val="24"/>
        </w:rPr>
        <w:t>. Following the termination of Executive’s employment with the Company, Executive agrees, without receiving additional compensation and upon reasonable notice, to make good faith efforts to cooperate with the Company,the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 approved travel and other similar out-of-pocket expenses and fees incurred as a result of any such cooperation and shall take into consideration Executive’s other commitments and activities when scheduling such cooperation.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 xml:space="preserve">Payments Upon Termination of Employment. </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for Cause, Death, Disability, or Voluntary Resignation</w:t>
      </w:r>
      <w:r>
        <w:rPr>
          <w:rFonts w:ascii="Times New Roman" w:hAnsi="Times New Roman"/>
          <w:color w:val="000000"/>
          <w:sz w:val="24"/>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Without Cause or Non-Renewal by the Company or by</w:t>
      </w:r>
      <w:r>
        <w:rPr>
          <w:color w:val="000000"/>
        </w:rPr>
        <w:t xml:space="preserve"> </w:t>
      </w:r>
      <w:r>
        <w:rPr>
          <w:rFonts w:ascii="Times New Roman" w:hAnsi="Times New Roman"/>
          <w:color w:val="000000"/>
          <w:sz w:val="24"/>
          <w:u w:val="single"/>
        </w:rPr>
        <w:t>Executive for Good Reason</w:t>
      </w:r>
      <w:r>
        <w:rPr>
          <w:rFonts w:ascii="Times New Roman" w:hAnsi="Times New Roman"/>
          <w:color w:val="000000"/>
          <w:sz w:val="24"/>
        </w:rPr>
        <w:t xml:space="preserve">. If the Company terminates Executive’s employment Without Cause, Executive’s employment ends at the end of the Term after the Company provides a notice of non- renewal (and Executive does not commit an act of Cause prior to such date), or Executive terminates her employment for Good Reason,in addition to the Accrued Obligations, the Company shall provide Executive the following: (i) a severance payment, payable in a lump sum, equal to twelve (12) months of Executive’s Base Salary; (ii) a payment, payable in a lump sum, equal to the Target Annual Bonus; (iii)reimbursement for Executive’s cost of COBRA premiums for health insurance continuation coverage (to the extent such premiums exceed the contributory cost for the same coverage that the Company charges active employees) for twelve </w:t>
      </w:r>
    </w:p>
    <w:p>
      <w:pPr>
        <w:pStyle w:val="TextBody"/>
        <w:bidi w:val="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(12) months or until her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and each of their respective officers, directors, employees, agents, successors and assigns in a form satisfactory to the Company. All payments under this Section shall be made or begin to be made within sixty (60) 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Notwithstanding the foregoing, if the Company terminates Executive’s employment Without Cause, Executive’s employment ends at the end of the Term after the Company provides a notice of non-renewal, or Executive terminates her employment for Good Reason, either (x) during a period of time when the Company is party to a fully executed letter of intent or a definitive corporate transaction agreement, the consummation of which would result in a Change in Control (defined below) or (y)within eighteen months following a Change in Control, then the severance payment under (i) shall equal the equivalent of eighteen (18) months of Base Salary and the reimbursement under (iii) shall continue for eighteen (18) months.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equity awards.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Change in Control</w:t>
      </w:r>
      <w:r>
        <w:rPr>
          <w:rFonts w:ascii="Times New Roman" w:hAnsi="Times New Roman"/>
          <w:color w:val="000000"/>
          <w:sz w:val="24"/>
        </w:rPr>
        <w:t>. For purposes of this Agreement, “</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shall be deemed to have occurred if: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t>
      </w:r>
    </w:p>
    <w:p>
      <w:pPr>
        <w:pStyle w:val="TextBody"/>
        <w:bidi w:val="0"/>
        <w:jc w:val="left"/>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whose election or nomination for election was previously so approved, cease for any reason to constitute a majority thereof;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shareholders of P10 approve a plan of complete liquidation of P10 or an agreement for the sale or disposition by P10 of all or substantially all of P10’s assets.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120" w:after="283"/>
        <w:jc w:val="left"/>
        <w:rPr/>
      </w:pPr>
      <w:r>
        <w:rPr>
          <w:rFonts w:ascii="Times New Roman" w:hAnsi="Times New Roman"/>
          <w:color w:val="000000"/>
          <w:sz w:val="24"/>
          <w:u w:val="single"/>
        </w:rPr>
        <w:t>Restrictive Covenants</w:t>
      </w:r>
      <w:r>
        <w:rPr>
          <w:rFonts w:ascii="Times New Roman" w:hAnsi="Times New Roman"/>
          <w:color w:val="000000"/>
          <w:sz w:val="24"/>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Non-Disclosure of Confidential Information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pPr>
      <w:r>
        <w:rPr>
          <w:rFonts w:ascii="Times New Roman" w:hAnsi="Times New Roman"/>
          <w:color w:val="000000"/>
          <w:sz w:val="24"/>
        </w:rPr>
        <w:t>Executive understands that during her employment, she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designs,including information disclosed to the Company or any Affiliated Entities by others under agreements to hold such information confidential (collectively, the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Executive agrees to observe all policies and procedures of the Company and the Affiliated Entities concerning such Confidential Information. Executive further agrees not to disclose or use, either during her employment or at any time thereafter, any Confidential Information for any purpose, including without limitation any competitive purpose, unless authorized to do so by the Company in writing, except that she may disclose and use such information in the good faith performance of her duties for the Company or the Affiliated Entities. Executive’s obligations under this Agreement will continue with respect to Confidential Information, whether or not her employment is terminated, until such </w:t>
      </w:r>
    </w:p>
    <w:p>
      <w:pPr>
        <w:pStyle w:val="TextBody"/>
        <w:bidi w:val="0"/>
        <w:jc w:val="left"/>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she first notifies the Company of such subpoena, order or other requirement and such that the Company or the Affiliated Entity has the opportunity to obtain a protective order or other appropriate remedy.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Executive’s employment, upon the Company’s request, or upon the termination of her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her possession, custody or control.</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Non-Solicitation and Non-Competition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 (3) Executive shall be given access to and training regarding Confidential Information as well as knowledge of the Company’s and Affiliated Entities’ current and prospective clients, clients, vendors and suppliers.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Executive’s employment with the Company and work for the Affiliated Entities, and for twelve (12) months following the termination thereof for any </w:t>
      </w:r>
    </w:p>
    <w:p>
      <w:pPr>
        <w:pStyle w:val="TextBody"/>
        <w:bidi w:val="0"/>
        <w:jc w:val="left"/>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4"/>
        </w:rPr>
        <w:t>reason (the “</w:t>
      </w:r>
      <w:r>
        <w:rPr>
          <w:rFonts w:ascii="Times New Roman" w:hAnsi="Times New Roman"/>
          <w:color w:val="000000"/>
          <w:sz w:val="24"/>
          <w:u w:val="single"/>
        </w:rPr>
        <w:t>Non-Solicit Restricted Period</w:t>
      </w:r>
      <w:r>
        <w:rPr>
          <w:color w:val="000000"/>
        </w:rPr>
        <w:t>”</w:t>
      </w:r>
      <w:r>
        <w:rPr>
          <w:rFonts w:ascii="Times New Roman" w:hAnsi="Times New Roman"/>
          <w:color w:val="000000"/>
          <w:sz w:val="24"/>
        </w:rPr>
        <w:t>), Executive shall not solicit for business or accept the business of, any person or entity who is, or was at any time, a Client (as defined below) of the Company or any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Throughout the Non-Solicit Restricted Period, Executive shall not take any action that could reasonably be expected to have the effect of encouraging or inducing any employee, consultant, representative, officer, or director of the Company or any Affiliated Entities to cease their relationship with the Company or any Affiliated Entities for any reason.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120" w:after="283"/>
        <w:jc w:val="left"/>
        <w:rPr/>
      </w:pPr>
      <w:r>
        <w:rPr>
          <w:rFonts w:ascii="Times New Roman" w:hAnsi="Times New Roman"/>
          <w:color w:val="000000"/>
          <w:sz w:val="24"/>
        </w:rPr>
        <w:t>During the Term and for six (6) months following the termination of Executive’s employment for any reason (the “</w:t>
      </w:r>
      <w:r>
        <w:rPr>
          <w:rFonts w:ascii="Times New Roman" w:hAnsi="Times New Roman"/>
          <w:color w:val="000000"/>
          <w:sz w:val="24"/>
          <w:u w:val="single"/>
        </w:rPr>
        <w:t>Non-Compete Restricted Period</w:t>
      </w:r>
      <w:r>
        <w:rPr>
          <w:color w:val="000000"/>
        </w:rPr>
        <w:t xml:space="preserve">” </w:t>
      </w:r>
      <w:r>
        <w:rPr>
          <w:rFonts w:ascii="Times New Roman" w:hAnsi="Times New Roman"/>
          <w:color w:val="000000"/>
          <w:sz w:val="24"/>
        </w:rPr>
        <w:t>and together with the Non-Solicit Restricted Period, the “</w:t>
      </w:r>
      <w:r>
        <w:rPr>
          <w:rFonts w:ascii="Times New Roman" w:hAnsi="Times New Roman"/>
          <w:color w:val="000000"/>
          <w:sz w:val="24"/>
          <w:u w:val="single"/>
        </w:rPr>
        <w:t>Restricted Period</w:t>
      </w:r>
      <w:r>
        <w:rPr>
          <w:color w:val="000000"/>
        </w:rPr>
        <w:t>”</w:t>
      </w:r>
      <w:r>
        <w:rPr>
          <w:rFonts w:ascii="Times New Roman" w:hAnsi="Times New Roman"/>
          <w:color w:val="000000"/>
          <w:sz w:val="24"/>
        </w:rPr>
        <w:t>), Executive will not anywhere in the United States (1) carry on or engage in, directly or indirectly, any business, partnership, firm, corporation or other entity which wholly or in any significant part engages in any business competing with the Company or any Affiliated Entity (“</w:t>
      </w:r>
      <w:r>
        <w:rPr>
          <w:rFonts w:ascii="Times New Roman" w:hAnsi="Times New Roman"/>
          <w:color w:val="000000"/>
          <w:sz w:val="24"/>
          <w:u w:val="single"/>
        </w:rPr>
        <w:t>Competing Business</w:t>
      </w:r>
      <w:r>
        <w:rPr>
          <w:color w:val="000000"/>
        </w:rPr>
        <w:t>”</w:t>
      </w:r>
      <w:r>
        <w:rPr>
          <w:rFonts w:ascii="Times New Roman" w:hAnsi="Times New Roman"/>
          <w:color w:val="000000"/>
          <w:sz w:val="24"/>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provided that Executive does not have the power, directly or indirectly, to control or direct the management or affairs of any such corporation and is not involved in the management of such corporation.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120" w:after="283"/>
        <w:jc w:val="left"/>
        <w:rPr/>
      </w:pPr>
      <w:r>
        <w:rPr>
          <w:rFonts w:ascii="Times New Roman" w:hAnsi="Times New Roman"/>
          <w:color w:val="000000"/>
          <w:sz w:val="24"/>
        </w:rPr>
        <w:t>For purposes of this Agreement, the term “</w:t>
      </w:r>
      <w:r>
        <w:rPr>
          <w:rFonts w:ascii="Times New Roman" w:hAnsi="Times New Roman"/>
          <w:color w:val="000000"/>
          <w:sz w:val="24"/>
          <w:u w:val="single"/>
        </w:rPr>
        <w:t>Client(s)</w:t>
      </w:r>
      <w:r>
        <w:rPr>
          <w:color w:val="000000"/>
        </w:rPr>
        <w:t xml:space="preserve">” </w:t>
      </w:r>
      <w:r>
        <w:rPr>
          <w:rFonts w:ascii="Times New Roman" w:hAnsi="Times New Roman"/>
          <w:color w:val="000000"/>
          <w:sz w:val="24"/>
        </w:rPr>
        <w:t xml:space="preserve">shall mean any individual, corporation, partnership, business, or other entity, whether for-profit or not-for-profit, public, privately held, or owned by the United States government that is a business entity or individual with whom the Company or any Affiliated Entity has done business or with whom Executive has actively negotiated with during the twelve(12) month period preceding Executive’s termination of employment.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understands and agrees that the restrictions contained herein may limit her ability to engage in a business similar to the business of the Company and the Affiliated Entities. The Company and Executive believe the limitations as to time, geographic area, and scope of activity contained in this Section 6(b) are reasonable and do not impose a greater restraint than necessary to protect the Company’s and Affiliated Entities’ Confidential Information, goodwill, and legitimate business interests.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If any covenant, provision, agreement or part thereof contained herein is found by a court having jurisdiction to be unreasonable in duration, geographic scope, or character of restrictions, such covenant, provision, agreement or part thereof shall not be </w:t>
      </w:r>
    </w:p>
    <w:p>
      <w:pPr>
        <w:pStyle w:val="TextBody"/>
        <w:bidi w:val="0"/>
        <w:jc w:val="left"/>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the event Executive breaches the restrictive covenants set forth in this Section 6(b), then the running of the Restricted Period shall be tolled and suspended during the time period in which Executive acts in breach of this Agreement.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120" w:after="283"/>
        <w:jc w:val="left"/>
        <w:rPr/>
      </w:pPr>
      <w:r>
        <w:rPr>
          <w:rFonts w:ascii="Times New Roman" w:hAnsi="Times New Roman"/>
          <w:color w:val="000000"/>
          <w:sz w:val="24"/>
          <w:u w:val="single"/>
        </w:rPr>
        <w:t>Representations, Warranties and Covenants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No Restrictive Covenants</w:t>
      </w:r>
      <w:r>
        <w:rPr>
          <w:rFonts w:ascii="Times New Roman" w:hAnsi="Times New Roman"/>
          <w:color w:val="000000"/>
          <w:sz w:val="24"/>
        </w:rPr>
        <w:t>. Executive represents and warrants to the Company that she is not subject to any agreement restricting her ability to enter into this Agreement and fully carryout her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Adherence to Code of Ethics and Insider Trading Policy</w:t>
      </w:r>
      <w:r>
        <w:rPr>
          <w:rFonts w:ascii="Times New Roman" w:hAnsi="Times New Roman"/>
          <w:color w:val="000000"/>
          <w:sz w:val="24"/>
        </w:rPr>
        <w:t>. Executive represents and warrants that she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Assignment of Intellectual Property</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Executive will promptly disclose to the Company any idea, invention, discovery or improvement, whether patentable or not (“</w:t>
      </w:r>
      <w:r>
        <w:rPr>
          <w:rFonts w:ascii="Times New Roman" w:hAnsi="Times New Roman"/>
          <w:color w:val="000000"/>
          <w:sz w:val="24"/>
          <w:u w:val="single"/>
        </w:rPr>
        <w:t>Creations</w:t>
      </w:r>
      <w:r>
        <w:rPr>
          <w:rFonts w:ascii="Times New Roman" w:hAnsi="Times New Roman"/>
          <w:color w:val="000000"/>
          <w:sz w:val="20"/>
        </w:rPr>
        <w:t>”</w:t>
      </w:r>
      <w:r>
        <w:rPr>
          <w:rFonts w:ascii="Times New Roman" w:hAnsi="Times New Roman"/>
          <w:color w:val="000000"/>
          <w:sz w:val="24"/>
        </w:rPr>
        <w:t>), conceived or made by him alone or with others at any time during her employment with the Company or while providing services to the Company or any Affiliated Entity. Executive agrees that the Company owns any such Creations, and Executive hereby assigns and agrees to assign to the Company all moral and other rights she has or may acquire therein and agrees to execute any and all applications, assignments and other instruments relating thereto which the Company deems necessary or desirable. These obligations shall continue beyond the termination of her employment with respect to Creations and derivatives of such Creations conceived or made during her employment with the Company. The Company and Executive understand that the obligation to assign Creations to the Company shall not apply to any Creation which is developed entirely on her own time without using any of the Company’s equipment, supplies,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10</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facilities, and/or Confidential Information (“</w:t>
      </w:r>
      <w:r>
        <w:rPr>
          <w:rFonts w:ascii="Times New Roman" w:hAnsi="Times New Roman"/>
          <w:color w:val="000000"/>
          <w:sz w:val="24"/>
          <w:u w:val="single"/>
        </w:rPr>
        <w:t>Executive Creations</w:t>
      </w:r>
      <w:r>
        <w:rPr>
          <w:rFonts w:ascii="Times New Roman" w:hAnsi="Times New Roman"/>
          <w:color w:val="000000"/>
          <w:sz w:val="20"/>
        </w:rPr>
        <w:t>”</w:t>
      </w:r>
      <w:r>
        <w:rPr>
          <w:rFonts w:ascii="Times New Roman" w:hAnsi="Times New Roman"/>
          <w:color w:val="000000"/>
          <w:sz w:val="24"/>
        </w:rPr>
        <w:t>) unless such Creation (i) relates in any way to the business or to the current or anticipated research or development of the Company or any of the Affiliated Entities, or (ii) results in any way from her work at the Company or for any of the Affiliated Entities.</w:t>
      </w:r>
    </w:p>
    <w:p>
      <w:pPr>
        <w:pStyle w:val="TextBody"/>
        <w:bidi w:val="0"/>
        <w:spacing w:before="120" w:after="283"/>
        <w:jc w:val="left"/>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pStyle w:val="TextBody"/>
        <w:bidi w:val="0"/>
        <w:spacing w:before="120" w:after="283"/>
        <w:jc w:val="left"/>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Executive agrees to reasonably cooperate with the Company and the Affiliated Entities, both during and after her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her agent and attorney-in-fact, and Executive hereby irrevocably designates and appoints each officer of the Company or an Affiliated Entity as her agent and attorney-in-fact to execute any such papers on her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120" w:after="283"/>
        <w:jc w:val="left"/>
        <w:rPr/>
      </w:pPr>
      <w:r>
        <w:rPr>
          <w:rFonts w:ascii="Times New Roman" w:hAnsi="Times New Roman"/>
          <w:color w:val="000000"/>
          <w:sz w:val="24"/>
          <w:u w:val="single"/>
        </w:rPr>
        <w:t>Remedies</w:t>
      </w:r>
      <w:r>
        <w:rPr>
          <w:rFonts w:ascii="Times New Roman" w:hAnsi="Times New Roman"/>
          <w:color w:val="000000"/>
          <w:sz w:val="24"/>
        </w:rPr>
        <w:t>.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120" w:after="283"/>
        <w:jc w:val="left"/>
        <w:rPr/>
      </w:pPr>
      <w:r>
        <w:rPr>
          <w:rFonts w:ascii="Times New Roman" w:hAnsi="Times New Roman"/>
          <w:color w:val="000000"/>
          <w:sz w:val="24"/>
          <w:u w:val="single"/>
        </w:rPr>
        <w:t>Waiver of Breach</w:t>
      </w:r>
      <w:r>
        <w:rPr>
          <w:rFonts w:ascii="Times New Roman" w:hAnsi="Times New Roman"/>
          <w:color w:val="000000"/>
          <w:sz w:val="24"/>
        </w:rPr>
        <w:t>. The waiver by either the Company or Executive of a breach of any provision of this Agreement shall not operate as or be deemed a waiver of any subsequent breach by either the Company or Executive. Any waiver must be in writing.</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120" w:after="283"/>
        <w:jc w:val="left"/>
        <w:rPr/>
      </w:pPr>
      <w:r>
        <w:rPr>
          <w:rFonts w:ascii="Times New Roman" w:hAnsi="Times New Roman"/>
          <w:color w:val="000000"/>
          <w:sz w:val="24"/>
          <w:u w:val="single"/>
        </w:rPr>
        <w:t>Notice</w:t>
      </w:r>
      <w:r>
        <w:rPr>
          <w:rFonts w:ascii="Times New Roman" w:hAnsi="Times New Roman"/>
          <w:color w:val="000000"/>
          <w:sz w:val="24"/>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pStyle w:val="TextBody"/>
        <w:bidi w:val="0"/>
        <w:jc w:val="left"/>
        <w:rPr>
          <w:rFonts w:ascii="Times New Roman" w:hAnsi="Times New Roman"/>
          <w:color w:val="000000"/>
          <w:sz w:val="24"/>
        </w:rPr>
      </w:pPr>
      <w:r>
        <w:rPr>
          <w:rFonts w:ascii="Times New Roman" w:hAnsi="Times New Roman"/>
          <w:color w:val="000000"/>
          <w:sz w:val="24"/>
        </w:rPr>
        <w:t>11</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 Executive: At the address (or to the email or facsimile number) shown in the books and records of the Company.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 the Company addressed as follows:</w:t>
      </w:r>
    </w:p>
    <w:p>
      <w:pPr>
        <w:pStyle w:val="TextBody"/>
        <w:bidi w:val="0"/>
        <w:spacing w:before="120" w:after="283"/>
        <w:jc w:val="left"/>
        <w:rPr>
          <w:rFonts w:ascii="Times New Roman" w:hAnsi="Times New Roman"/>
          <w:sz w:val="20"/>
        </w:rPr>
      </w:pPr>
      <w:r>
        <w:rPr>
          <w:rFonts w:ascii="Times New Roman" w:hAnsi="Times New Roman"/>
          <w:color w:val="000000"/>
          <w:sz w:val="24"/>
        </w:rPr>
        <w:t>P10 Intermediate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4514 Cole Avenue, Suite 1600</w:t>
      </w:r>
    </w:p>
    <w:p>
      <w:pPr>
        <w:pStyle w:val="TextBody"/>
        <w:bidi w:val="0"/>
        <w:jc w:val="left"/>
        <w:rPr>
          <w:rFonts w:ascii="Times New Roman" w:hAnsi="Times New Roman"/>
          <w:color w:val="000000"/>
          <w:sz w:val="24"/>
        </w:rPr>
      </w:pPr>
      <w:r>
        <w:rPr>
          <w:rFonts w:ascii="Times New Roman" w:hAnsi="Times New Roman"/>
          <w:color w:val="000000"/>
          <w:sz w:val="24"/>
        </w:rPr>
        <w:t>Dallas, TX 75205</w:t>
      </w:r>
    </w:p>
    <w:p>
      <w:pPr>
        <w:pStyle w:val="TextBody"/>
        <w:bidi w:val="0"/>
        <w:jc w:val="left"/>
        <w:rPr>
          <w:rFonts w:ascii="Times New Roman" w:hAnsi="Times New Roman"/>
          <w:sz w:val="20"/>
        </w:rPr>
      </w:pPr>
      <w:r>
        <w:rPr>
          <w:rFonts w:ascii="Times New Roman" w:hAnsi="Times New Roman"/>
          <w:color w:val="000000"/>
          <w:sz w:val="24"/>
        </w:rPr>
        <w:t>Attention: Chief Executive Officer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with copies to (which shall not constitute notice):</w:t>
      </w:r>
    </w:p>
    <w:p>
      <w:pPr>
        <w:pStyle w:val="TextBody"/>
        <w:bidi w:val="0"/>
        <w:spacing w:before="120" w:after="283"/>
        <w:jc w:val="left"/>
        <w:rPr>
          <w:rFonts w:ascii="Times New Roman" w:hAnsi="Times New Roman"/>
          <w:sz w:val="20"/>
        </w:rPr>
      </w:pPr>
      <w:r>
        <w:rPr>
          <w:rFonts w:ascii="Times New Roman" w:hAnsi="Times New Roman"/>
          <w:color w:val="000000"/>
          <w:sz w:val="24"/>
        </w:rPr>
        <w:t>Kramer Levin Naftalis &amp; Frankel LLP</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1177 Avenue of the Americas</w:t>
      </w:r>
    </w:p>
    <w:p>
      <w:pPr>
        <w:pStyle w:val="TextBody"/>
        <w:bidi w:val="0"/>
        <w:jc w:val="left"/>
        <w:rPr>
          <w:rFonts w:ascii="Times New Roman" w:hAnsi="Times New Roman"/>
          <w:sz w:val="20"/>
        </w:rPr>
      </w:pPr>
      <w:r>
        <w:rPr>
          <w:rFonts w:ascii="Times New Roman" w:hAnsi="Times New Roman"/>
          <w:color w:val="000000"/>
          <w:sz w:val="24"/>
        </w:rPr>
        <w:t>New York, New York 10036</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Attention: Todd Lenson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120" w:after="283"/>
        <w:jc w:val="left"/>
        <w:rPr/>
      </w:pPr>
      <w:r>
        <w:rPr>
          <w:rFonts w:ascii="Times New Roman" w:hAnsi="Times New Roman"/>
          <w:color w:val="000000"/>
          <w:sz w:val="24"/>
          <w:u w:val="single"/>
        </w:rPr>
        <w:t>Amendment</w:t>
      </w:r>
      <w:r>
        <w:rPr>
          <w:rFonts w:ascii="Times New Roman" w:hAnsi="Times New Roman"/>
          <w:color w:val="000000"/>
          <w:sz w:val="24"/>
        </w:rPr>
        <w:t>. This Agreement may not be amended orally in any manner or in writing without the written consent of the Company and Executive. No provision of this Agreement may be waived, delayed, modified, terminated, or otherwise impaired without the prior written consent of the Company and Executive.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120" w:after="283"/>
        <w:jc w:val="left"/>
        <w:rPr/>
      </w:pPr>
      <w:r>
        <w:rPr>
          <w:rFonts w:ascii="Times New Roman" w:hAnsi="Times New Roman"/>
          <w:color w:val="000000"/>
          <w:sz w:val="24"/>
          <w:u w:val="single"/>
        </w:rPr>
        <w:t>Entire Agreement</w:t>
      </w:r>
      <w:r>
        <w:rPr>
          <w:rFonts w:ascii="Times New Roman" w:hAnsi="Times New Roman"/>
          <w:color w:val="000000"/>
          <w:sz w:val="24"/>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 including, but not limited to the Prior Agreement and any and all amendments or changes thereto.</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120" w:after="283"/>
        <w:jc w:val="left"/>
        <w:rPr/>
      </w:pPr>
      <w:r>
        <w:rPr>
          <w:rFonts w:ascii="Times New Roman" w:hAnsi="Times New Roman"/>
          <w:color w:val="000000"/>
          <w:sz w:val="24"/>
          <w:u w:val="single"/>
        </w:rPr>
        <w:t>Survival</w:t>
      </w:r>
      <w:r>
        <w:rPr>
          <w:rFonts w:ascii="Times New Roman" w:hAnsi="Times New Roman"/>
          <w:color w:val="000000"/>
          <w:sz w:val="24"/>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120" w:after="283"/>
        <w:jc w:val="left"/>
        <w:rPr/>
      </w:pPr>
      <w:r>
        <w:rPr>
          <w:rFonts w:ascii="Times New Roman" w:hAnsi="Times New Roman"/>
          <w:color w:val="000000"/>
          <w:sz w:val="24"/>
          <w:u w:val="single"/>
        </w:rPr>
        <w:t>Governing Law</w:t>
      </w:r>
      <w:r>
        <w:rPr>
          <w:rFonts w:ascii="Times New Roman" w:hAnsi="Times New Roman"/>
          <w:color w:val="000000"/>
          <w:sz w:val="24"/>
        </w:rPr>
        <w:t>. The provisions of this Agreement shall be construed in accordance with the laws of the State of Texas, without regard to conflict of law principles that would result in the application of any law other than the law of the State of Texas.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120" w:after="283"/>
        <w:jc w:val="left"/>
        <w:rPr/>
      </w:pPr>
      <w:r>
        <w:rPr>
          <w:rFonts w:ascii="Times New Roman" w:hAnsi="Times New Roman"/>
          <w:color w:val="000000"/>
          <w:sz w:val="24"/>
          <w:u w:val="single"/>
        </w:rPr>
        <w:t>Assignment; Successors and Assigns, etc</w:t>
      </w:r>
      <w:r>
        <w:rPr>
          <w:rFonts w:ascii="Times New Roman" w:hAnsi="Times New Roman"/>
          <w:color w:val="000000"/>
          <w:sz w:val="24"/>
        </w:rPr>
        <w:t>. This Agreement is a personal contract and Executive may not sell, transfer, assign, pledge, or hypothecate her rights, interests and obligations hereunder. Except as otherwise herein expressly provided, this Agreement shall be binding upon and shall inure to the benefit of Executive and her personal representatives and shall inure to the benefit of and be binding upon the Company and its successors and assigns.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120" w:after="283"/>
        <w:jc w:val="left"/>
        <w:rPr/>
      </w:pPr>
      <w:r>
        <w:rPr>
          <w:rFonts w:ascii="Times New Roman" w:hAnsi="Times New Roman"/>
          <w:color w:val="000000"/>
          <w:sz w:val="24"/>
          <w:u w:val="single"/>
        </w:rPr>
        <w:t>Severability</w:t>
      </w:r>
      <w:r>
        <w:rPr>
          <w:rFonts w:ascii="Times New Roman" w:hAnsi="Times New Roman"/>
          <w:color w:val="000000"/>
          <w:sz w:val="24"/>
        </w:rPr>
        <w:t>.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jc w:val="left"/>
        <w:rPr>
          <w:rFonts w:ascii="Times New Roman" w:hAnsi="Times New Roman"/>
          <w:color w:val="000000"/>
          <w:sz w:val="24"/>
        </w:rPr>
      </w:pPr>
      <w:r>
        <w:rPr>
          <w:rFonts w:ascii="Times New Roman" w:hAnsi="Times New Roman"/>
          <w:color w:val="000000"/>
          <w:sz w:val="24"/>
        </w:rPr>
        <w:t>12</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12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120" w:after="283"/>
        <w:jc w:val="left"/>
        <w:rPr/>
      </w:pPr>
      <w:r>
        <w:rPr>
          <w:rFonts w:ascii="Times New Roman" w:hAnsi="Times New Roman"/>
          <w:color w:val="000000"/>
          <w:sz w:val="24"/>
          <w:u w:val="single"/>
        </w:rPr>
        <w:t>Arbitration</w:t>
      </w:r>
      <w:r>
        <w:rPr>
          <w:rFonts w:ascii="Times New Roman" w:hAnsi="Times New Roman"/>
          <w:color w:val="000000"/>
          <w:sz w:val="24"/>
        </w:rPr>
        <w:t>. All disputes and disagreements arising from, relating to, or otherwise connected with this Agreement, the breach of this Agreement, Executive’s employment with the Company or providing services to any Affiliated Entity,the enforcement, interpretation or validity of this Agreement, or the employment relationship (including any wage claim,claim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hAnsi="Times New Roman"/>
          <w:color w:val="000000"/>
          <w:sz w:val="24"/>
          <w:u w:val="single"/>
        </w:rPr>
        <w:t>JAMS</w:t>
      </w:r>
      <w:r>
        <w:rPr>
          <w:color w:val="000000"/>
        </w:rPr>
        <w:t>”</w:t>
      </w:r>
      <w:r>
        <w:rPr>
          <w:rFonts w:ascii="Times New Roman" w:hAnsi="Times New Roman"/>
          <w:color w:val="000000"/>
          <w:sz w:val="24"/>
        </w:rPr>
        <w:t>) pursuant to its Comprehensive Arbitration Rules and Procedures (the “</w:t>
      </w:r>
      <w:r>
        <w:rPr>
          <w:rFonts w:ascii="Times New Roman" w:hAnsi="Times New Roman"/>
          <w:color w:val="000000"/>
          <w:sz w:val="24"/>
          <w:u w:val="single"/>
        </w:rPr>
        <w:t>JAMS Rules</w:t>
      </w:r>
      <w:r>
        <w:rPr>
          <w:color w:val="000000"/>
        </w:rPr>
        <w:t>”</w:t>
      </w:r>
      <w:r>
        <w:rPr>
          <w:rFonts w:ascii="Times New Roman" w:hAnsi="Times New Roman"/>
          <w:color w:val="000000"/>
          <w:sz w:val="24"/>
        </w:rPr>
        <w:t>) applicable at the time the arbitration is commenced. A copy of the current version of the JAMS Rules will be made available to Executive upon request. The JAMS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 Each of the parties shall bear the fees and expenses of its own legal counsel.</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120" w:after="283"/>
        <w:jc w:val="left"/>
        <w:rPr/>
      </w:pPr>
      <w:r>
        <w:rPr>
          <w:rFonts w:ascii="Times New Roman" w:hAnsi="Times New Roman"/>
          <w:color w:val="000000"/>
          <w:sz w:val="24"/>
          <w:u w:val="single"/>
        </w:rPr>
        <w:t>Compliance with Section 409A</w:t>
      </w:r>
      <w:r>
        <w:rPr>
          <w:rFonts w:ascii="Times New Roman" w:hAnsi="Times New Roman"/>
          <w:color w:val="000000"/>
          <w:sz w:val="24"/>
        </w:rPr>
        <w:t xml:space="preserve">.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 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Section 409A, (A) all expenses or other reimbursements hereunder shall be made on or prior to the last day of the taxable year following </w:t>
      </w:r>
    </w:p>
    <w:p>
      <w:pPr>
        <w:pStyle w:val="TextBody"/>
        <w:bidi w:val="0"/>
        <w:jc w:val="left"/>
        <w:rPr>
          <w:rFonts w:ascii="Times New Roman" w:hAnsi="Times New Roman"/>
          <w:color w:val="000000"/>
          <w:sz w:val="24"/>
        </w:rPr>
      </w:pPr>
      <w:r>
        <w:rPr>
          <w:rFonts w:ascii="Times New Roman" w:hAnsi="Times New Roman"/>
          <w:color w:val="000000"/>
          <w:sz w:val="24"/>
        </w:rPr>
        <w:t>13</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taxable year in which such expenses were incurred by Executive, (B) any right to reimbursement or in-kind benefits shall not be subject to liquidation or exchange for another benefit,and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benefits provided under this Agreement comply with Section409A and in no event shall the Company be liable for all or any portion of any taxes, penalties, interest,or other expenses that may be incurred by Executive on account of non-compliance with Section 409A.</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120" w:after="283"/>
        <w:jc w:val="left"/>
        <w:rPr/>
      </w:pPr>
      <w:r>
        <w:rPr>
          <w:rFonts w:ascii="Times New Roman" w:hAnsi="Times New Roman"/>
          <w:color w:val="000000"/>
          <w:sz w:val="24"/>
          <w:u w:val="single"/>
        </w:rPr>
        <w:t>Withholding</w:t>
      </w:r>
      <w:r>
        <w:rPr>
          <w:rFonts w:ascii="Times New Roman" w:hAnsi="Times New Roman"/>
          <w:color w:val="000000"/>
          <w:sz w:val="24"/>
        </w:rPr>
        <w:t>. The payments and benefits under this Agreement shall be subject to all applicable withholdings and deductions, including all applicable withholdings for Federal, state and local income taxes, employment and payroll taxes.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120" w:after="283"/>
        <w:jc w:val="left"/>
        <w:rPr/>
      </w:pPr>
      <w:r>
        <w:rPr>
          <w:rFonts w:ascii="Times New Roman" w:hAnsi="Times New Roman"/>
          <w:color w:val="000000"/>
          <w:sz w:val="24"/>
          <w:u w:val="single"/>
        </w:rPr>
        <w:t>Application of Compensation Recovery Policy</w:t>
      </w:r>
      <w:r>
        <w:rPr>
          <w:rFonts w:ascii="Times New Roman" w:hAnsi="Times New Roman"/>
          <w:color w:val="000000"/>
          <w:sz w:val="24"/>
        </w:rPr>
        <w:t>. Executive acknowledges that, to the extent applicable, incentive based compensation payable under this Agreement or otherwise is subject to recovery in accordance with the Company’s clawback policy as in effect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120" w:after="283"/>
        <w:jc w:val="left"/>
        <w:rPr/>
      </w:pPr>
      <w:r>
        <w:rPr>
          <w:rFonts w:ascii="Times New Roman" w:hAnsi="Times New Roman"/>
          <w:color w:val="000000"/>
          <w:sz w:val="24"/>
          <w:u w:val="single"/>
        </w:rPr>
        <w:t>Section 280G</w:t>
      </w:r>
      <w:r>
        <w:rPr>
          <w:rFonts w:ascii="Times New Roman" w:hAnsi="Times New Roman"/>
          <w:color w:val="000000"/>
          <w:sz w:val="24"/>
        </w:rPr>
        <w:t>.</w:t>
      </w:r>
      <w:r>
        <w:rPr>
          <w:rFonts w:ascii="Times New Roman" w:hAnsi="Times New Roman"/>
          <w:color w:val="000000"/>
          <w:sz w:val="2"/>
        </w:rPr>
        <w:t>.</w:t>
      </w:r>
    </w:p>
    <w:p>
      <w:pPr>
        <w:pStyle w:val="TextBody"/>
        <w:bidi w:val="0"/>
        <w:spacing w:before="120" w:after="283"/>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hAnsi="Times New Roman"/>
          <w:color w:val="000000"/>
          <w:sz w:val="24"/>
          <w:u w:val="single"/>
        </w:rPr>
        <w:t>Covered Payments</w:t>
      </w:r>
      <w:r>
        <w:rPr>
          <w:rFonts w:ascii="Times New Roman" w:hAnsi="Times New Roman"/>
          <w:color w:val="000000"/>
          <w:sz w:val="20"/>
        </w:rPr>
        <w:t>”</w:t>
      </w:r>
      <w:r>
        <w:rPr>
          <w:rFonts w:ascii="Times New Roman" w:hAnsi="Times New Roman"/>
          <w:color w:val="000000"/>
          <w:sz w:val="24"/>
        </w:rPr>
        <w:t>) constitute parachute payments within the meaning of Section 280G of the Code and would, but for this Section,be subject to the excise tax imposed under Section 4999 (or any successor provision thereto) or any similar tax imposed by state or local law or any interest or penalties with respect to such taxes (collectively, the “</w:t>
      </w:r>
      <w:r>
        <w:rPr>
          <w:rFonts w:ascii="Times New Roman" w:hAnsi="Times New Roman"/>
          <w:color w:val="000000"/>
          <w:sz w:val="24"/>
          <w:u w:val="single"/>
        </w:rPr>
        <w:t>Excise Tax</w:t>
      </w:r>
      <w:r>
        <w:rPr>
          <w:rFonts w:ascii="Times New Roman" w:hAnsi="Times New Roman"/>
          <w:color w:val="000000"/>
          <w:sz w:val="20"/>
        </w:rPr>
        <w:t>”</w:t>
      </w:r>
      <w:r>
        <w:rPr>
          <w:rFonts w:ascii="Times New Roman" w:hAnsi="Times New Roman"/>
          <w:color w:val="000000"/>
          <w:sz w:val="24"/>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hAnsi="Times New Roman"/>
          <w:color w:val="000000"/>
          <w:sz w:val="24"/>
          <w:u w:val="single"/>
        </w:rPr>
        <w:t>Net</w:t>
      </w:r>
      <w:r>
        <w:rPr>
          <w:rFonts w:ascii="Times New Roman" w:hAnsi="Times New Roman"/>
          <w:color w:val="000000"/>
          <w:sz w:val="20"/>
        </w:rPr>
        <w:t xml:space="preserve"> </w:t>
      </w:r>
      <w:r>
        <w:rPr>
          <w:rFonts w:ascii="Times New Roman" w:hAnsi="Times New Roman"/>
          <w:color w:val="000000"/>
          <w:sz w:val="24"/>
          <w:u w:val="single"/>
        </w:rPr>
        <w:t>Benefit</w:t>
      </w:r>
      <w:r>
        <w:rPr>
          <w:rFonts w:ascii="Times New Roman" w:hAnsi="Times New Roman"/>
          <w:color w:val="000000"/>
          <w:sz w:val="20"/>
        </w:rPr>
        <w:t xml:space="preserve">” </w:t>
      </w:r>
      <w:r>
        <w:rPr>
          <w:rFonts w:ascii="Times New Roman" w:hAnsi="Times New Roman"/>
          <w:color w:val="000000"/>
          <w:sz w:val="24"/>
        </w:rPr>
        <w:t>shall mean the present value of the Covered Payments net of all federal, state, local, foreign income, employment, and excise taxes.</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120" w:after="283"/>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determination required under this Section, including whether any payments or benefits are parachute payments, shall be made by an independent public accounting</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14</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firm that is mutually agreed by the Company and the CEO (the “</w:t>
      </w:r>
      <w:r>
        <w:rPr>
          <w:rFonts w:ascii="Times New Roman" w:hAnsi="Times New Roman"/>
          <w:color w:val="000000"/>
          <w:sz w:val="24"/>
          <w:u w:val="single"/>
        </w:rPr>
        <w:t>Accounting Firm</w:t>
      </w:r>
      <w:r>
        <w:rPr>
          <w:rFonts w:ascii="Times New Roman" w:hAnsi="Times New Roman"/>
          <w:color w:val="000000"/>
          <w:sz w:val="20"/>
        </w:rPr>
        <w:t>”</w:t>
      </w:r>
      <w:r>
        <w:rPr>
          <w:rFonts w:ascii="Times New Roman" w:hAnsi="Times New Roman"/>
          <w:color w:val="000000"/>
          <w:sz w:val="24"/>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pStyle w:val="TextBody"/>
        <w:bidi w:val="0"/>
        <w:spacing w:before="120" w:after="283"/>
        <w:jc w:val="center"/>
        <w:rPr>
          <w:rFonts w:ascii="Times New Roman" w:hAnsi="Times New Roman"/>
          <w:sz w:val="20"/>
        </w:rPr>
      </w:pPr>
      <w:r>
        <w:rPr>
          <w:rFonts w:ascii="Times New Roman" w:hAnsi="Times New Roman"/>
          <w:color w:val="000000"/>
          <w:sz w:val="24"/>
        </w:rPr>
        <w:t xml:space="preserve">[ </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15</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Executive and the Company have executed this Agreement effective as of the date first above written.</w:t>
      </w:r>
    </w:p>
    <w:p>
      <w:pPr>
        <w:pStyle w:val="TextBody"/>
        <w:bidi w:val="0"/>
        <w:jc w:val="righ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Amanda Coussens</w:t>
      </w:r>
    </w:p>
    <w:p>
      <w:pPr>
        <w:pStyle w:val="TextBody"/>
        <w:bidi w:val="0"/>
        <w:jc w:val="righ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Luke Sarsfield</w:t>
      </w:r>
      <w:r>
        <w:rPr>
          <w:rFonts w:ascii="Times New Roman" w:hAnsi="Times New Roman"/>
          <w:color w:val="000000"/>
          <w:sz w:val="20"/>
        </w:rPr>
        <w:t xml:space="preserve"> </w:t>
      </w:r>
    </w:p>
    <w:p>
      <w:pPr>
        <w:pStyle w:val="TextBody"/>
        <w:bidi w:val="0"/>
        <w:jc w:val="right"/>
        <w:rPr>
          <w:rFonts w:ascii="Times New Roman" w:hAnsi="Times New Roman"/>
          <w:b/>
          <w:color w:val="000000"/>
          <w:sz w:val="24"/>
        </w:rPr>
      </w:pPr>
      <w:r>
        <w:rPr>
          <w:rFonts w:ascii="Times New Roman" w:hAnsi="Times New Roman"/>
          <w:b/>
          <w:color w:val="000000"/>
          <w:sz w:val="24"/>
        </w:rPr>
        <w:t>P10 Intermediate Holdings, LLC</w:t>
      </w:r>
    </w:p>
    <w:p>
      <w:pPr>
        <w:pStyle w:val="TextBody"/>
        <w:bidi w:val="0"/>
        <w:jc w:val="left"/>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16</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EXHIBIT A</w:t>
      </w:r>
    </w:p>
    <w:p>
      <w:pPr>
        <w:pStyle w:val="TextBody"/>
        <w:bidi w:val="0"/>
        <w:jc w:val="center"/>
        <w:rPr>
          <w:rFonts w:ascii="Times New Roman" w:hAnsi="Times New Roman"/>
          <w:color w:val="000000"/>
          <w:sz w:val="24"/>
        </w:rPr>
      </w:pPr>
      <w:r>
        <w:rPr>
          <w:rFonts w:ascii="Times New Roman" w:hAnsi="Times New Roman"/>
          <w:color w:val="000000"/>
          <w:sz w:val="24"/>
        </w:rPr>
        <w:t>Permitted Activities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Serving (i) on the Board of Directors (the “</w:t>
      </w:r>
      <w:r>
        <w:rPr>
          <w:rFonts w:ascii="Times New Roman" w:hAnsi="Times New Roman"/>
          <w:color w:val="000000"/>
          <w:sz w:val="22"/>
          <w:u w:val="single"/>
        </w:rPr>
        <w:t>GRNT Board</w:t>
      </w:r>
      <w:r>
        <w:rPr>
          <w:rFonts w:ascii="Times New Roman" w:hAnsi="Times New Roman"/>
          <w:color w:val="000000"/>
          <w:sz w:val="20"/>
        </w:rPr>
        <w:t>”</w:t>
      </w:r>
      <w:r>
        <w:rPr>
          <w:rFonts w:ascii="Times New Roman" w:hAnsi="Times New Roman"/>
          <w:color w:val="000000"/>
          <w:sz w:val="22"/>
        </w:rPr>
        <w:t>) of Granite Ridge Resources, Inc. (GRNT), a NYSE listed company, (ii) as the Chairperson of the Audit Committee of the GRNT Board and (iii) on such other committees of the GRNT Board from time to time.</w:t>
      </w:r>
    </w:p>
    <w:p>
      <w:pPr>
        <w:pStyle w:val="TextBody"/>
        <w:bidi w:val="0"/>
        <w:jc w:val="left"/>
        <w:rPr>
          <w:rFonts w:ascii="Times New Roman" w:hAnsi="Times New Roman"/>
          <w:color w:val="000000"/>
          <w:sz w:val="24"/>
        </w:rPr>
      </w:pPr>
      <w:r>
        <w:rPr>
          <w:rFonts w:ascii="Times New Roman" w:hAnsi="Times New Roman"/>
          <w:color w:val="000000"/>
          <w:sz w:val="24"/>
        </w:rPr>
        <w:t>17</w:t>
      </w:r>
    </w:p>
    <w:p>
      <w:pPr>
        <w:pStyle w:val="TextBody"/>
        <w:bidi w:val="0"/>
        <w:jc w:val="left"/>
        <w:rPr>
          <w:rFonts w:ascii="Times New Roman" w:hAnsi="Times New Roman"/>
          <w:caps/>
          <w:color w:val="000000"/>
          <w:sz w:val="16"/>
        </w:rPr>
      </w:pPr>
      <w:r>
        <w:rPr>
          <w:rFonts w:ascii="Times New Roman" w:hAnsi="Times New Roman"/>
          <w:caps/>
          <w:color w:val="000000"/>
          <w:sz w:val="16"/>
        </w:rPr>
        <w:t>4857-6394-4720.3</w:t>
      </w:r>
    </w:p>
    <w:p>
      <w:pPr>
        <w:pStyle w:val="HorizontalLine"/>
        <w:pBdr>
          <w:bottom w:val="double" w:sz="2" w:space="0" w:color="808080"/>
        </w:pBdr>
        <w:bidi w:val="0"/>
        <w:spacing w:before="0" w:after="283"/>
        <w:jc w:val="left"/>
        <w:rPr/>
      </w:pPr>
      <w:r>
        <w:rPr/>
      </w:r>
    </w:p>
    <w:p>
      <w:pPr>
        <w:pStyle w:val="TextBody"/>
        <w:bidi w:val="0"/>
        <w:jc w:val="left"/>
        <w:rPr/>
      </w:pPr>
      <w:bookmarkStart w:id="24" w:name="px-ex10_2.htm"/>
      <w:bookmarkStart w:id="25" w:name="kspxex10_2"/>
      <w:bookmarkEnd w:id="24"/>
      <w:bookmarkEnd w:id="25"/>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EMPLOYMENT AGREEMENT</w:t>
      </w:r>
    </w:p>
    <w:p>
      <w:pPr>
        <w:pStyle w:val="TextBody"/>
        <w:bidi w:val="0"/>
        <w:spacing w:before="240" w:after="283"/>
        <w:jc w:val="left"/>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effective as of February 27,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P10 Intermediate Holdings, LLC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Richard J. (Arjay) Jensen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WHEREAS, Executive and the Company desire to memorialize the terms and conditions of Executive’s employment with the Company and its affiliates by entering into this Agreement.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120" w:after="283"/>
        <w:jc w:val="left"/>
        <w:rPr/>
      </w:pPr>
      <w:r>
        <w:rPr>
          <w:rFonts w:ascii="Times New Roman" w:hAnsi="Times New Roman"/>
          <w:color w:val="000000"/>
          <w:sz w:val="24"/>
          <w:u w:val="single"/>
        </w:rPr>
        <w:t>Title and Job Duties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rPr>
        <w:t>The Company hereby agrees to employ Executive, and Executive hereby accepts employment, in the position of Executive Vice President, Head of Strategy and M&amp;A, subject to the terms and conditions set forth herein. In this capacity, Executive shall have the duties, authorities and responsibilities that are designated from time to time by the Company’s 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 and the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of P10, Inc. (“</w:t>
      </w:r>
      <w:r>
        <w:rPr>
          <w:rFonts w:ascii="Times New Roman" w:hAnsi="Times New Roman"/>
          <w:color w:val="000000"/>
          <w:sz w:val="24"/>
          <w:u w:val="single"/>
        </w:rPr>
        <w:t>P10</w:t>
      </w:r>
      <w:r>
        <w:rPr>
          <w:color w:val="000000"/>
        </w:rPr>
        <w:t>”</w:t>
      </w:r>
      <w:r>
        <w:rPr>
          <w:rFonts w:ascii="Times New Roman" w:hAnsi="Times New Roman"/>
          <w:color w:val="000000"/>
          <w:sz w:val="24"/>
        </w:rPr>
        <w:t>) commensurate with his title. In performing his duties, Executive shall report to the CEO.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performing his duties, Executive will be primarily based out of the Company’s office in New York, New York; provided that Executive may be required to travel on Company business from time to time as necessary or at the direction of the CEO or the Board.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pPr>
      <w:r>
        <w:rPr>
          <w:rFonts w:ascii="Times New Roman" w:hAnsi="Times New Roman"/>
          <w:color w:val="000000"/>
          <w:sz w:val="24"/>
        </w:rPr>
        <w:t>Executive agrees during the term of his employment to: (i) devote his full business and professional time and energy to the Company, P10 and each of their direct and indirect parents, subsidiaries, divisions, and affiliates and each affiliated investment vehicle and any related entities (the “</w:t>
      </w:r>
      <w:r>
        <w:rPr>
          <w:rFonts w:ascii="Times New Roman" w:hAnsi="Times New Roman"/>
          <w:color w:val="000000"/>
          <w:sz w:val="24"/>
          <w:u w:val="single"/>
        </w:rPr>
        <w:t>Affiliated Entities</w:t>
      </w:r>
      <w:r>
        <w:rPr>
          <w:color w:val="000000"/>
        </w:rPr>
        <w:t>”</w:t>
      </w:r>
      <w:r>
        <w:rPr>
          <w:rFonts w:ascii="Times New Roman" w:hAnsi="Times New Roman"/>
          <w:color w:val="000000"/>
          <w:sz w:val="24"/>
        </w:rPr>
        <w:t>); (ii) use his best efforts, skill, knowledge and abilities in the performance of his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he may be assigned, appointed or elected from time to time by the Board or governing body of any Affiliated Entity, without any additional compensation.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Without limiting the generality of the foregoing, Executive shall not, without the written approval of the Board or CEO, render services of a business or commercial nature on his own behalf or on behalf of any other person, firm, corporation or entity, whether for compensation or otherwise, during his employment with the Company; provided that the foregoing shall not prevent Executive from (i) serving on the boards of directors of or holding any other offices or positions in non-profit organizations; (ii) with the prior written approval of the Board or CEO, serving on the board of directors or advisory boards of other for-profit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companies; (iii) participating in charitable, civic, educational, professional, community or industry affairs; and (iv) managing Executive’s personal investments, so long as such activities do not (x) individually, or in the aggregate, materially interfere or conflict with the performance of Executive’s duties and responsibilities hereunder, (y) create a potential business or fiduciary conflict, or (z) violate any written policy of the Company or any Affiliated Entity applicable to Executive or violate any covenants applicable to Executive hereunder or under any other document, agreement or instrument between Executive and the Company or any Affiliated Entity.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120" w:after="283"/>
        <w:jc w:val="left"/>
        <w:rPr/>
      </w:pPr>
      <w:r>
        <w:rPr>
          <w:rFonts w:ascii="Times New Roman" w:hAnsi="Times New Roman"/>
          <w:color w:val="000000"/>
          <w:sz w:val="24"/>
          <w:u w:val="single"/>
        </w:rPr>
        <w:t>Compensation</w:t>
      </w:r>
      <w:r>
        <w:rPr>
          <w:rFonts w:ascii="Times New Roman" w:hAnsi="Times New Roman"/>
          <w:color w:val="000000"/>
          <w:sz w:val="24"/>
        </w:rPr>
        <w:t>. Subject to the terms and conditions of this Agreement, during the Term (as defined below), Executive shall be compensated by the Company for his services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Base Salary</w:t>
      </w:r>
      <w:r>
        <w:rPr>
          <w:rFonts w:ascii="Times New Roman" w:hAnsi="Times New Roman"/>
          <w:color w:val="000000"/>
          <w:sz w:val="24"/>
        </w:rPr>
        <w:t>. The Company shall pay Executive an annual salary of</w:t>
      </w:r>
    </w:p>
    <w:p>
      <w:pPr>
        <w:pStyle w:val="TextBody"/>
        <w:bidi w:val="0"/>
        <w:jc w:val="left"/>
        <w:rPr>
          <w:rFonts w:ascii="Times New Roman" w:hAnsi="Times New Roman"/>
          <w:sz w:val="20"/>
        </w:rPr>
      </w:pPr>
      <w:r>
        <w:rPr>
          <w:rFonts w:ascii="Times New Roman" w:hAnsi="Times New Roman"/>
          <w:color w:val="000000"/>
          <w:sz w:val="24"/>
        </w:rPr>
        <w:t>$500,000 (the “</w:t>
      </w:r>
      <w:r>
        <w:rPr>
          <w:rFonts w:ascii="Times New Roman" w:hAnsi="Times New Roman"/>
          <w:color w:val="000000"/>
          <w:sz w:val="24"/>
          <w:u w:val="single"/>
        </w:rPr>
        <w:t>Base Salary</w:t>
      </w:r>
      <w:r>
        <w:rPr>
          <w:rFonts w:ascii="Times New Roman" w:hAnsi="Times New Roman"/>
          <w:color w:val="000000"/>
          <w:sz w:val="20"/>
        </w:rPr>
        <w:t>”</w:t>
      </w:r>
      <w:r>
        <w:rPr>
          <w:rFonts w:ascii="Times New Roman" w:hAnsi="Times New Roman"/>
          <w:color w:val="000000"/>
          <w:sz w:val="24"/>
        </w:rPr>
        <w:t>), payable in substantially equal monthly or more frequent installments in accordance with the Company’s normal payroll practices in effect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Bonus</w:t>
      </w:r>
      <w:r>
        <w:rPr>
          <w:rFonts w:ascii="Times New Roman" w:hAnsi="Times New Roman"/>
          <w:color w:val="000000"/>
          <w:sz w:val="24"/>
        </w:rPr>
        <w:t>. For each full fiscal year of the Company, Executive shall be eligible to receive an annual bonus (the “</w:t>
      </w:r>
      <w:r>
        <w:rPr>
          <w:rFonts w:ascii="Times New Roman" w:hAnsi="Times New Roman"/>
          <w:color w:val="000000"/>
          <w:sz w:val="24"/>
          <w:u w:val="single"/>
        </w:rPr>
        <w:t>Annual Bonus</w:t>
      </w:r>
      <w:r>
        <w:rPr>
          <w:color w:val="000000"/>
        </w:rPr>
        <w:t>”</w:t>
      </w:r>
      <w:r>
        <w:rPr>
          <w:rFonts w:ascii="Times New Roman" w:hAnsi="Times New Roman"/>
          <w:color w:val="000000"/>
          <w:sz w:val="24"/>
        </w:rPr>
        <w:t>) based on the performance of the Company, the Affiliated Entities and/or Executive as determined by the compensation committee of the Board (the “</w:t>
      </w:r>
      <w:r>
        <w:rPr>
          <w:rFonts w:ascii="Times New Roman" w:hAnsi="Times New Roman"/>
          <w:color w:val="000000"/>
          <w:sz w:val="24"/>
          <w:u w:val="single"/>
        </w:rPr>
        <w:t>Compensation Committee</w:t>
      </w:r>
      <w:r>
        <w:rPr>
          <w:color w:val="000000"/>
        </w:rPr>
        <w:t>”</w:t>
      </w:r>
      <w:r>
        <w:rPr>
          <w:rFonts w:ascii="Times New Roman" w:hAnsi="Times New Roman"/>
          <w:color w:val="000000"/>
          <w:sz w:val="24"/>
        </w:rPr>
        <w:t>), in its discretion, with the target amount of Executive’s Annual Bonus equal to $300,000 (“</w:t>
      </w:r>
      <w:r>
        <w:rPr>
          <w:rFonts w:ascii="Times New Roman" w:hAnsi="Times New Roman"/>
          <w:color w:val="000000"/>
          <w:sz w:val="24"/>
          <w:u w:val="single"/>
        </w:rPr>
        <w:t>Target Annual Bonus</w:t>
      </w:r>
      <w:r>
        <w:rPr>
          <w:color w:val="000000"/>
        </w:rPr>
        <w:t>”</w:t>
      </w:r>
      <w:r>
        <w:rPr>
          <w:rFonts w:ascii="Times New Roman" w:hAnsi="Times New Roman"/>
          <w:color w:val="000000"/>
          <w:sz w:val="24"/>
        </w:rPr>
        <w:t>); provided, however, that Executive’s Target Annual Bonus for 2024 shall be pro-rated by multiplying the Target Annual Cash Bonus of $300,000 by a fraction, the numerator of which is the number of days in 2024 on and after the Effective Date and the denominator of which is 366. The amount of the Annual Bonus to be paid to Executive and the performance metrics and requirements shall be determined by the Compensation Committee, in its sole discretion. The Annual Bonus will be paid in cash, restricted stock, restricted stock units, carried interest in the Company’s affiliated investment vehicles or a combination of the foregoing, as determined in the sole discretion of the Compensation Committee.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Equity and Other Incentives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pPr>
      <w:r>
        <w:rPr>
          <w:rFonts w:ascii="Times New Roman" w:hAnsi="Times New Roman"/>
          <w:color w:val="000000"/>
          <w:sz w:val="24"/>
        </w:rPr>
        <w:t>Executive shall be eligible to receive an annual equity award (the “</w:t>
      </w:r>
      <w:r>
        <w:rPr>
          <w:rFonts w:ascii="Times New Roman" w:hAnsi="Times New Roman"/>
          <w:color w:val="000000"/>
          <w:sz w:val="24"/>
          <w:u w:val="single"/>
        </w:rPr>
        <w:t>Annual Equity Award</w:t>
      </w:r>
      <w:r>
        <w:rPr>
          <w:color w:val="000000"/>
        </w:rPr>
        <w:t>”</w:t>
      </w:r>
      <w:r>
        <w:rPr>
          <w:rFonts w:ascii="Times New Roman" w:hAnsi="Times New Roman"/>
          <w:color w:val="000000"/>
          <w:sz w:val="24"/>
        </w:rPr>
        <w:t>) with a target value of $600,000 (the “</w:t>
      </w:r>
      <w:r>
        <w:rPr>
          <w:rFonts w:ascii="Times New Roman" w:hAnsi="Times New Roman"/>
          <w:color w:val="000000"/>
          <w:sz w:val="24"/>
          <w:u w:val="single"/>
        </w:rPr>
        <w:t>Target Equity Award</w:t>
      </w:r>
      <w:r>
        <w:rPr>
          <w:color w:val="000000"/>
        </w:rPr>
        <w:t>”</w:t>
      </w:r>
      <w:r>
        <w:rPr>
          <w:rFonts w:ascii="Times New Roman" w:hAnsi="Times New Roman"/>
          <w:color w:val="000000"/>
          <w:sz w:val="24"/>
        </w:rPr>
        <w:t>) with such value based on the fair market value of the Company’s common stock on the grant date of such equity award and an annual carried interest award (the “</w:t>
      </w:r>
      <w:r>
        <w:rPr>
          <w:rFonts w:ascii="Times New Roman" w:hAnsi="Times New Roman"/>
          <w:color w:val="000000"/>
          <w:sz w:val="24"/>
          <w:u w:val="single"/>
        </w:rPr>
        <w:t>Annual Carried Interest Award</w:t>
      </w:r>
      <w:r>
        <w:rPr>
          <w:color w:val="000000"/>
        </w:rPr>
        <w:t>”</w:t>
      </w:r>
      <w:r>
        <w:rPr>
          <w:rFonts w:ascii="Times New Roman" w:hAnsi="Times New Roman"/>
          <w:color w:val="000000"/>
          <w:sz w:val="24"/>
        </w:rPr>
        <w:t>) in the Company’s affiliated investment vehicles with a target value equal to $600,000 (the “</w:t>
      </w:r>
      <w:r>
        <w:rPr>
          <w:rFonts w:ascii="Times New Roman" w:hAnsi="Times New Roman"/>
          <w:color w:val="000000"/>
          <w:sz w:val="24"/>
          <w:u w:val="single"/>
        </w:rPr>
        <w:t>Target</w:t>
      </w:r>
      <w:r>
        <w:rPr>
          <w:color w:val="000000"/>
        </w:rPr>
        <w:t xml:space="preserve"> </w:t>
      </w:r>
      <w:r>
        <w:rPr>
          <w:rFonts w:ascii="Times New Roman" w:hAnsi="Times New Roman"/>
          <w:color w:val="000000"/>
          <w:sz w:val="24"/>
          <w:u w:val="single"/>
        </w:rPr>
        <w:t>Carried Interest Award</w:t>
      </w:r>
      <w:r>
        <w:rPr>
          <w:color w:val="000000"/>
        </w:rPr>
        <w:t>”</w:t>
      </w:r>
      <w:r>
        <w:rPr>
          <w:rFonts w:ascii="Times New Roman" w:hAnsi="Times New Roman"/>
          <w:color w:val="000000"/>
          <w:sz w:val="24"/>
        </w:rPr>
        <w:t xml:space="preserve">) with such value based upon a reasonable methodology consistent with targeted values described in the applicable investment vehicle offering materials of the Affiliated Entities and the Company’s practice generally for awarding carried interest to employees. The amount of the Annual Equity Award and Annual Carried Interest Award, if any, shall be determined by the Compensation Committee in its discretion. All awards shall be subject to the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terms and conditions of P10’s equity incentive plan or other applicable plan documents and any applicable award agreements. It is currently anticipated that Executive’s Target Equity Award shall be in the form of $500,000 of restricted stock units and $100,000 of stock options of P10. For avoidance of doubt, the Target Equity Award and Target Carried Interest Award for 2024 shall not be subject to pro-ration on account of Executive commencing employment after January 1, 2024. In order to be eligible to receive the Annual Equity Award and Annual Carried Interest Award (if any), Executive must be employed by the Company on the date of grant of annual equity awards and in “good standing.”</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be eligible to receive such other additional equity awards and incentive compensation in such amount, in such form, and on such terms as shall be determined by the Compensation Committee in its sole discretion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Benefits</w:t>
      </w:r>
      <w:r>
        <w:rPr>
          <w:rFonts w:ascii="Times New Roman" w:hAnsi="Times New Roman"/>
          <w:color w:val="000000"/>
          <w:sz w:val="24"/>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Vacation</w:t>
      </w:r>
      <w:r>
        <w:rPr>
          <w:rFonts w:ascii="Times New Roman" w:hAnsi="Times New Roman"/>
          <w:color w:val="000000"/>
          <w:sz w:val="24"/>
        </w:rPr>
        <w:t>. Executive shall be entitled to vacation in accordance with the Company’s standard vacation policy extended to executive officers of the Company.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Business Expenses</w:t>
      </w:r>
      <w:r>
        <w:rPr>
          <w:rFonts w:ascii="Times New Roman" w:hAnsi="Times New Roman"/>
          <w:color w:val="000000"/>
          <w:sz w:val="24"/>
        </w:rPr>
        <w:t>. Executive shall be reimbursed by the Company for all reasonable business, promotional, travel, and entertainment expenses incurred or paid by Executive during the Term in connection with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120" w:after="283"/>
        <w:jc w:val="left"/>
        <w:rPr/>
      </w:pPr>
      <w:r>
        <w:rPr>
          <w:rFonts w:ascii="Times New Roman" w:hAnsi="Times New Roman"/>
          <w:color w:val="000000"/>
          <w:sz w:val="24"/>
          <w:u w:val="single"/>
        </w:rPr>
        <w:t>Employment Period</w:t>
      </w:r>
      <w:r>
        <w:rPr>
          <w:rFonts w:ascii="Times New Roman" w:hAnsi="Times New Roman"/>
          <w:color w:val="000000"/>
          <w:sz w:val="24"/>
        </w:rPr>
        <w:t>. The terms set forth in this Agreement will commence on the Effective Date and remain in effect until the first anniversary of the Effective Date (the “</w:t>
      </w:r>
      <w:r>
        <w:rPr>
          <w:rFonts w:ascii="Times New Roman" w:hAnsi="Times New Roman"/>
          <w:color w:val="000000"/>
          <w:sz w:val="24"/>
          <w:u w:val="single"/>
        </w:rPr>
        <w:t>Initial</w:t>
      </w:r>
      <w:r>
        <w:rPr>
          <w:color w:val="000000"/>
        </w:rPr>
        <w:t xml:space="preserve"> </w:t>
      </w:r>
      <w:r>
        <w:rPr>
          <w:rFonts w:ascii="Times New Roman" w:hAnsi="Times New Roman"/>
          <w:color w:val="000000"/>
          <w:sz w:val="24"/>
          <w:u w:val="single"/>
        </w:rPr>
        <w:t>Term</w:t>
      </w:r>
      <w:r>
        <w:rPr>
          <w:color w:val="000000"/>
        </w:rPr>
        <w:t>”</w:t>
      </w:r>
      <w:r>
        <w:rPr>
          <w:rFonts w:ascii="Times New Roman" w:hAnsi="Times New Roman"/>
          <w:color w:val="000000"/>
          <w:sz w:val="24"/>
        </w:rPr>
        <w:t>) unless earlier terminated as provided in Section 4 of this Agreement. The Initial Term shall automatically renew for additional one (1) year periods (each a “</w:t>
      </w:r>
      <w:r>
        <w:rPr>
          <w:rFonts w:ascii="Times New Roman" w:hAnsi="Times New Roman"/>
          <w:color w:val="000000"/>
          <w:sz w:val="24"/>
          <w:u w:val="single"/>
        </w:rPr>
        <w:t>Renewal Term</w:t>
      </w:r>
      <w:r>
        <w:rPr>
          <w:color w:val="000000"/>
        </w:rPr>
        <w:t>”</w:t>
      </w:r>
      <w:r>
        <w:rPr>
          <w:rFonts w:ascii="Times New Roman" w:hAnsi="Times New Roman"/>
          <w:color w:val="000000"/>
          <w:sz w:val="24"/>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hAnsi="Times New Roman"/>
          <w:color w:val="000000"/>
          <w:sz w:val="24"/>
          <w:u w:val="single"/>
        </w:rPr>
        <w:t>Term</w:t>
      </w:r>
      <w:r>
        <w:rPr>
          <w:color w:val="000000"/>
        </w:rPr>
        <w:t xml:space="preserve">” </w:t>
      </w:r>
      <w:r>
        <w:rPr>
          <w:rFonts w:ascii="Times New Roman" w:hAnsi="Times New Roman"/>
          <w:color w:val="000000"/>
          <w:sz w:val="24"/>
        </w:rPr>
        <w:t>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120" w:after="283"/>
        <w:jc w:val="left"/>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By The Company For Cause</w:t>
      </w:r>
      <w:r>
        <w:rPr>
          <w:rFonts w:ascii="Times New Roman" w:hAnsi="Times New Roman"/>
          <w:color w:val="000000"/>
          <w:sz w:val="24"/>
        </w:rPr>
        <w:t>. At the election of the Company, Executive’s employment may be terminated for Cause (as defined below) immediately upon written notice to Executive.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that Executive:</w:t>
      </w:r>
    </w:p>
    <w:p>
      <w:pPr>
        <w:pStyle w:val="TextBody"/>
        <w:bidi w:val="0"/>
        <w:jc w:val="left"/>
        <w:rPr>
          <w:rFonts w:ascii="Times New Roman" w:hAnsi="Times New Roman"/>
          <w:color w:val="000000"/>
          <w:sz w:val="24"/>
        </w:rPr>
      </w:pPr>
      <w:r>
        <w:rPr>
          <w:rFonts w:ascii="Times New Roman" w:hAnsi="Times New Roman"/>
          <w:color w:val="000000"/>
          <w:sz w:val="24"/>
        </w:rPr>
        <w:t>(i) pleads “guilty” or “no contest” to or is indicted for or convicted of a felony under federal or state law or a crime under federal or state law which involves Executive’s fraud or dishonesty; (ii) in carrying out his duties, engages in conduct that constitutes gross negligence or willful misconduct; (iii)engages in misconduct that causes, or is reasonably likely to cause,material harm to the reputation or business of the Company or any Affiliated Entities or knowingly or 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On Account of Death or Disability of Executive</w:t>
      </w:r>
      <w:r>
        <w:rPr>
          <w:rFonts w:ascii="Times New Roman" w:hAnsi="Times New Roman"/>
          <w:color w:val="000000"/>
          <w:sz w:val="24"/>
        </w:rPr>
        <w:t>. Executive’s employment shall automatically terminate in the event of Executive’s death. At the election of the Company, Executive’s employment may be terminated on account of Executive’s Disability. For purposes of this Agreement, “</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Executive, by reason of any medically determinable physical or mental impairment, becomes unable to perform, with or without reasonable accommodation, the essential functions of his job hereunder and such incapacity has continued for a total of ninety (90) consecutive days or for any one hundred eighty (180) days in a period of three hundred sixty-five (365) consecutive days.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Termination By The Company Without Cause</w:t>
      </w:r>
      <w:r>
        <w:rPr>
          <w:rFonts w:ascii="Times New Roman" w:hAnsi="Times New Roman"/>
          <w:color w:val="000000"/>
          <w:sz w:val="24"/>
        </w:rPr>
        <w:t>. At the election of the Company, Executive’s employment may be terminated upon thirty (30) days’ written notice (provided, however, that the Company may elect to pay Executive for up to thirty (30) days in lieu of such written notice or portion thereof) to Executive for any other reason or for no reason at all (“</w:t>
      </w:r>
      <w:r>
        <w:rPr>
          <w:rFonts w:ascii="Times New Roman" w:hAnsi="Times New Roman"/>
          <w:color w:val="000000"/>
          <w:sz w:val="24"/>
          <w:u w:val="single"/>
        </w:rPr>
        <w:t>Without Cause</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Voluntary Termination by Executive</w:t>
      </w:r>
      <w:r>
        <w:rPr>
          <w:rFonts w:ascii="Times New Roman" w:hAnsi="Times New Roman"/>
          <w:color w:val="000000"/>
          <w:sz w:val="24"/>
        </w:rPr>
        <w:t>. Executive may terminate his employment hereunder at any time and for any reason whatsoever or for no reason at all in Executive’s sole discretion by giving thirty (30) days’ prior written notice (“</w:t>
      </w:r>
      <w:r>
        <w:rPr>
          <w:rFonts w:ascii="Times New Roman" w:hAnsi="Times New Roman"/>
          <w:color w:val="000000"/>
          <w:sz w:val="24"/>
          <w:u w:val="single"/>
        </w:rPr>
        <w:t>Voluntary Resignation</w:t>
      </w:r>
      <w:r>
        <w:rPr>
          <w:color w:val="000000"/>
        </w:rPr>
        <w:t>”</w:t>
      </w:r>
      <w:r>
        <w:rPr>
          <w:rFonts w:ascii="Times New Roman" w:hAnsi="Times New Roman"/>
          <w:color w:val="000000"/>
          <w:sz w:val="24"/>
        </w:rPr>
        <w:t>), which such notice may be waived or reduced by the Company in its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Termination by Executive For Good Reason</w:t>
      </w:r>
      <w:r>
        <w:rPr>
          <w:rFonts w:ascii="Times New Roman" w:hAnsi="Times New Roman"/>
          <w:color w:val="000000"/>
          <w:sz w:val="24"/>
        </w:rPr>
        <w:t>. Executive may terminate his employment for Good Reason (as defined and in accordance with the below). For purposes of this Agreement, “</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 xml:space="preserve">shall mean the occurrence of one of the following events, without Executive’s written consent: (i)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 (25) miles from Executive’s principal place of employment as of the Effective Date. Notwithstanding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foregoing, in order for Executive to terminate for Good Reason, (x)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(y) the Company must fail to correct such occurrence in all material respects within thirty (30) days following written notification by Executive and (z) Executive’s termination must be effective no later than thirty (30) days following the end of such cure period.</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Resignation of all Positions</w:t>
      </w:r>
      <w:r>
        <w:rPr>
          <w:rFonts w:ascii="Times New Roman" w:hAnsi="Times New Roman"/>
          <w:color w:val="000000"/>
          <w:sz w:val="24"/>
        </w:rPr>
        <w:t>. Effective as of any date of termination of Executive’s employment with the Company, Executive shall resign and be removed from, and shall no longer hold, any and all positions then held by him with the Company or any Affiliated Entities, including, but not limited to any position as an officer, director or fiduciary of any employee benefit plan of any Affiliated Entity or any affiliated investment funds and Executive agrees that he shall execute any documentation reasonably necessary to give effect to the provisions of this Section.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120" w:after="283"/>
        <w:jc w:val="left"/>
        <w:rPr/>
      </w:pPr>
      <w:r>
        <w:rPr>
          <w:rFonts w:ascii="Times New Roman" w:hAnsi="Times New Roman"/>
          <w:color w:val="000000"/>
          <w:sz w:val="24"/>
          <w:u w:val="single"/>
        </w:rPr>
        <w:t>Cooperation</w:t>
      </w:r>
      <w:r>
        <w:rPr>
          <w:rFonts w:ascii="Times New Roman" w:hAnsi="Times New Roman"/>
          <w:color w:val="000000"/>
          <w:sz w:val="24"/>
        </w:rPr>
        <w:t>. Following the termination of Executive’s employment with the Company, Executive agrees, without receiving additional compensation and upon reasonable notice, to cooperate fully with the Company, 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pre-approved travel and other similar out-of-pocket expenses incurred as a result of any such cooperation and shall take into consideration Executive’s other commitments and activities when scheduling such cooperation.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120" w:after="283"/>
        <w:jc w:val="left"/>
        <w:rPr/>
      </w:pPr>
      <w:r>
        <w:rPr>
          <w:rFonts w:ascii="Times New Roman" w:hAnsi="Times New Roman"/>
          <w:color w:val="000000"/>
          <w:sz w:val="24"/>
          <w:u w:val="single"/>
        </w:rPr>
        <w:t>Payments Upon Termination of Employment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for Cause, Death, Disability, or Voluntary Resignation</w:t>
      </w:r>
      <w:r>
        <w:rPr>
          <w:rFonts w:ascii="Times New Roman" w:hAnsi="Times New Roman"/>
          <w:color w:val="000000"/>
          <w:sz w:val="24"/>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Without Cause or Non-Renewal by the Company or by</w:t>
      </w:r>
      <w:r>
        <w:rPr>
          <w:color w:val="000000"/>
        </w:rPr>
        <w:t xml:space="preserve"> </w:t>
      </w:r>
      <w:r>
        <w:rPr>
          <w:rFonts w:ascii="Times New Roman" w:hAnsi="Times New Roman"/>
          <w:color w:val="000000"/>
          <w:sz w:val="24"/>
          <w:u w:val="single"/>
        </w:rPr>
        <w:t>Executive for Good Reason</w:t>
      </w:r>
      <w:r>
        <w:rPr>
          <w:rFonts w:ascii="Times New Roman" w:hAnsi="Times New Roman"/>
          <w:color w:val="000000"/>
          <w:sz w:val="24"/>
        </w:rPr>
        <w:t xml:space="preserve">. If the Company terminates Executive’s employment Without Cause, Executive’s employment ends at the end of the Term after the Company provides a notice of non-renewal (and Executive does not commit an act of Cause prior to such date), or Executive terminates his employment for Good Reason, in addition to the Accrued Obligations, the Company shall provide Executive the following: (i) a severance payment, payable in a lump sum, equal to twelve (12) months of Executive’s Base Salary; (ii) a payment, payable in a lump sum, equal to the Target Annual Bonus; (iii) reimbursement for Executive’s cost of COBRA premiums for health insurance continuation coverage (to the extent such premiums exceed the contributory cost for the same coverage that the Company charges active employees) for twelve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(12) months or until his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and each of their respective officers, directors, employees, agents, successors and assigns in a form satisfactory to the Company. All payments under this Section shall be made or begin to be made within sixty (60) 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 day after the date of Executive’s termination. Notwithstanding the foregoing, if the Company terminates Executive’s employment Without Cause, Executive’s employment ends at the end of the Term after the Company provides a notice of non-renewal, or Executive terminates his employment for Good Reason, either (x) during a period of time when the Company is party to a fully executed letter of intent or a definitive corporate transaction agreement, the consummation of which would result in a Change in Control (defined below) or (y) within eighteen months following a Change in Control, then the severance payment under (i) shall equal the equivalent of eighteen (18) months of Base Salary and the reimbursement under (iii) shall continue for eighteen (18) months.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equity awards.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Change in Control</w:t>
      </w:r>
      <w:r>
        <w:rPr>
          <w:rFonts w:ascii="Times New Roman" w:hAnsi="Times New Roman"/>
          <w:color w:val="000000"/>
          <w:sz w:val="24"/>
        </w:rPr>
        <w:t>. For purposes of this Agreement, “</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shall be deemed to have occurred if: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whose election or nomination for election was previously so approved, cease for any reason to constitute a majority thereof;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shareholders of P10 approve a plan of complete liquidation of P10 or an agreement for the sale or disposition by P10 of all or substantially all of P10’s assets. 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120" w:after="283"/>
        <w:jc w:val="left"/>
        <w:rPr/>
      </w:pPr>
      <w:r>
        <w:rPr>
          <w:rFonts w:ascii="Times New Roman" w:hAnsi="Times New Roman"/>
          <w:color w:val="000000"/>
          <w:sz w:val="24"/>
          <w:u w:val="single"/>
        </w:rPr>
        <w:t>Restrictive Covenants</w:t>
      </w:r>
      <w:r>
        <w:rPr>
          <w:rFonts w:ascii="Times New Roman" w:hAnsi="Times New Roman"/>
          <w:color w:val="000000"/>
          <w:sz w:val="24"/>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Non-Disclosure of Confidential Information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pPr>
      <w:r>
        <w:rPr>
          <w:rFonts w:ascii="Times New Roman" w:hAnsi="Times New Roman"/>
          <w:color w:val="000000"/>
          <w:sz w:val="24"/>
        </w:rPr>
        <w:t>Executive understands that during his employment, 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designs,including information disclosed to the Company or any Affiliated Entities by others under agreements to hold such information confidential (collectively, the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Executive agrees to observe all policies and procedures of the Company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or the Affiliated Entities. Executive’s obligations under this Agreement will continue with respect to Confidential Information, whether or not his employment is terminated, until such information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he first notifies the Company of such subpoena, order or other requirement and such that the Company or the Affiliated Entity has the opportunity to obtain a protective order or other appropriate remedy.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his possession, custody or control.</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Non-Solicitation and Non-Competition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 (3) Executive shall be given access to and training regarding Confidential Information as well as knowledge of the Company’s and Affiliated Entities’ current and prospective clients, clients, vendors and suppliers.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Executive’s employment with the Company and work for the Affiliated Entities, and for twelve (12) months following the termination thereof for any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4"/>
        </w:rPr>
        <w:t>reason (the “</w:t>
      </w:r>
      <w:r>
        <w:rPr>
          <w:rFonts w:ascii="Times New Roman" w:hAnsi="Times New Roman"/>
          <w:color w:val="000000"/>
          <w:sz w:val="24"/>
          <w:u w:val="single"/>
        </w:rPr>
        <w:t>Non-Solicit Restricted Period</w:t>
      </w:r>
      <w:r>
        <w:rPr>
          <w:color w:val="000000"/>
        </w:rPr>
        <w:t>”</w:t>
      </w:r>
      <w:r>
        <w:rPr>
          <w:rFonts w:ascii="Times New Roman" w:hAnsi="Times New Roman"/>
          <w:color w:val="000000"/>
          <w:sz w:val="24"/>
        </w:rPr>
        <w:t>), Executive shall not solicit for business or accept the business of, any person or entity who is, or was at any time, a Client (as defined below) of the Company or any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Throughout the Non-Solicit Restricted Period, Executive shall not take any action that could reasonably be expected to have the effect of encouraging or inducing any employee, consultant, representative, officer, or director of the Company or any Affiliated Entities to cease their relationship with the Company or any Affiliated Entities for any reason.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120" w:after="283"/>
        <w:jc w:val="left"/>
        <w:rPr/>
      </w:pPr>
      <w:r>
        <w:rPr>
          <w:rFonts w:ascii="Times New Roman" w:hAnsi="Times New Roman"/>
          <w:color w:val="000000"/>
          <w:sz w:val="24"/>
        </w:rPr>
        <w:t>During the Term and for six (6) months following the termination of Executive’s employment for any reason (the “</w:t>
      </w:r>
      <w:r>
        <w:rPr>
          <w:rFonts w:ascii="Times New Roman" w:hAnsi="Times New Roman"/>
          <w:color w:val="000000"/>
          <w:sz w:val="24"/>
          <w:u w:val="single"/>
        </w:rPr>
        <w:t>Non-Compete Restricted Period</w:t>
      </w:r>
      <w:r>
        <w:rPr>
          <w:color w:val="000000"/>
        </w:rPr>
        <w:t xml:space="preserve">” </w:t>
      </w:r>
      <w:r>
        <w:rPr>
          <w:rFonts w:ascii="Times New Roman" w:hAnsi="Times New Roman"/>
          <w:color w:val="000000"/>
          <w:sz w:val="24"/>
        </w:rPr>
        <w:t>and together with the Non-Solicit Restricted Period, the “</w:t>
      </w:r>
      <w:r>
        <w:rPr>
          <w:rFonts w:ascii="Times New Roman" w:hAnsi="Times New Roman"/>
          <w:color w:val="000000"/>
          <w:sz w:val="24"/>
          <w:u w:val="single"/>
        </w:rPr>
        <w:t>Restricted Period</w:t>
      </w:r>
      <w:r>
        <w:rPr>
          <w:color w:val="000000"/>
        </w:rPr>
        <w:t>”</w:t>
      </w:r>
      <w:r>
        <w:rPr>
          <w:rFonts w:ascii="Times New Roman" w:hAnsi="Times New Roman"/>
          <w:color w:val="000000"/>
          <w:sz w:val="24"/>
        </w:rPr>
        <w:t>), Executive will not anywhere in the United States (1) carry on or engage in, directly or indirectly, any business, partnership, firm, corporation or other entity which wholly or in any significant part engages in any business competing with the Company or any Affiliated Entity (“</w:t>
      </w:r>
      <w:r>
        <w:rPr>
          <w:rFonts w:ascii="Times New Roman" w:hAnsi="Times New Roman"/>
          <w:color w:val="000000"/>
          <w:sz w:val="24"/>
          <w:u w:val="single"/>
        </w:rPr>
        <w:t>Competing Business</w:t>
      </w:r>
      <w:r>
        <w:rPr>
          <w:color w:val="000000"/>
        </w:rPr>
        <w:t>”</w:t>
      </w:r>
      <w:r>
        <w:rPr>
          <w:rFonts w:ascii="Times New Roman" w:hAnsi="Times New Roman"/>
          <w:color w:val="000000"/>
          <w:sz w:val="24"/>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over-the-counter market by a member of a national securities exchange, without violating the provisions of this Section, provided that Executive does not have the power, directly or indirectly, to control or direct the management or affairs of any such corporation and is not involved in the management of such corporation.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120" w:after="283"/>
        <w:jc w:val="left"/>
        <w:rPr/>
      </w:pPr>
      <w:r>
        <w:rPr>
          <w:rFonts w:ascii="Times New Roman" w:hAnsi="Times New Roman"/>
          <w:color w:val="000000"/>
          <w:sz w:val="24"/>
        </w:rPr>
        <w:t>For purposes of this Agreement, the term “</w:t>
      </w:r>
      <w:r>
        <w:rPr>
          <w:rFonts w:ascii="Times New Roman" w:hAnsi="Times New Roman"/>
          <w:color w:val="000000"/>
          <w:sz w:val="24"/>
          <w:u w:val="single"/>
        </w:rPr>
        <w:t>Client(s)</w:t>
      </w:r>
      <w:r>
        <w:rPr>
          <w:color w:val="000000"/>
        </w:rPr>
        <w:t xml:space="preserve">” </w:t>
      </w:r>
      <w:r>
        <w:rPr>
          <w:rFonts w:ascii="Times New Roman" w:hAnsi="Times New Roman"/>
          <w:color w:val="000000"/>
          <w:sz w:val="24"/>
        </w:rPr>
        <w:t>shall mean any individual, corporation, partnership, business, or other entity, whether for-profit or not-for-profit, public, privately held, or owned by the United States government that is a business entity or individual with whom the Company or any Affiliated Entity has done business or with whom Executive has actively negotiated with during the twelve (12) month period preceding Executive’s termination of employment.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understands and agrees that the restrictions contained herein may limit his ability to engage in a business similar to the business of the Company and the Affiliated Entities. The Company and Executive believe the limitations as to time,geographic area, and scope of activity contained in this Section 6(b) are reasonable and do not impose a greater restraint than necessary to protect the Company’s and Affiliated Entities’ Confidential Information, goodwill, and legitimate business interests.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If any covenant, provision, agreement or part thereof contained herein is found by a court having jurisdiction to be unreasonable in duration, geographic scope, or character of restrictions, such covenant, provision, agreement or part thereof shall not be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the event Executive breaches the restrictive covenants set forth in this Section 6(b), then the running of the Restricted Period shall be tolled and suspended during the time period in which Executive acts in breach of this Agreement.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pStyle w:val="TextBody"/>
        <w:bidi w:val="0"/>
        <w:spacing w:before="120" w:after="283"/>
        <w:jc w:val="left"/>
        <w:rPr>
          <w:rFonts w:ascii="Times New Roman" w:hAnsi="Times New Roman"/>
          <w:sz w:val="20"/>
        </w:rPr>
      </w:pPr>
      <w:r>
        <w:rPr>
          <w:rFonts w:ascii="Times New Roman" w:hAnsi="Times New Roman"/>
          <w:color w:val="000000"/>
          <w:sz w:val="24"/>
        </w:rPr>
        <w:t>7.</w:t>
      </w:r>
      <w:r>
        <w:rPr>
          <w:rFonts w:ascii="Times New Roman" w:hAnsi="Times New Roman"/>
          <w:color w:val="000000"/>
          <w:sz w:val="20"/>
        </w:rPr>
        <w:t xml:space="preserve"> </w:t>
      </w:r>
      <w:r>
        <w:rPr>
          <w:rFonts w:ascii="Times New Roman" w:hAnsi="Times New Roman"/>
          <w:color w:val="000000"/>
          <w:sz w:val="24"/>
          <w:u w:val="single"/>
        </w:rPr>
        <w:t>Representations, Warranties and Covenants</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No Restrictive Covenants</w:t>
      </w:r>
      <w:r>
        <w:rPr>
          <w:rFonts w:ascii="Times New Roman" w:hAnsi="Times New Roman"/>
          <w:color w:val="000000"/>
          <w:sz w:val="24"/>
        </w:rPr>
        <w:t>. Executive represents and warrants to the Company that he is not subject to any agreement restricting his ability to enter into this Agreement and fully carry out his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u w:val="single"/>
        </w:rPr>
        <w:t>Adherence to Code of Ethics and Insider Trading Policy</w:t>
      </w:r>
      <w:r>
        <w:rPr>
          <w:rFonts w:ascii="Times New Roman" w:hAnsi="Times New Roman"/>
          <w:color w:val="000000"/>
          <w:sz w:val="24"/>
        </w:rPr>
        <w:t>. Executive represents and warrants that 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pStyle w:val="TextBody"/>
        <w:bidi w:val="0"/>
        <w:spacing w:before="120" w:after="283"/>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u w:val="single"/>
        </w:rPr>
        <w:t>Assignment of Intellectual Property</w:t>
      </w:r>
      <w:r>
        <w:rPr>
          <w:rFonts w:ascii="Times New Roman" w:hAnsi="Times New Roman"/>
          <w:color w:val="000000"/>
          <w:sz w:val="24"/>
        </w:rPr>
        <w:t>.</w:t>
      </w:r>
    </w:p>
    <w:p>
      <w:pPr>
        <w:pStyle w:val="TextBody"/>
        <w:bidi w:val="0"/>
        <w:spacing w:before="120" w:after="283"/>
        <w:jc w:val="left"/>
        <w:rPr>
          <w:rFonts w:ascii="Times New Roman" w:hAnsi="Times New Roman"/>
          <w:sz w:val="20"/>
        </w:rPr>
      </w:pPr>
      <w:r>
        <w:rPr>
          <w:rFonts w:ascii="Times New Roman" w:hAnsi="Times New Roman"/>
          <w:color w:val="000000"/>
          <w:sz w:val="24"/>
        </w:rPr>
        <w:t>(i)</w:t>
      </w:r>
      <w:r>
        <w:rPr>
          <w:rFonts w:ascii="Times New Roman" w:hAnsi="Times New Roman"/>
          <w:color w:val="000000"/>
          <w:sz w:val="20"/>
        </w:rPr>
        <w:t xml:space="preserve"> </w:t>
      </w:r>
      <w:r>
        <w:rPr>
          <w:rFonts w:ascii="Times New Roman" w:hAnsi="Times New Roman"/>
          <w:color w:val="000000"/>
          <w:sz w:val="24"/>
        </w:rPr>
        <w:t>Executive will promptly disclose to the Company any idea, invention, discovery or improvement, whether patentable or not (“</w:t>
      </w:r>
      <w:r>
        <w:rPr>
          <w:rFonts w:ascii="Times New Roman" w:hAnsi="Times New Roman"/>
          <w:color w:val="000000"/>
          <w:sz w:val="24"/>
          <w:u w:val="single"/>
        </w:rPr>
        <w:t>Creations</w:t>
      </w:r>
      <w:r>
        <w:rPr>
          <w:rFonts w:ascii="Times New Roman" w:hAnsi="Times New Roman"/>
          <w:color w:val="000000"/>
          <w:sz w:val="20"/>
        </w:rPr>
        <w:t>”</w:t>
      </w:r>
      <w:r>
        <w:rPr>
          <w:rFonts w:ascii="Times New Roman" w:hAnsi="Times New Roman"/>
          <w:color w:val="000000"/>
          <w:sz w:val="24"/>
        </w:rPr>
        <w:t>), conceived or made by him alone or with others at any time during his employment with the Company or while providing services to the Company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equipment, supplies,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facilities, and/or Confidential Information (“</w:t>
      </w:r>
      <w:r>
        <w:rPr>
          <w:rFonts w:ascii="Times New Roman" w:hAnsi="Times New Roman"/>
          <w:color w:val="000000"/>
          <w:sz w:val="24"/>
          <w:u w:val="single"/>
        </w:rPr>
        <w:t>Executive Creations</w:t>
      </w:r>
      <w:r>
        <w:rPr>
          <w:rFonts w:ascii="Times New Roman" w:hAnsi="Times New Roman"/>
          <w:color w:val="000000"/>
          <w:sz w:val="20"/>
        </w:rPr>
        <w:t>”</w:t>
      </w:r>
      <w:r>
        <w:rPr>
          <w:rFonts w:ascii="Times New Roman" w:hAnsi="Times New Roman"/>
          <w:color w:val="000000"/>
          <w:sz w:val="24"/>
        </w:rPr>
        <w:t>) unless such Creation(i) relates in any way to the business or to the current or anticipated research or development of the Company or any of the Affiliated Entities, or (ii) results in any way from his work at the Company or for any of the Affiliated Entities.</w:t>
      </w:r>
    </w:p>
    <w:p>
      <w:pPr>
        <w:pStyle w:val="TextBody"/>
        <w:bidi w:val="0"/>
        <w:spacing w:before="120" w:after="283"/>
        <w:jc w:val="left"/>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pStyle w:val="TextBody"/>
        <w:bidi w:val="0"/>
        <w:spacing w:before="120" w:after="283"/>
        <w:jc w:val="left"/>
        <w:rPr>
          <w:rFonts w:ascii="Times New Roman" w:hAnsi="Times New Roman"/>
          <w:sz w:val="20"/>
        </w:rPr>
      </w:pPr>
      <w:r>
        <w:rPr>
          <w:rFonts w:ascii="Times New Roman" w:hAnsi="Times New Roman"/>
          <w:color w:val="000000"/>
          <w:sz w:val="24"/>
        </w:rPr>
        <w:t>(iii)</w:t>
      </w:r>
      <w:r>
        <w:rPr>
          <w:rFonts w:ascii="Times New Roman" w:hAnsi="Times New Roman"/>
          <w:color w:val="000000"/>
          <w:sz w:val="20"/>
        </w:rPr>
        <w:t xml:space="preserve"> </w:t>
      </w:r>
      <w:r>
        <w:rPr>
          <w:rFonts w:ascii="Times New Roman" w:hAnsi="Times New Roman"/>
          <w:color w:val="000000"/>
          <w:sz w:val="24"/>
        </w:rPr>
        <w:t>Executive agrees to reasonably cooperate with the Company and the Affiliated Entities, both during and after his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his agent and attorney-in-fact, and Executive hereby irrevocably designates and appoints each officer of the Company or an Affiliated Entity as his agent and attorney-in-fact to execute any such papers on his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pStyle w:val="TextBody"/>
        <w:bidi w:val="0"/>
        <w:spacing w:before="120" w:after="283"/>
        <w:jc w:val="left"/>
        <w:rPr>
          <w:rFonts w:ascii="Times New Roman" w:hAnsi="Times New Roman"/>
          <w:sz w:val="20"/>
        </w:rPr>
      </w:pPr>
      <w:r>
        <w:rPr>
          <w:rFonts w:ascii="Times New Roman" w:hAnsi="Times New Roman"/>
          <w:color w:val="000000"/>
          <w:sz w:val="24"/>
        </w:rPr>
        <w:t>8.</w:t>
      </w:r>
      <w:r>
        <w:rPr>
          <w:rFonts w:ascii="Times New Roman" w:hAnsi="Times New Roman"/>
          <w:color w:val="000000"/>
          <w:sz w:val="20"/>
        </w:rPr>
        <w:t xml:space="preserve"> </w:t>
      </w:r>
      <w:r>
        <w:rPr>
          <w:rFonts w:ascii="Times New Roman" w:hAnsi="Times New Roman"/>
          <w:color w:val="000000"/>
          <w:sz w:val="24"/>
          <w:u w:val="single"/>
        </w:rPr>
        <w:t>Remedies</w:t>
      </w:r>
      <w:r>
        <w:rPr>
          <w:rFonts w:ascii="Times New Roman" w:hAnsi="Times New Roman"/>
          <w:color w:val="000000"/>
          <w:sz w:val="24"/>
        </w:rPr>
        <w:t>.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pStyle w:val="TextBody"/>
        <w:bidi w:val="0"/>
        <w:spacing w:before="120" w:after="283"/>
        <w:jc w:val="left"/>
        <w:rPr>
          <w:rFonts w:ascii="Times New Roman" w:hAnsi="Times New Roman"/>
          <w:sz w:val="20"/>
        </w:rPr>
      </w:pPr>
      <w:r>
        <w:rPr>
          <w:rFonts w:ascii="Times New Roman" w:hAnsi="Times New Roman"/>
          <w:color w:val="000000"/>
          <w:sz w:val="24"/>
        </w:rPr>
        <w:t>9.</w:t>
      </w:r>
      <w:r>
        <w:rPr>
          <w:rFonts w:ascii="Times New Roman" w:hAnsi="Times New Roman"/>
          <w:color w:val="000000"/>
          <w:sz w:val="20"/>
        </w:rPr>
        <w:t xml:space="preserve"> </w:t>
      </w:r>
      <w:r>
        <w:rPr>
          <w:rFonts w:ascii="Times New Roman" w:hAnsi="Times New Roman"/>
          <w:color w:val="000000"/>
          <w:sz w:val="24"/>
          <w:u w:val="single"/>
        </w:rPr>
        <w:t>Waiver of Breach</w:t>
      </w:r>
      <w:r>
        <w:rPr>
          <w:rFonts w:ascii="Times New Roman" w:hAnsi="Times New Roman"/>
          <w:color w:val="000000"/>
          <w:sz w:val="24"/>
        </w:rPr>
        <w:t>. The waiver by either the Company or Executive of a breach of any provision of this Agreement shall not operate as or be deemed a waiver of any subsequent breach by either the Company or Executive. Any waiver must be in writing.</w:t>
      </w:r>
    </w:p>
    <w:p>
      <w:pPr>
        <w:pStyle w:val="TextBody"/>
        <w:bidi w:val="0"/>
        <w:spacing w:before="120" w:after="283"/>
        <w:jc w:val="left"/>
        <w:rPr>
          <w:rFonts w:ascii="Times New Roman" w:hAnsi="Times New Roman"/>
          <w:sz w:val="20"/>
        </w:rPr>
      </w:pPr>
      <w:r>
        <w:rPr>
          <w:rFonts w:ascii="Times New Roman" w:hAnsi="Times New Roman"/>
          <w:color w:val="000000"/>
          <w:sz w:val="24"/>
        </w:rPr>
        <w:t>10.</w:t>
      </w:r>
      <w:r>
        <w:rPr>
          <w:rFonts w:ascii="Times New Roman" w:hAnsi="Times New Roman"/>
          <w:color w:val="000000"/>
          <w:sz w:val="20"/>
        </w:rPr>
        <w:t xml:space="preserve"> </w:t>
      </w:r>
      <w:r>
        <w:rPr>
          <w:rFonts w:ascii="Times New Roman" w:hAnsi="Times New Roman"/>
          <w:color w:val="000000"/>
          <w:sz w:val="24"/>
          <w:u w:val="single"/>
        </w:rPr>
        <w:t>Notice</w:t>
      </w:r>
      <w:r>
        <w:rPr>
          <w:rFonts w:ascii="Times New Roman" w:hAnsi="Times New Roman"/>
          <w:color w:val="000000"/>
          <w:sz w:val="24"/>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to Executive: At the address (or to the email or facsimile number) shown in the books and records of the Company.</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to the Company addressed as follows:</w:t>
      </w:r>
    </w:p>
    <w:p>
      <w:pPr>
        <w:pStyle w:val="TextBody"/>
        <w:bidi w:val="0"/>
        <w:spacing w:before="120" w:after="283"/>
        <w:jc w:val="left"/>
        <w:rPr>
          <w:rFonts w:ascii="Times New Roman" w:hAnsi="Times New Roman"/>
          <w:sz w:val="20"/>
        </w:rPr>
      </w:pPr>
      <w:r>
        <w:rPr>
          <w:rFonts w:ascii="Times New Roman" w:hAnsi="Times New Roman"/>
          <w:color w:val="000000"/>
          <w:sz w:val="24"/>
        </w:rPr>
        <w:t>P10 Intermediate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4514 Cole Avenue, Suite 1600</w:t>
      </w:r>
    </w:p>
    <w:p>
      <w:pPr>
        <w:pStyle w:val="TextBody"/>
        <w:bidi w:val="0"/>
        <w:jc w:val="left"/>
        <w:rPr>
          <w:rFonts w:ascii="Times New Roman" w:hAnsi="Times New Roman"/>
          <w:color w:val="000000"/>
          <w:sz w:val="24"/>
        </w:rPr>
      </w:pPr>
      <w:r>
        <w:rPr>
          <w:rFonts w:ascii="Times New Roman" w:hAnsi="Times New Roman"/>
          <w:color w:val="000000"/>
          <w:sz w:val="24"/>
        </w:rPr>
        <w:t>Dallas, TX 75205</w:t>
      </w:r>
    </w:p>
    <w:p>
      <w:pPr>
        <w:pStyle w:val="TextBody"/>
        <w:bidi w:val="0"/>
        <w:jc w:val="left"/>
        <w:rPr>
          <w:rFonts w:ascii="Times New Roman" w:hAnsi="Times New Roman"/>
          <w:color w:val="000000"/>
          <w:sz w:val="24"/>
        </w:rPr>
      </w:pPr>
      <w:r>
        <w:rPr>
          <w:rFonts w:ascii="Times New Roman" w:hAnsi="Times New Roman"/>
          <w:color w:val="000000"/>
          <w:sz w:val="24"/>
        </w:rPr>
        <w:t>Attention: Chief Executive Officer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with copies to (which shall not constitute notice):</w:t>
      </w:r>
    </w:p>
    <w:p>
      <w:pPr>
        <w:pStyle w:val="TextBody"/>
        <w:bidi w:val="0"/>
        <w:spacing w:before="120" w:after="283"/>
        <w:jc w:val="left"/>
        <w:rPr>
          <w:rFonts w:ascii="Times New Roman" w:hAnsi="Times New Roman"/>
          <w:sz w:val="20"/>
        </w:rPr>
      </w:pPr>
      <w:r>
        <w:rPr>
          <w:rFonts w:ascii="Times New Roman" w:hAnsi="Times New Roman"/>
          <w:color w:val="000000"/>
          <w:sz w:val="24"/>
        </w:rPr>
        <w:t>Kramer Levin Naftalis &amp; Frankel LLP</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1177 Avenue of the Americas</w:t>
      </w:r>
    </w:p>
    <w:p>
      <w:pPr>
        <w:pStyle w:val="TextBody"/>
        <w:bidi w:val="0"/>
        <w:jc w:val="left"/>
        <w:rPr>
          <w:rFonts w:ascii="Times New Roman" w:hAnsi="Times New Roman"/>
          <w:sz w:val="20"/>
        </w:rPr>
      </w:pPr>
      <w:r>
        <w:rPr>
          <w:rFonts w:ascii="Times New Roman" w:hAnsi="Times New Roman"/>
          <w:color w:val="000000"/>
          <w:sz w:val="24"/>
        </w:rPr>
        <w:t>New York, New York 10036</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Attention: Todd Lenson</w:t>
      </w:r>
    </w:p>
    <w:p>
      <w:pPr>
        <w:pStyle w:val="TextBody"/>
        <w:bidi w:val="0"/>
        <w:spacing w:before="120" w:after="283"/>
        <w:jc w:val="left"/>
        <w:rPr>
          <w:rFonts w:ascii="Times New Roman" w:hAnsi="Times New Roman"/>
          <w:sz w:val="20"/>
        </w:rPr>
      </w:pPr>
      <w:r>
        <w:rPr>
          <w:rFonts w:ascii="Times New Roman" w:hAnsi="Times New Roman"/>
          <w:color w:val="000000"/>
          <w:sz w:val="24"/>
          <w:u w:val="single"/>
        </w:rPr>
        <w:t>11.</w:t>
      </w:r>
      <w:r>
        <w:rPr>
          <w:rFonts w:ascii="Times New Roman" w:hAnsi="Times New Roman"/>
          <w:color w:val="000000"/>
          <w:sz w:val="20"/>
        </w:rPr>
        <w:t xml:space="preserve"> </w:t>
      </w:r>
      <w:r>
        <w:rPr>
          <w:rFonts w:ascii="Times New Roman" w:hAnsi="Times New Roman"/>
          <w:color w:val="000000"/>
          <w:sz w:val="24"/>
          <w:u w:val="single"/>
        </w:rPr>
        <w:t>Amendment</w:t>
      </w:r>
      <w:r>
        <w:rPr>
          <w:rFonts w:ascii="Times New Roman" w:hAnsi="Times New Roman"/>
          <w:color w:val="000000"/>
          <w:sz w:val="24"/>
        </w:rPr>
        <w:t>. This Agreement may not be amended orally in any manner or in writing without the written consent of the Company and Executive. No provision of this Agreement may be waived, delayed, modified, terminated, or otherwise impaired without the prior written consent of the Company and Executive.</w:t>
      </w:r>
    </w:p>
    <w:p>
      <w:pPr>
        <w:pStyle w:val="TextBody"/>
        <w:bidi w:val="0"/>
        <w:spacing w:before="120" w:after="283"/>
        <w:jc w:val="left"/>
        <w:rPr>
          <w:rFonts w:ascii="Times New Roman" w:hAnsi="Times New Roman"/>
          <w:sz w:val="20"/>
        </w:rPr>
      </w:pPr>
      <w:r>
        <w:rPr>
          <w:rFonts w:ascii="Times New Roman" w:hAnsi="Times New Roman"/>
          <w:color w:val="000000"/>
          <w:sz w:val="24"/>
        </w:rPr>
        <w:t>12.</w:t>
      </w:r>
      <w:r>
        <w:rPr>
          <w:rFonts w:ascii="Times New Roman" w:hAnsi="Times New Roman"/>
          <w:color w:val="000000"/>
          <w:sz w:val="20"/>
        </w:rPr>
        <w:t xml:space="preserve"> </w:t>
      </w:r>
      <w:r>
        <w:rPr>
          <w:rFonts w:ascii="Times New Roman" w:hAnsi="Times New Roman"/>
          <w:color w:val="000000"/>
          <w:sz w:val="24"/>
          <w:u w:val="single"/>
        </w:rPr>
        <w:t>Entire Agreement</w:t>
      </w:r>
      <w:r>
        <w:rPr>
          <w:rFonts w:ascii="Times New Roman" w:hAnsi="Times New Roman"/>
          <w:color w:val="000000"/>
          <w:sz w:val="24"/>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w:t>
      </w:r>
    </w:p>
    <w:p>
      <w:pPr>
        <w:pStyle w:val="TextBody"/>
        <w:bidi w:val="0"/>
        <w:spacing w:before="120" w:after="283"/>
        <w:jc w:val="left"/>
        <w:rPr>
          <w:rFonts w:ascii="Times New Roman" w:hAnsi="Times New Roman"/>
          <w:sz w:val="20"/>
        </w:rPr>
      </w:pPr>
      <w:r>
        <w:rPr>
          <w:rFonts w:ascii="Times New Roman" w:hAnsi="Times New Roman"/>
          <w:color w:val="000000"/>
          <w:sz w:val="24"/>
        </w:rPr>
        <w:t>13.</w:t>
      </w:r>
      <w:r>
        <w:rPr>
          <w:rFonts w:ascii="Times New Roman" w:hAnsi="Times New Roman"/>
          <w:color w:val="000000"/>
          <w:sz w:val="20"/>
        </w:rPr>
        <w:t xml:space="preserve"> </w:t>
      </w:r>
      <w:r>
        <w:rPr>
          <w:rFonts w:ascii="Times New Roman" w:hAnsi="Times New Roman"/>
          <w:color w:val="000000"/>
          <w:sz w:val="24"/>
          <w:u w:val="single"/>
        </w:rPr>
        <w:t>Survival</w:t>
      </w:r>
      <w:r>
        <w:rPr>
          <w:rFonts w:ascii="Times New Roman" w:hAnsi="Times New Roman"/>
          <w:color w:val="000000"/>
          <w:sz w:val="24"/>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pStyle w:val="TextBody"/>
        <w:bidi w:val="0"/>
        <w:spacing w:before="120" w:after="283"/>
        <w:jc w:val="left"/>
        <w:rPr>
          <w:rFonts w:ascii="Times New Roman" w:hAnsi="Times New Roman"/>
          <w:sz w:val="20"/>
        </w:rPr>
      </w:pPr>
      <w:r>
        <w:rPr>
          <w:rFonts w:ascii="Times New Roman" w:hAnsi="Times New Roman"/>
          <w:color w:val="000000"/>
          <w:sz w:val="24"/>
        </w:rPr>
        <w:t>14.</w:t>
      </w:r>
      <w:r>
        <w:rPr>
          <w:rFonts w:ascii="Times New Roman" w:hAnsi="Times New Roman"/>
          <w:color w:val="000000"/>
          <w:sz w:val="20"/>
        </w:rPr>
        <w:t xml:space="preserve"> </w:t>
      </w:r>
      <w:r>
        <w:rPr>
          <w:rFonts w:ascii="Times New Roman" w:hAnsi="Times New Roman"/>
          <w:color w:val="000000"/>
          <w:sz w:val="24"/>
          <w:u w:val="single"/>
        </w:rPr>
        <w:t>Governing Law</w:t>
      </w:r>
      <w:r>
        <w:rPr>
          <w:rFonts w:ascii="Times New Roman" w:hAnsi="Times New Roman"/>
          <w:color w:val="000000"/>
          <w:sz w:val="24"/>
        </w:rPr>
        <w:t>. The provisions of this Agreement shall be construed in accordance with the laws of the State of Texas, without regard to conflict of law principles that would result in the application of any law other than the law of the State of Texas.</w:t>
      </w:r>
    </w:p>
    <w:p>
      <w:pPr>
        <w:pStyle w:val="TextBody"/>
        <w:bidi w:val="0"/>
        <w:spacing w:before="120" w:after="283"/>
        <w:jc w:val="left"/>
        <w:rPr>
          <w:rFonts w:ascii="Times New Roman" w:hAnsi="Times New Roman"/>
          <w:sz w:val="20"/>
        </w:rPr>
      </w:pPr>
      <w:r>
        <w:rPr>
          <w:rFonts w:ascii="Times New Roman" w:hAnsi="Times New Roman"/>
          <w:color w:val="000000"/>
          <w:sz w:val="24"/>
        </w:rPr>
        <w:t>15.</w:t>
      </w:r>
      <w:r>
        <w:rPr>
          <w:rFonts w:ascii="Times New Roman" w:hAnsi="Times New Roman"/>
          <w:color w:val="000000"/>
          <w:sz w:val="20"/>
        </w:rPr>
        <w:t xml:space="preserve"> </w:t>
      </w:r>
      <w:r>
        <w:rPr>
          <w:rFonts w:ascii="Times New Roman" w:hAnsi="Times New Roman"/>
          <w:color w:val="000000"/>
          <w:sz w:val="24"/>
          <w:u w:val="single"/>
        </w:rPr>
        <w:t>Assignment; Successors and Assigns, etc</w:t>
      </w:r>
      <w:r>
        <w:rPr>
          <w:rFonts w:ascii="Times New Roman" w:hAnsi="Times New Roman"/>
          <w:color w:val="000000"/>
          <w:sz w:val="24"/>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w:t>
      </w:r>
    </w:p>
    <w:p>
      <w:pPr>
        <w:pStyle w:val="TextBody"/>
        <w:bidi w:val="0"/>
        <w:spacing w:before="120" w:after="283"/>
        <w:jc w:val="left"/>
        <w:rPr>
          <w:rFonts w:ascii="Times New Roman" w:hAnsi="Times New Roman"/>
          <w:sz w:val="20"/>
        </w:rPr>
      </w:pPr>
      <w:r>
        <w:rPr>
          <w:rFonts w:ascii="Times New Roman" w:hAnsi="Times New Roman"/>
          <w:color w:val="000000"/>
          <w:sz w:val="24"/>
        </w:rPr>
        <w:t>16.</w:t>
      </w:r>
      <w:r>
        <w:rPr>
          <w:rFonts w:ascii="Times New Roman" w:hAnsi="Times New Roman"/>
          <w:color w:val="000000"/>
          <w:sz w:val="20"/>
        </w:rPr>
        <w:t xml:space="preserve"> </w:t>
      </w:r>
      <w:r>
        <w:rPr>
          <w:rFonts w:ascii="Times New Roman" w:hAnsi="Times New Roman"/>
          <w:color w:val="000000"/>
          <w:sz w:val="24"/>
          <w:u w:val="single"/>
        </w:rPr>
        <w:t>Severability</w:t>
      </w:r>
      <w:r>
        <w:rPr>
          <w:rFonts w:ascii="Times New Roman" w:hAnsi="Times New Roman"/>
          <w:color w:val="000000"/>
          <w:sz w:val="24"/>
        </w:rPr>
        <w:t>.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17.</w:t>
      </w:r>
      <w:r>
        <w:rPr>
          <w:rFonts w:ascii="Times New Roman" w:hAnsi="Times New Roman"/>
          <w:color w:val="000000"/>
          <w:sz w:val="20"/>
        </w:rPr>
        <w:t xml:space="preserve"> </w:t>
      </w:r>
      <w:r>
        <w:rPr>
          <w:rFonts w:ascii="Times New Roman" w:hAnsi="Times New Roman"/>
          <w:color w:val="000000"/>
          <w:sz w:val="24"/>
          <w:u w:val="single"/>
        </w:rPr>
        <w:t>Counterparts</w:t>
      </w:r>
      <w:r>
        <w:rPr>
          <w:rFonts w:ascii="Times New Roman" w:hAnsi="Times New Roman"/>
          <w:color w:val="000000"/>
          <w:sz w:val="24"/>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pStyle w:val="TextBody"/>
        <w:bidi w:val="0"/>
        <w:spacing w:before="120" w:after="283"/>
        <w:jc w:val="left"/>
        <w:rPr>
          <w:rFonts w:ascii="Times New Roman" w:hAnsi="Times New Roman"/>
          <w:sz w:val="20"/>
        </w:rPr>
      </w:pPr>
      <w:r>
        <w:rPr>
          <w:rFonts w:ascii="Times New Roman" w:hAnsi="Times New Roman"/>
          <w:color w:val="000000"/>
          <w:sz w:val="24"/>
        </w:rPr>
        <w:t>18.</w:t>
      </w:r>
      <w:r>
        <w:rPr>
          <w:rFonts w:ascii="Times New Roman" w:hAnsi="Times New Roman"/>
          <w:color w:val="000000"/>
          <w:sz w:val="20"/>
        </w:rPr>
        <w:t xml:space="preserve"> </w:t>
      </w:r>
      <w:r>
        <w:rPr>
          <w:rFonts w:ascii="Times New Roman" w:hAnsi="Times New Roman"/>
          <w:color w:val="000000"/>
          <w:sz w:val="24"/>
          <w:u w:val="single"/>
        </w:rPr>
        <w:t>Arbitration</w:t>
      </w:r>
      <w:r>
        <w:rPr>
          <w:rFonts w:ascii="Times New Roman" w:hAnsi="Times New Roman"/>
          <w:color w:val="000000"/>
          <w:sz w:val="24"/>
        </w:rPr>
        <w:t>. All disputes and disagreements arising from, relating to, or otherwise connected with this Agreement, the breach of this Agreement, Executive’s employment with the Company or providing services to any Affiliated Entity, the enforcement, interpretation or validity of this Agreement, or the employment relationship (including any wage claim,claim for wrongful termination, or any claim based upon any statute, regulation, or law, including those 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hAnsi="Times New Roman"/>
          <w:color w:val="000000"/>
          <w:sz w:val="24"/>
          <w:u w:val="single"/>
        </w:rPr>
        <w:t>JAMS</w:t>
      </w:r>
      <w:r>
        <w:rPr>
          <w:rFonts w:ascii="Times New Roman" w:hAnsi="Times New Roman"/>
          <w:color w:val="000000"/>
          <w:sz w:val="20"/>
        </w:rPr>
        <w:t>”</w:t>
      </w:r>
      <w:r>
        <w:rPr>
          <w:rFonts w:ascii="Times New Roman" w:hAnsi="Times New Roman"/>
          <w:color w:val="000000"/>
          <w:sz w:val="24"/>
        </w:rPr>
        <w:t>) pursuant to its Comprehensive Arbitration Rules and Procedures (the “</w:t>
      </w:r>
      <w:r>
        <w:rPr>
          <w:rFonts w:ascii="Times New Roman" w:hAnsi="Times New Roman"/>
          <w:color w:val="000000"/>
          <w:sz w:val="24"/>
          <w:u w:val="single"/>
        </w:rPr>
        <w:t>JAMS Rules</w:t>
      </w:r>
      <w:r>
        <w:rPr>
          <w:rFonts w:ascii="Times New Roman" w:hAnsi="Times New Roman"/>
          <w:color w:val="000000"/>
          <w:sz w:val="20"/>
        </w:rPr>
        <w:t>”</w:t>
      </w:r>
      <w:r>
        <w:rPr>
          <w:rFonts w:ascii="Times New Roman" w:hAnsi="Times New Roman"/>
          <w:color w:val="000000"/>
          <w:sz w:val="24"/>
        </w:rPr>
        <w:t>) applicable at the time the arbitration is commenced. A copy of the current version of the JAMS Rules will be made available to Executive upon request. The JAMS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 Each of the parties shall bear the fees and expenses of its own legal counsel.</w:t>
      </w:r>
    </w:p>
    <w:p>
      <w:pPr>
        <w:pStyle w:val="TextBody"/>
        <w:bidi w:val="0"/>
        <w:spacing w:before="120" w:after="283"/>
        <w:jc w:val="left"/>
        <w:rPr>
          <w:rFonts w:ascii="Times New Roman" w:hAnsi="Times New Roman"/>
          <w:sz w:val="20"/>
        </w:rPr>
      </w:pPr>
      <w:r>
        <w:rPr>
          <w:rFonts w:ascii="Times New Roman" w:hAnsi="Times New Roman"/>
          <w:color w:val="000000"/>
          <w:sz w:val="24"/>
        </w:rPr>
        <w:t>19.</w:t>
      </w:r>
      <w:r>
        <w:rPr>
          <w:rFonts w:ascii="Times New Roman" w:hAnsi="Times New Roman"/>
          <w:color w:val="000000"/>
          <w:sz w:val="20"/>
        </w:rPr>
        <w:t xml:space="preserve"> </w:t>
      </w:r>
      <w:r>
        <w:rPr>
          <w:rFonts w:ascii="Times New Roman" w:hAnsi="Times New Roman"/>
          <w:color w:val="000000"/>
          <w:sz w:val="24"/>
          <w:u w:val="single"/>
        </w:rPr>
        <w:t>Compliance with Section 409A</w:t>
      </w:r>
      <w:r>
        <w:rPr>
          <w:rFonts w:ascii="Times New Roman" w:hAnsi="Times New Roman"/>
          <w:color w:val="000000"/>
          <w:sz w:val="24"/>
        </w:rPr>
        <w:t>.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 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Section 409A, (A) all expenses or other reimbursements hereunder shall be made on or prior to the last day of the taxable year following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taxable year in which such expenses were incurred by Executive, (B) any right to reimbursement or in-kind benefits shall not be subject to liquidation or exchange for another benefit,and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benefits provided under this Agreement comply with Section 409A and in no event shall the Company be liable for all or any portion of any taxes, penalties, interest,or other expenses that may be incurred by Executive on account of non-compliance with Section 409A.</w:t>
      </w:r>
    </w:p>
    <w:p>
      <w:pPr>
        <w:pStyle w:val="TextBody"/>
        <w:bidi w:val="0"/>
        <w:spacing w:before="120" w:after="283"/>
        <w:jc w:val="left"/>
        <w:rPr>
          <w:rFonts w:ascii="Times New Roman" w:hAnsi="Times New Roman"/>
          <w:sz w:val="20"/>
        </w:rPr>
      </w:pPr>
      <w:r>
        <w:rPr>
          <w:rFonts w:ascii="Times New Roman" w:hAnsi="Times New Roman"/>
          <w:color w:val="000000"/>
          <w:sz w:val="24"/>
        </w:rPr>
        <w:t>20.</w:t>
      </w:r>
      <w:r>
        <w:rPr>
          <w:rFonts w:ascii="Times New Roman" w:hAnsi="Times New Roman"/>
          <w:color w:val="000000"/>
          <w:sz w:val="20"/>
        </w:rPr>
        <w:t xml:space="preserve"> </w:t>
      </w:r>
      <w:r>
        <w:rPr>
          <w:rFonts w:ascii="Times New Roman" w:hAnsi="Times New Roman"/>
          <w:color w:val="000000"/>
          <w:sz w:val="24"/>
          <w:u w:val="single"/>
        </w:rPr>
        <w:t>Withholding</w:t>
      </w:r>
      <w:r>
        <w:rPr>
          <w:rFonts w:ascii="Times New Roman" w:hAnsi="Times New Roman"/>
          <w:color w:val="000000"/>
          <w:sz w:val="24"/>
        </w:rPr>
        <w:t>. The payments and benefits under this Agreement shall be subject to all applicable withholdings and deductions, including all applicable withholdings for Federal, state and local income taxes, employment and payroll taxes.</w:t>
      </w:r>
    </w:p>
    <w:p>
      <w:pPr>
        <w:pStyle w:val="TextBody"/>
        <w:bidi w:val="0"/>
        <w:spacing w:before="120" w:after="283"/>
        <w:jc w:val="left"/>
        <w:rPr>
          <w:rFonts w:ascii="Times New Roman" w:hAnsi="Times New Roman"/>
          <w:sz w:val="20"/>
        </w:rPr>
      </w:pPr>
      <w:r>
        <w:rPr>
          <w:rFonts w:ascii="Times New Roman" w:hAnsi="Times New Roman"/>
          <w:color w:val="000000"/>
          <w:sz w:val="24"/>
        </w:rPr>
        <w:t>21.</w:t>
      </w:r>
      <w:r>
        <w:rPr>
          <w:rFonts w:ascii="Times New Roman" w:hAnsi="Times New Roman"/>
          <w:color w:val="000000"/>
          <w:sz w:val="20"/>
        </w:rPr>
        <w:t xml:space="preserve"> </w:t>
      </w:r>
      <w:r>
        <w:rPr>
          <w:rFonts w:ascii="Times New Roman" w:hAnsi="Times New Roman"/>
          <w:color w:val="000000"/>
          <w:sz w:val="24"/>
          <w:u w:val="single"/>
        </w:rPr>
        <w:t>Application of Compensation Recovery Policy</w:t>
      </w:r>
      <w:r>
        <w:rPr>
          <w:rFonts w:ascii="Times New Roman" w:hAnsi="Times New Roman"/>
          <w:color w:val="000000"/>
          <w:sz w:val="24"/>
        </w:rPr>
        <w:t>. Executive acknowledges that, to the extent applicable, incentive based compensation payable under this Agreement or otherwise is subject to recovery in accordance with the Company’s clawback policy as in effect from time to time.</w:t>
      </w:r>
    </w:p>
    <w:p>
      <w:pPr>
        <w:pStyle w:val="TextBody"/>
        <w:bidi w:val="0"/>
        <w:spacing w:before="120" w:after="283"/>
        <w:jc w:val="left"/>
        <w:rPr>
          <w:rFonts w:ascii="Times New Roman" w:hAnsi="Times New Roman"/>
          <w:sz w:val="20"/>
        </w:rPr>
      </w:pPr>
      <w:r>
        <w:rPr>
          <w:rFonts w:ascii="Times New Roman" w:hAnsi="Times New Roman"/>
          <w:color w:val="000000"/>
          <w:sz w:val="24"/>
        </w:rPr>
        <w:t>22.</w:t>
      </w:r>
      <w:r>
        <w:rPr>
          <w:rFonts w:ascii="Times New Roman" w:hAnsi="Times New Roman"/>
          <w:color w:val="000000"/>
          <w:sz w:val="20"/>
        </w:rPr>
        <w:t xml:space="preserve"> </w:t>
      </w:r>
      <w:r>
        <w:rPr>
          <w:rFonts w:ascii="Times New Roman" w:hAnsi="Times New Roman"/>
          <w:color w:val="000000"/>
          <w:sz w:val="24"/>
          <w:u w:val="single"/>
        </w:rPr>
        <w:t>Section 280G</w:t>
      </w:r>
      <w:r>
        <w:rPr>
          <w:rFonts w:ascii="Times New Roman" w:hAnsi="Times New Roman"/>
          <w:color w:val="000000"/>
          <w:sz w:val="24"/>
        </w:rPr>
        <w:t>.</w:t>
      </w:r>
      <w:r>
        <w:rPr>
          <w:rFonts w:ascii="Times New Roman" w:hAnsi="Times New Roman"/>
          <w:color w:val="000000"/>
          <w:sz w:val="2"/>
        </w:rPr>
        <w:t>.</w:t>
      </w:r>
    </w:p>
    <w:p>
      <w:pPr>
        <w:pStyle w:val="TextBody"/>
        <w:bidi w:val="0"/>
        <w:spacing w:before="120" w:after="283"/>
        <w:jc w:val="left"/>
        <w:rPr>
          <w:rFonts w:ascii="Times New Roman" w:hAnsi="Times New Roman"/>
          <w:sz w:val="20"/>
        </w:rPr>
      </w:pPr>
      <w:r>
        <w:rPr>
          <w:rFonts w:ascii="Times New Roman" w:hAnsi="Times New Roman"/>
          <w:color w:val="000000"/>
          <w:sz w:val="2"/>
        </w:rPr>
        <w:t>(a(</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hAnsi="Times New Roman"/>
          <w:color w:val="000000"/>
          <w:sz w:val="24"/>
          <w:u w:val="single"/>
        </w:rPr>
        <w:t>Covered Payments</w:t>
      </w:r>
      <w:r>
        <w:rPr>
          <w:rFonts w:ascii="Times New Roman" w:hAnsi="Times New Roman"/>
          <w:color w:val="000000"/>
          <w:sz w:val="20"/>
        </w:rPr>
        <w:t>”</w:t>
      </w:r>
      <w:r>
        <w:rPr>
          <w:rFonts w:ascii="Times New Roman" w:hAnsi="Times New Roman"/>
          <w:color w:val="000000"/>
          <w:sz w:val="24"/>
        </w:rPr>
        <w:t>) constitute parachute payments within the meaning of Section 280G of the Code and would, but for this Section,be subject to the excise tax imposed under Section 4999 (or any successor provision thereto) or any similar tax imposed by state or local law or any interest or penalties with respect to such taxes (collectively, the “</w:t>
      </w:r>
      <w:r>
        <w:rPr>
          <w:rFonts w:ascii="Times New Roman" w:hAnsi="Times New Roman"/>
          <w:color w:val="000000"/>
          <w:sz w:val="24"/>
          <w:u w:val="single"/>
        </w:rPr>
        <w:t>Excise Tax</w:t>
      </w:r>
      <w:r>
        <w:rPr>
          <w:rFonts w:ascii="Times New Roman" w:hAnsi="Times New Roman"/>
          <w:color w:val="000000"/>
          <w:sz w:val="20"/>
        </w:rPr>
        <w:t>”</w:t>
      </w:r>
      <w:r>
        <w:rPr>
          <w:rFonts w:ascii="Times New Roman" w:hAnsi="Times New Roman"/>
          <w:color w:val="000000"/>
          <w:sz w:val="24"/>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hAnsi="Times New Roman"/>
          <w:color w:val="000000"/>
          <w:sz w:val="24"/>
          <w:u w:val="single"/>
        </w:rPr>
        <w:t>Net</w:t>
      </w:r>
      <w:r>
        <w:rPr>
          <w:rFonts w:ascii="Times New Roman" w:hAnsi="Times New Roman"/>
          <w:color w:val="000000"/>
          <w:sz w:val="20"/>
        </w:rPr>
        <w:t xml:space="preserve"> </w:t>
      </w:r>
      <w:r>
        <w:rPr>
          <w:rFonts w:ascii="Times New Roman" w:hAnsi="Times New Roman"/>
          <w:color w:val="000000"/>
          <w:sz w:val="24"/>
          <w:u w:val="single"/>
        </w:rPr>
        <w:t>Benefit</w:t>
      </w:r>
      <w:r>
        <w:rPr>
          <w:rFonts w:ascii="Times New Roman" w:hAnsi="Times New Roman"/>
          <w:color w:val="000000"/>
          <w:sz w:val="20"/>
        </w:rPr>
        <w:t xml:space="preserve">” </w:t>
      </w:r>
      <w:r>
        <w:rPr>
          <w:rFonts w:ascii="Times New Roman" w:hAnsi="Times New Roman"/>
          <w:color w:val="000000"/>
          <w:sz w:val="24"/>
        </w:rPr>
        <w:t>shall mean the present value of the Covered Payments net of all federal, state, local, foreign income, employment, and excise taxes.</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120" w:after="283"/>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determination required under this Section, including whether any payments or benefits are parachute payments, shall be made by an independent public accounting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firm that is mutually agreed by the Company and the CEO (the “</w:t>
      </w:r>
      <w:r>
        <w:rPr>
          <w:rFonts w:ascii="Times New Roman" w:hAnsi="Times New Roman"/>
          <w:color w:val="000000"/>
          <w:sz w:val="24"/>
          <w:u w:val="single"/>
        </w:rPr>
        <w:t>Accounting Firm</w:t>
      </w:r>
      <w:r>
        <w:rPr>
          <w:rFonts w:ascii="Times New Roman" w:hAnsi="Times New Roman"/>
          <w:color w:val="000000"/>
          <w:sz w:val="20"/>
        </w:rPr>
        <w:t>”</w:t>
      </w:r>
      <w:r>
        <w:rPr>
          <w:rFonts w:ascii="Times New Roman" w:hAnsi="Times New Roman"/>
          <w:color w:val="000000"/>
          <w:sz w:val="24"/>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pStyle w:val="TextBody"/>
        <w:bidi w:val="0"/>
        <w:spacing w:before="120" w:after="283"/>
        <w:jc w:val="center"/>
        <w:rPr>
          <w:rFonts w:ascii="Times New Roman" w:hAnsi="Times New Roman"/>
          <w:sz w:val="20"/>
        </w:rPr>
      </w:pPr>
      <w:r>
        <w:rPr>
          <w:rFonts w:ascii="Times New Roman" w:hAnsi="Times New Roman"/>
          <w:color w:val="000000"/>
          <w:sz w:val="24"/>
        </w:rPr>
        <w:t xml:space="preserve">[ </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Executive and the Company have executed this Agreement effective as of the date first above written.</w:t>
      </w:r>
    </w:p>
    <w:p>
      <w:pPr>
        <w:pStyle w:val="TextBody"/>
        <w:bidi w:val="0"/>
        <w:jc w:val="righ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Richard J. (Arjay) Jensen</w:t>
      </w:r>
    </w:p>
    <w:p>
      <w:pPr>
        <w:pStyle w:val="TextBody"/>
        <w:bidi w:val="0"/>
        <w:spacing w:before="240" w:after="240"/>
        <w:jc w:val="righ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4"/>
          <w:u w:val="single"/>
        </w:rPr>
        <w:t xml:space="preserve">/s/ Luke Sarsfield </w:t>
      </w:r>
    </w:p>
    <w:p>
      <w:pPr>
        <w:pStyle w:val="TextBody"/>
        <w:bidi w:val="0"/>
        <w:jc w:val="right"/>
        <w:rPr>
          <w:rFonts w:ascii="Times New Roman" w:hAnsi="Times New Roman"/>
          <w:b/>
          <w:color w:val="000000"/>
          <w:sz w:val="22"/>
        </w:rPr>
      </w:pPr>
      <w:r>
        <w:rPr>
          <w:rFonts w:ascii="Times New Roman" w:hAnsi="Times New Roman"/>
          <w:b/>
          <w:color w:val="000000"/>
          <w:sz w:val="22"/>
        </w:rPr>
        <w:t>P10 Intermediate Holdings, LLC</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4876-0893-9619.1</w:t>
      </w:r>
    </w:p>
    <w:p>
      <w:pPr>
        <w:pStyle w:val="HorizontalLine"/>
        <w:pBdr>
          <w:bottom w:val="double" w:sz="2" w:space="0" w:color="808080"/>
        </w:pBdr>
        <w:bidi w:val="0"/>
        <w:spacing w:before="0" w:after="283"/>
        <w:jc w:val="left"/>
        <w:rPr/>
      </w:pPr>
      <w:r>
        <w:rPr/>
      </w:r>
    </w:p>
    <w:p>
      <w:pPr>
        <w:pStyle w:val="TextBody"/>
        <w:bidi w:val="0"/>
        <w:jc w:val="left"/>
        <w:rPr/>
      </w:pPr>
      <w:bookmarkStart w:id="26" w:name="px-ex10_3.htm"/>
      <w:bookmarkStart w:id="27" w:name="kspxex10_3"/>
      <w:bookmarkEnd w:id="26"/>
      <w:bookmarkEnd w:id="27"/>
      <w:r>
        <w:rPr/>
        <w:t> </w:t>
      </w:r>
      <w:r>
        <w:br w:type="page"/>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EMPLOYMENT AGREEMENT</w:t>
      </w:r>
    </w:p>
    <w:p>
      <w:pPr>
        <w:pStyle w:val="TextBody"/>
        <w:bidi w:val="0"/>
        <w:spacing w:before="200" w:after="283"/>
        <w:jc w:val="left"/>
        <w:rPr>
          <w:rFonts w:ascii="Times New Roman" w:hAnsi="Times New Roman"/>
          <w:sz w:val="20"/>
        </w:rPr>
      </w:pPr>
      <w:r>
        <w:rPr>
          <w:rFonts w:ascii="Times New Roman" w:hAnsi="Times New Roman"/>
          <w:color w:val="000000"/>
          <w:sz w:val="24"/>
        </w:rPr>
        <w:t>This Employment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effective as of February 27, 2024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P10 Intermediate Holdings, LLC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Mark Hood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w:t>
      </w:r>
    </w:p>
    <w:p>
      <w:pPr>
        <w:pStyle w:val="TextBody"/>
        <w:bidi w:val="0"/>
        <w:spacing w:before="200" w:after="283"/>
        <w:jc w:val="center"/>
        <w:rPr>
          <w:rFonts w:ascii="Times New Roman" w:hAnsi="Times New Roman"/>
          <w:b/>
          <w:color w:val="000000"/>
          <w:sz w:val="24"/>
          <w:u w:val="single"/>
        </w:rPr>
      </w:pPr>
      <w:r>
        <w:rPr>
          <w:rFonts w:ascii="Times New Roman" w:hAnsi="Times New Roman"/>
          <w:b/>
          <w:color w:val="000000"/>
          <w:sz w:val="24"/>
          <w:u w:val="single"/>
        </w:rPr>
        <w:t>RECITALS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WHEREAS, Executive and the Company desire to memorialize the terms and conditions of Executive’s employment with the Company and its affiliates by entering into this Agreement.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NOW THEREFORE, for and in consideration of the mutual covenants and agreements contained herein, and for other good and valuable consideration, the receipt and sufficiency of which are hereby acknowledged, the parties hereto, intending to be legally bound, hereby agree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w:t>
      </w:r>
    </w:p>
    <w:p>
      <w:pPr>
        <w:pStyle w:val="TextBody"/>
        <w:bidi w:val="0"/>
        <w:spacing w:before="120" w:after="283"/>
        <w:jc w:val="left"/>
        <w:rPr/>
      </w:pPr>
      <w:r>
        <w:rPr>
          <w:rFonts w:ascii="Times New Roman" w:hAnsi="Times New Roman"/>
          <w:color w:val="000000"/>
          <w:sz w:val="24"/>
          <w:u w:val="single"/>
        </w:rPr>
        <w:t>Title and Job Duties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rPr>
        <w:t>The Company hereby agrees to employ Executive, and Executive hereby accepts employment, in the position of Executive Vice President of Operations and Chief Administration Officer, subject to the terms and conditions set forth herein. In this capacity, Executive shall have the duties, authorities and responsibilities that are designated from time to time by the Company’s Chief Executive Officer (the “</w:t>
      </w:r>
      <w:r>
        <w:rPr>
          <w:rFonts w:ascii="Times New Roman" w:hAnsi="Times New Roman"/>
          <w:color w:val="000000"/>
          <w:sz w:val="24"/>
          <w:u w:val="single"/>
        </w:rPr>
        <w:t>CEO</w:t>
      </w:r>
      <w:r>
        <w:rPr>
          <w:color w:val="000000"/>
        </w:rPr>
        <w:t>”</w:t>
      </w:r>
      <w:r>
        <w:rPr>
          <w:rFonts w:ascii="Times New Roman" w:hAnsi="Times New Roman"/>
          <w:color w:val="000000"/>
          <w:sz w:val="24"/>
        </w:rPr>
        <w:t>) and the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of P10, Inc. (“</w:t>
      </w:r>
      <w:r>
        <w:rPr>
          <w:rFonts w:ascii="Times New Roman" w:hAnsi="Times New Roman"/>
          <w:color w:val="000000"/>
          <w:sz w:val="24"/>
          <w:u w:val="single"/>
        </w:rPr>
        <w:t>P10</w:t>
      </w:r>
      <w:r>
        <w:rPr>
          <w:color w:val="000000"/>
        </w:rPr>
        <w:t>”</w:t>
      </w:r>
      <w:r>
        <w:rPr>
          <w:rFonts w:ascii="Times New Roman" w:hAnsi="Times New Roman"/>
          <w:color w:val="000000"/>
          <w:sz w:val="24"/>
        </w:rPr>
        <w:t>) commensurate with his title. In performing his duties, Executive shall report to the CEO.</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pPr>
      <w:r>
        <w:rPr>
          <w:rFonts w:ascii="Times New Roman" w:hAnsi="Times New Roman"/>
          <w:color w:val="000000"/>
          <w:sz w:val="24"/>
        </w:rPr>
        <w:t>Executive agrees during the term of his employment to: (i) devote his full business and professional time and energy to the Company, P10 and each of their direct and indirect parents, subsidiaries, divisions, and affiliates and each affiliated investment vehicle and any related entities (the “</w:t>
      </w:r>
      <w:r>
        <w:rPr>
          <w:rFonts w:ascii="Times New Roman" w:hAnsi="Times New Roman"/>
          <w:color w:val="000000"/>
          <w:sz w:val="24"/>
          <w:u w:val="single"/>
        </w:rPr>
        <w:t>Affiliated Entities</w:t>
      </w:r>
      <w:r>
        <w:rPr>
          <w:color w:val="000000"/>
        </w:rPr>
        <w:t>”</w:t>
      </w:r>
      <w:r>
        <w:rPr>
          <w:rFonts w:ascii="Times New Roman" w:hAnsi="Times New Roman"/>
          <w:color w:val="000000"/>
          <w:sz w:val="24"/>
        </w:rPr>
        <w:t>); (ii) use his best efforts, skill, knowledge and abilities in the performance of his services, duties and responsibilities, and to promote the success of the business of the Company and the Affiliated Entities; (iii) serve the best interests of the Company and the Affiliated Entities, faithfully, loyally, efficiently and diligently; (iv) cooperate with the reasonable and lawful directives of the CEO and the Board and act in the furtherance of the best interests of the Company and the Affiliated Entities; and (v) comply with the applicable rules, policies, practices and procedures of the Company and the Affiliated Entities as well as all applicable laws, rules and regulations. In addition, Executive agrees to serve in such other capacities or offices with the Affiliated Entities to which he may be assigned, appointed or elected from time to time by the Board or governing body of any Affiliated Entity,without any additional compensation.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Without limiting the generality of the foregoing, Executive shall not, without the written approval of the Board or CEO, render services of a business or commercial nature on his own behalf or on behalf of any other person,firm, corporation or entity, whether for compensation or otherwise, during his employment with the Company; provided that the foregoing shall not prevent Executive from (i) serving on the boards of directors or holding any other offices or positions in non-profit organizations; (ii) with the prior written approval of the Board or CEO, serving on the board of directors or advisory boards of other for-profit companies; (iii) participating in charitable, civic, educational, professional, community or industry affairs; and (iv) managing Executive’s personal investments, so long as such activities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do not (x) individually, or in the aggregate, materially interfere or conflict with the performance of Executive’s duties and responsibilities hereunder, (y) create a potential business or fiduciary conflict, or (z) violate any written policy of the Company or any Affiliated Entity applicable to Executive or violate any covenants applicable to Executive hereunder or under any other document, agreement or instrument between Executive and the Company or any Affiliated Entity.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w:t>
      </w:r>
    </w:p>
    <w:p>
      <w:pPr>
        <w:pStyle w:val="TextBody"/>
        <w:bidi w:val="0"/>
        <w:spacing w:before="120" w:after="283"/>
        <w:jc w:val="left"/>
        <w:rPr/>
      </w:pPr>
      <w:r>
        <w:rPr>
          <w:rFonts w:ascii="Times New Roman" w:hAnsi="Times New Roman"/>
          <w:color w:val="000000"/>
          <w:sz w:val="24"/>
          <w:u w:val="single"/>
        </w:rPr>
        <w:t>Compensation</w:t>
      </w:r>
      <w:r>
        <w:rPr>
          <w:rFonts w:ascii="Times New Roman" w:hAnsi="Times New Roman"/>
          <w:color w:val="000000"/>
          <w:sz w:val="24"/>
        </w:rPr>
        <w:t>. Subject to the terms and conditions of this Agreement, during the Term (as defined below), Executive shall be compensated by the Company for his services as follows: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Base Salary</w:t>
      </w:r>
      <w:r>
        <w:rPr>
          <w:rFonts w:ascii="Times New Roman" w:hAnsi="Times New Roman"/>
          <w:color w:val="000000"/>
          <w:sz w:val="24"/>
        </w:rPr>
        <w:t>. The Company shall pay Executive an annual salary of</w:t>
      </w:r>
    </w:p>
    <w:p>
      <w:pPr>
        <w:pStyle w:val="TextBody"/>
        <w:bidi w:val="0"/>
        <w:jc w:val="left"/>
        <w:rPr>
          <w:rFonts w:ascii="Times New Roman" w:hAnsi="Times New Roman"/>
          <w:sz w:val="20"/>
        </w:rPr>
      </w:pPr>
      <w:r>
        <w:rPr>
          <w:rFonts w:ascii="Times New Roman" w:hAnsi="Times New Roman"/>
          <w:color w:val="000000"/>
          <w:sz w:val="24"/>
        </w:rPr>
        <w:t>$500,000 (the “</w:t>
      </w:r>
      <w:r>
        <w:rPr>
          <w:rFonts w:ascii="Times New Roman" w:hAnsi="Times New Roman"/>
          <w:color w:val="000000"/>
          <w:sz w:val="24"/>
          <w:u w:val="single"/>
        </w:rPr>
        <w:t>Base Salary</w:t>
      </w:r>
      <w:r>
        <w:rPr>
          <w:rFonts w:ascii="Times New Roman" w:hAnsi="Times New Roman"/>
          <w:color w:val="000000"/>
          <w:sz w:val="20"/>
        </w:rPr>
        <w:t>”</w:t>
      </w:r>
      <w:r>
        <w:rPr>
          <w:rFonts w:ascii="Times New Roman" w:hAnsi="Times New Roman"/>
          <w:color w:val="000000"/>
          <w:sz w:val="24"/>
        </w:rPr>
        <w:t>), payable in substantially equal monthly or more frequent installments in accordance with the Company’s normal payroll practices in effect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Bonus</w:t>
      </w:r>
      <w:r>
        <w:rPr>
          <w:rFonts w:ascii="Times New Roman" w:hAnsi="Times New Roman"/>
          <w:color w:val="000000"/>
          <w:sz w:val="24"/>
        </w:rPr>
        <w:t>. For each full fiscal year of the Company, Executive shall be eligible to receive an annual bonus (the “</w:t>
      </w:r>
      <w:r>
        <w:rPr>
          <w:rFonts w:ascii="Times New Roman" w:hAnsi="Times New Roman"/>
          <w:color w:val="000000"/>
          <w:sz w:val="24"/>
          <w:u w:val="single"/>
        </w:rPr>
        <w:t>Annual Bonus</w:t>
      </w:r>
      <w:r>
        <w:rPr>
          <w:color w:val="000000"/>
        </w:rPr>
        <w:t>”</w:t>
      </w:r>
      <w:r>
        <w:rPr>
          <w:rFonts w:ascii="Times New Roman" w:hAnsi="Times New Roman"/>
          <w:color w:val="000000"/>
          <w:sz w:val="24"/>
        </w:rPr>
        <w:t>) based on the performance of the Company, the Affiliated Entities and/or Executive as determined by the compensation committee of the Board (the “</w:t>
      </w:r>
      <w:r>
        <w:rPr>
          <w:rFonts w:ascii="Times New Roman" w:hAnsi="Times New Roman"/>
          <w:color w:val="000000"/>
          <w:sz w:val="24"/>
          <w:u w:val="single"/>
        </w:rPr>
        <w:t>Compensation Committee</w:t>
      </w:r>
      <w:r>
        <w:rPr>
          <w:color w:val="000000"/>
        </w:rPr>
        <w:t>”</w:t>
      </w:r>
      <w:r>
        <w:rPr>
          <w:rFonts w:ascii="Times New Roman" w:hAnsi="Times New Roman"/>
          <w:color w:val="000000"/>
          <w:sz w:val="24"/>
        </w:rPr>
        <w:t>), in its discretion, with the target amount of Executive’s Annual Bonus equal to $300,000 (“</w:t>
      </w:r>
      <w:r>
        <w:rPr>
          <w:rFonts w:ascii="Times New Roman" w:hAnsi="Times New Roman"/>
          <w:color w:val="000000"/>
          <w:sz w:val="24"/>
          <w:u w:val="single"/>
        </w:rPr>
        <w:t>Target Annual Bonus</w:t>
      </w:r>
      <w:r>
        <w:rPr>
          <w:color w:val="000000"/>
        </w:rPr>
        <w:t>”</w:t>
      </w:r>
      <w:r>
        <w:rPr>
          <w:rFonts w:ascii="Times New Roman" w:hAnsi="Times New Roman"/>
          <w:color w:val="000000"/>
          <w:sz w:val="24"/>
        </w:rPr>
        <w:t>). The amount of the Annual Bonus to be paid to Executive and the performance metrics and requirements shall be determined by the Compensation Committee, in its sole discretion. The Annual Bonus will be paid in cash, restricted stock, restricted stock units, carried interest in the Company’s affiliated investment vehicles or a combination of the foregoing, as determined in the sole discretion of the Compensation Committee. In order to be eligible to receive the Annual Bonus (if any), Executive must be employed by the Company on the date of payment of annual bonuses and in “good standing”. For purposes of this Agreement, “good standing” means that Executive has not resigned (or given notice of Executive’s intention to resign) and has not been terminated (or been given notice of termination) by the Company for any reason, with or without Cause (as defined below).</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Equity and Other Incentives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be eligible to receive an annual equity award and award of carried interest in the Company’s affiliated investment vehicles with a target value of $1 million, with such equity value based on the fair market value of the Company’s common stock and the carried interest value based upon a reasonable methodology consistent with targeted values described in the applicable investment vehicle offering materials of the Affiliated Entities and the Company’s practice generally for awarding carried interest to employees, each at the time of grant, with the carried interest award with an appropriate ratio as determined by the Company’s compensation consultant or, if determined in the discretion of the Compensation Committee, a carried interest award with a target value of $2 million. All awards shall be subject to the terms and conditions of P10’s equity incentive plan and other applicable plans and any applicable award agreements. In order to be eligible to receive the awards hereunder (if any), Executive must be employed by the Company on the date of grant of annual equity awards and in “good standing.”</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be eligible to receive such other additional equity awards and incentive compensation in such amount, in such form and on such terms as shall be determined by the Compensation Committee in its sole discretion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Benefits</w:t>
      </w:r>
      <w:r>
        <w:rPr>
          <w:rFonts w:ascii="Times New Roman" w:hAnsi="Times New Roman"/>
          <w:color w:val="000000"/>
          <w:sz w:val="24"/>
        </w:rPr>
        <w:t>. Executive shall be eligible to participate in all employee benefit plans and programs (including, without limitation, medical insurance plans and programs and retirement plans) that are maintained by the Company from time to time and made generally available by the Company to executive officers (other than the CEO), subject, however, to the applicable eligibility requirements and other provisions of such plans and programs. The Company reserves the right to amend, modify, cancel or terminate any such employee benefit plans at any time in its sole discretion, subject to the terms of such plans and applicable law. Any benefits available to Executive are subject to the rules of the relevant plan or program from time to time in force.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Vacation</w:t>
      </w:r>
      <w:r>
        <w:rPr>
          <w:rFonts w:ascii="Times New Roman" w:hAnsi="Times New Roman"/>
          <w:color w:val="000000"/>
          <w:sz w:val="24"/>
        </w:rPr>
        <w:t>. Executive shall be entitled to vacation in accordance with the Company’s standard vacation policy extended to executive officers of the Company.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Business Expenses</w:t>
      </w:r>
      <w:r>
        <w:rPr>
          <w:rFonts w:ascii="Times New Roman" w:hAnsi="Times New Roman"/>
          <w:color w:val="000000"/>
          <w:sz w:val="24"/>
        </w:rPr>
        <w:t>. Executive shall be reimbursed by the Company for all reasonable business, promotional, travel, and entertainment expenses incurred or paid by Executive during the Term in connection with the performance of his services under this Agreement in accordance with the Company’s reimbursement policy and to the extent that such expenses do not exceed the amounts allocable for such expenses in budgets that are approved from time to time by the Company. In order that the Company reimburse Executive for such allowable expenses, Executive shall furnish to the Company, in a timely fashion, the appropriate documentation required under the Company’s reimbursement policy and such other documentation as the Company may reasonably request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3.</w:t>
      </w:r>
    </w:p>
    <w:p>
      <w:pPr>
        <w:pStyle w:val="TextBody"/>
        <w:bidi w:val="0"/>
        <w:spacing w:before="120" w:after="283"/>
        <w:jc w:val="left"/>
        <w:rPr/>
      </w:pPr>
      <w:r>
        <w:rPr>
          <w:rFonts w:ascii="Times New Roman" w:hAnsi="Times New Roman"/>
          <w:color w:val="000000"/>
          <w:sz w:val="24"/>
          <w:u w:val="single"/>
        </w:rPr>
        <w:t>Employment Period</w:t>
      </w:r>
      <w:r>
        <w:rPr>
          <w:rFonts w:ascii="Times New Roman" w:hAnsi="Times New Roman"/>
          <w:color w:val="000000"/>
          <w:sz w:val="24"/>
        </w:rPr>
        <w:t>. The terms set forth in this Agreement will commence on the Effective Date and remain in effect until the first anniversary of the Effective Date (the “</w:t>
      </w:r>
      <w:r>
        <w:rPr>
          <w:rFonts w:ascii="Times New Roman" w:hAnsi="Times New Roman"/>
          <w:color w:val="000000"/>
          <w:sz w:val="24"/>
          <w:u w:val="single"/>
        </w:rPr>
        <w:t>Initial</w:t>
      </w:r>
      <w:r>
        <w:rPr>
          <w:color w:val="000000"/>
        </w:rPr>
        <w:t xml:space="preserve"> </w:t>
      </w:r>
      <w:r>
        <w:rPr>
          <w:rFonts w:ascii="Times New Roman" w:hAnsi="Times New Roman"/>
          <w:color w:val="000000"/>
          <w:sz w:val="24"/>
          <w:u w:val="single"/>
        </w:rPr>
        <w:t>Term</w:t>
      </w:r>
      <w:r>
        <w:rPr>
          <w:color w:val="000000"/>
        </w:rPr>
        <w:t>”</w:t>
      </w:r>
      <w:r>
        <w:rPr>
          <w:rFonts w:ascii="Times New Roman" w:hAnsi="Times New Roman"/>
          <w:color w:val="000000"/>
          <w:sz w:val="24"/>
        </w:rPr>
        <w:t>) unless earlier terminated as provided in Section 4 of this Agreement. The Initial Term shall automatically renew for additional one (1) year periods (each a “</w:t>
      </w:r>
      <w:r>
        <w:rPr>
          <w:rFonts w:ascii="Times New Roman" w:hAnsi="Times New Roman"/>
          <w:color w:val="000000"/>
          <w:sz w:val="24"/>
          <w:u w:val="single"/>
        </w:rPr>
        <w:t>Renewal Term</w:t>
      </w:r>
      <w:r>
        <w:rPr>
          <w:color w:val="000000"/>
        </w:rPr>
        <w:t>”</w:t>
      </w:r>
      <w:r>
        <w:rPr>
          <w:rFonts w:ascii="Times New Roman" w:hAnsi="Times New Roman"/>
          <w:color w:val="000000"/>
          <w:sz w:val="24"/>
        </w:rPr>
        <w:t>), unless the Company or Executive has delivered written notice of non-renewal to the other party at least ninety (90) days prior to the expiration of the Initial Term or the Renewal Term, or this Agreement is earlier terminated as provided in Section 4 of this Agreement. For purposes of this Agreement, the “</w:t>
      </w:r>
      <w:r>
        <w:rPr>
          <w:rFonts w:ascii="Times New Roman" w:hAnsi="Times New Roman"/>
          <w:color w:val="000000"/>
          <w:sz w:val="24"/>
          <w:u w:val="single"/>
        </w:rPr>
        <w:t>Term</w:t>
      </w:r>
      <w:r>
        <w:rPr>
          <w:color w:val="000000"/>
        </w:rPr>
        <w:t xml:space="preserve">” </w:t>
      </w:r>
      <w:r>
        <w:rPr>
          <w:rFonts w:ascii="Times New Roman" w:hAnsi="Times New Roman"/>
          <w:color w:val="000000"/>
          <w:sz w:val="24"/>
        </w:rPr>
        <w:t>shall refer to the Initial Term and any Renewal Term. Notwithstanding this, Executive’s employment with the Company shall be “at will,” meaning that either Executive or the Company shall be entitled to terminate Executive’s employment at any time and for any reason, with or without Cause, subject to the obligations set forth in Section 5 of this Agreement.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4.</w:t>
      </w:r>
    </w:p>
    <w:p>
      <w:pPr>
        <w:pStyle w:val="TextBody"/>
        <w:bidi w:val="0"/>
        <w:spacing w:before="120" w:after="283"/>
        <w:jc w:val="left"/>
        <w:rPr/>
      </w:pPr>
      <w:r>
        <w:rPr>
          <w:rFonts w:ascii="Times New Roman" w:hAnsi="Times New Roman"/>
          <w:color w:val="000000"/>
          <w:sz w:val="24"/>
          <w:u w:val="single"/>
        </w:rPr>
        <w:t>Termination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By The Company For Cause</w:t>
      </w:r>
      <w:r>
        <w:rPr>
          <w:rFonts w:ascii="Times New Roman" w:hAnsi="Times New Roman"/>
          <w:color w:val="000000"/>
          <w:sz w:val="24"/>
        </w:rPr>
        <w:t>. At the election of the Company, Executive’s employment may be terminated for Cause (as defined below) immediately upon written notice to Executive. For purposes of this Agreement, “</w:t>
      </w:r>
      <w:r>
        <w:rPr>
          <w:rFonts w:ascii="Times New Roman" w:hAnsi="Times New Roman"/>
          <w:color w:val="000000"/>
          <w:sz w:val="24"/>
          <w:u w:val="single"/>
        </w:rPr>
        <w:t>Cause</w:t>
      </w:r>
      <w:r>
        <w:rPr>
          <w:color w:val="000000"/>
        </w:rPr>
        <w:t xml:space="preserve">” </w:t>
      </w:r>
      <w:r>
        <w:rPr>
          <w:rFonts w:ascii="Times New Roman" w:hAnsi="Times New Roman"/>
          <w:color w:val="000000"/>
          <w:sz w:val="24"/>
        </w:rPr>
        <w:t>shall mean that Executive:</w:t>
      </w:r>
    </w:p>
    <w:p>
      <w:pPr>
        <w:pStyle w:val="TextBody"/>
        <w:bidi w:val="0"/>
        <w:jc w:val="left"/>
        <w:rPr>
          <w:rFonts w:ascii="Times New Roman" w:hAnsi="Times New Roman"/>
          <w:sz w:val="20"/>
        </w:rPr>
      </w:pPr>
      <w:r>
        <w:rPr>
          <w:rFonts w:ascii="Times New Roman" w:hAnsi="Times New Roman"/>
          <w:color w:val="000000"/>
          <w:sz w:val="24"/>
        </w:rPr>
        <w:t>(i) pleads “guilty” or “no contest” to or is indicted for or convicted of a felony under federal or state law or a crime under federal or state law which involves Executive’s fraud or dishonesty; (ii) in carrying out his duties, engages in conduct that constitutes gross negligence or willful misconduct; (iii) engages in misconduct that causes, or is reasonably likely to cause,material harm to the reputation or business of the Company or any Affiliated Entities or knowingly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recklessly engages in conduct which is, or is reasonably likely to be, demonstrably and materially injurious to the Company or any of the Affiliated Entities, monetarily or otherwise; or (iv) materially breaches any term of this Agreement, any other material agreement between Executive and any Affiliated Entity or any written policy of any Affiliated Entities applicable to Executive, provided that for subsections (iii) through (iv), if the breach reasonably may be cured, Executive has been given at least thirty (30) days after Executive’s receipt of written notice of such breach from the Company to cure such breach. Whether or not such breach has been cured will be determined in the Board’s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On Account of Death or Disability of Executive</w:t>
      </w:r>
      <w:r>
        <w:rPr>
          <w:rFonts w:ascii="Times New Roman" w:hAnsi="Times New Roman"/>
          <w:color w:val="000000"/>
          <w:sz w:val="24"/>
        </w:rPr>
        <w:t>. Executive’s employment shall automatically terminate in the event of Executive’s death. At the election of the Company, Executive’s employment may be terminated on account of Executive’s Disability. For purposes of this Agreement, “</w:t>
      </w:r>
      <w:r>
        <w:rPr>
          <w:rFonts w:ascii="Times New Roman" w:hAnsi="Times New Roman"/>
          <w:color w:val="000000"/>
          <w:sz w:val="24"/>
          <w:u w:val="single"/>
        </w:rPr>
        <w:t>Disability</w:t>
      </w:r>
      <w:r>
        <w:rPr>
          <w:color w:val="000000"/>
        </w:rPr>
        <w:t xml:space="preserve">” </w:t>
      </w:r>
      <w:r>
        <w:rPr>
          <w:rFonts w:ascii="Times New Roman" w:hAnsi="Times New Roman"/>
          <w:color w:val="000000"/>
          <w:sz w:val="24"/>
        </w:rPr>
        <w:t>shall mean Executive, by reason of any medically determinable physical or mental impairment, becomes unable to perform, with or without reasonable accommodation, the essential functions of his job hereunder and such incapacity has continued for a total of ninety (90) consecutive days or for any one hundred eighty (180) days in a period of three hundred sixty-five (365) consecutive days.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Termination By The Company Without Cause</w:t>
      </w:r>
      <w:r>
        <w:rPr>
          <w:rFonts w:ascii="Times New Roman" w:hAnsi="Times New Roman"/>
          <w:color w:val="000000"/>
          <w:sz w:val="24"/>
        </w:rPr>
        <w:t>. At the election of the Company, Executive’s employment may be terminated upon thirty (30) days’ written notice (provided, however, that the Company may elect to pay Executive for up to thirty (30) days in lieu of such written notice or portion thereof) to Executive for any other reason or for no reason at all (“</w:t>
      </w:r>
      <w:r>
        <w:rPr>
          <w:rFonts w:ascii="Times New Roman" w:hAnsi="Times New Roman"/>
          <w:color w:val="000000"/>
          <w:sz w:val="24"/>
          <w:u w:val="single"/>
        </w:rPr>
        <w:t>Without Cause</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Voluntary Termination by Executive</w:t>
      </w:r>
      <w:r>
        <w:rPr>
          <w:rFonts w:ascii="Times New Roman" w:hAnsi="Times New Roman"/>
          <w:color w:val="000000"/>
          <w:sz w:val="24"/>
        </w:rPr>
        <w:t>. Executive may terminate his employment hereunder at any time and for any reason whatsoever or for no reason at all in Executive’s sole discretion by giving thirty (30) days’ prior written notice (“</w:t>
      </w:r>
      <w:r>
        <w:rPr>
          <w:rFonts w:ascii="Times New Roman" w:hAnsi="Times New Roman"/>
          <w:color w:val="000000"/>
          <w:sz w:val="24"/>
          <w:u w:val="single"/>
        </w:rPr>
        <w:t>Voluntary Resignation</w:t>
      </w:r>
      <w:r>
        <w:rPr>
          <w:color w:val="000000"/>
        </w:rPr>
        <w:t>”</w:t>
      </w:r>
      <w:r>
        <w:rPr>
          <w:rFonts w:ascii="Times New Roman" w:hAnsi="Times New Roman"/>
          <w:color w:val="000000"/>
          <w:sz w:val="24"/>
        </w:rPr>
        <w:t>), which such notice may be waived or reduced by the Company in its sole discretion.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e.</w:t>
      </w:r>
    </w:p>
    <w:p>
      <w:pPr>
        <w:pStyle w:val="TextBody"/>
        <w:bidi w:val="0"/>
        <w:spacing w:before="120" w:after="283"/>
        <w:jc w:val="left"/>
        <w:rPr/>
      </w:pPr>
      <w:r>
        <w:rPr>
          <w:rFonts w:ascii="Times New Roman" w:hAnsi="Times New Roman"/>
          <w:color w:val="000000"/>
          <w:sz w:val="24"/>
          <w:u w:val="single"/>
        </w:rPr>
        <w:t>Termination by Executive For Good Reason</w:t>
      </w:r>
      <w:r>
        <w:rPr>
          <w:rFonts w:ascii="Times New Roman" w:hAnsi="Times New Roman"/>
          <w:color w:val="000000"/>
          <w:sz w:val="24"/>
        </w:rPr>
        <w:t>. Executive may terminate his employment for Good Reason (as defined and in accordance with the below).For purposes of this Agreement, “</w:t>
      </w:r>
      <w:r>
        <w:rPr>
          <w:rFonts w:ascii="Times New Roman" w:hAnsi="Times New Roman"/>
          <w:color w:val="000000"/>
          <w:sz w:val="24"/>
          <w:u w:val="single"/>
        </w:rPr>
        <w:t>Good Reason</w:t>
      </w:r>
      <w:r>
        <w:rPr>
          <w:color w:val="000000"/>
        </w:rPr>
        <w:t xml:space="preserve">” </w:t>
      </w:r>
      <w:r>
        <w:rPr>
          <w:rFonts w:ascii="Times New Roman" w:hAnsi="Times New Roman"/>
          <w:color w:val="000000"/>
          <w:sz w:val="24"/>
        </w:rPr>
        <w:t>shall mean the occurrence of one of the following events without Executive’s written consent:(i) the material breach by the Company of this Agreement, including the failure to pay Executive any Base Salary or any bonus payment to which Executive is entitled within ten days of the date any such payment is due; (ii) a material diminution in Executive’s title, authority, responsibilities, or duties, including reporting requirements; or (iii) a relocation of Executive’s principal place of employment to a location more than twenty-five (25) miles from Executive’s principal place of employment as of the Effective Date. Notwithstanding the foregoing, in order for Executive to terminate for Good Reason,(x) Executive must deliver written notice (which such notice shall describe in reasonable detail the circumstance(s) Executive believes to constitute Good Reason) to the Company of the existence of the circumstances providing grounds for Good Reason within thirty (30) days of the occurrence of such circumstance(s), (y) the Company must fail to correct such occurrence in all material respects within thirty (30) days following written notification by Executive and (z) Executive’s termination must be effective no later than thirty (30) days following the end of such cure period.</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f.</w:t>
      </w:r>
    </w:p>
    <w:p>
      <w:pPr>
        <w:pStyle w:val="TextBody"/>
        <w:bidi w:val="0"/>
        <w:spacing w:before="120" w:after="283"/>
        <w:jc w:val="left"/>
        <w:rPr/>
      </w:pPr>
      <w:r>
        <w:rPr>
          <w:rFonts w:ascii="Times New Roman" w:hAnsi="Times New Roman"/>
          <w:color w:val="000000"/>
          <w:sz w:val="24"/>
          <w:u w:val="single"/>
        </w:rPr>
        <w:t>Resignation of all Positions</w:t>
      </w:r>
      <w:r>
        <w:rPr>
          <w:rFonts w:ascii="Times New Roman" w:hAnsi="Times New Roman"/>
          <w:color w:val="000000"/>
          <w:sz w:val="24"/>
        </w:rPr>
        <w:t xml:space="preserve">. Effective as of any date of termination of Executive’s employment with the Company, Executive shall resign and be removed from, and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shall no longer hold, any and all positions then held by him with the Company or any Affiliated Entities, including, but not limited to any position as an officer, director or fiduciary of any employee benefit plan of any Affiliated Entity or any affiliated investment funds and Executive agrees that he shall execute any documentation reasonably necessary to give effect to the provisions of this Section.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g.</w:t>
      </w:r>
    </w:p>
    <w:p>
      <w:pPr>
        <w:pStyle w:val="TextBody"/>
        <w:bidi w:val="0"/>
        <w:spacing w:before="120" w:after="283"/>
        <w:jc w:val="left"/>
        <w:rPr/>
      </w:pPr>
      <w:r>
        <w:rPr>
          <w:rFonts w:ascii="Times New Roman" w:hAnsi="Times New Roman"/>
          <w:color w:val="000000"/>
          <w:sz w:val="24"/>
          <w:u w:val="single"/>
        </w:rPr>
        <w:t>Cooperation</w:t>
      </w:r>
      <w:r>
        <w:rPr>
          <w:rFonts w:ascii="Times New Roman" w:hAnsi="Times New Roman"/>
          <w:color w:val="000000"/>
          <w:sz w:val="24"/>
        </w:rPr>
        <w:t>. Following the termination of Executive’s employment with the Company, Executive agrees, without receiving additional compensation and upon reasonable notice, to make good faith efforts to cooperate with the Company,the Affiliated Entities and their legal counsel on any matters relating to Executive’s employment with the Company and work for the Affiliated Entities in which the Company reasonably determines that Executive’s cooperation is necessary or appropriate. The Company shall reimburse Executive for reasonable and pre- approved travel and other similar out-of-pocket expenses and fees incurred as a result of any such cooperation and shall take into consideration Executive’s other commitments and activities when scheduling such cooperation.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5.</w:t>
      </w:r>
    </w:p>
    <w:p>
      <w:pPr>
        <w:pStyle w:val="TextBody"/>
        <w:bidi w:val="0"/>
        <w:spacing w:before="120" w:after="283"/>
        <w:jc w:val="left"/>
        <w:rPr/>
      </w:pPr>
      <w:r>
        <w:rPr>
          <w:rFonts w:ascii="Times New Roman" w:hAnsi="Times New Roman"/>
          <w:color w:val="000000"/>
          <w:sz w:val="24"/>
          <w:u w:val="single"/>
        </w:rPr>
        <w:t>Payments Upon Termination of Employment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Termination for Cause, Death, Disability, or Voluntary Resignation</w:t>
      </w:r>
      <w:r>
        <w:rPr>
          <w:rFonts w:ascii="Times New Roman" w:hAnsi="Times New Roman"/>
          <w:color w:val="000000"/>
          <w:sz w:val="24"/>
        </w:rPr>
        <w:t>. If Executive’s employment is terminated by the Company for Cause, on account of Executive’s death or Disability, or by Executive as a Voluntary Resignation, then the Company shall only pay or provide to Executive the following amounts: (i) any Base Salary accrued up to and including the date of termination or resignation, paid within such time required by applicable law; (ii) accrued, unused vacation time, paid in accordance with the Company’s written policies and applicable law; (iii) unreimbursed expenses, paid in accordance with Section 2(f) of this Agreement and the Company’s written policies; and (iv) accrued retirement benefits under any Company retirement plan, paid pursuant to the terms of such plan (collectively,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Termination Without Cause or Non-Renewal by the Company or by</w:t>
      </w:r>
      <w:r>
        <w:rPr>
          <w:color w:val="000000"/>
        </w:rPr>
        <w:t xml:space="preserve"> </w:t>
      </w:r>
      <w:r>
        <w:rPr>
          <w:rFonts w:ascii="Times New Roman" w:hAnsi="Times New Roman"/>
          <w:color w:val="000000"/>
          <w:sz w:val="24"/>
          <w:u w:val="single"/>
        </w:rPr>
        <w:t>Executive for Good Reason</w:t>
      </w:r>
      <w:r>
        <w:rPr>
          <w:rFonts w:ascii="Times New Roman" w:hAnsi="Times New Roman"/>
          <w:color w:val="000000"/>
          <w:sz w:val="24"/>
        </w:rPr>
        <w:t xml:space="preserve">. If the Company terminates Executive’s employment Without Cause, Executive’s employment ends at the end of the Term after the Company provides a notice of non- renewal (and Executive does not commit an act of Cause prior to such date), or Executive terminates his employment for Good Reason,in addition to the Accrued Obligations, the Company shall provide Executive the following: (i) a severance payment, payable in a lump sum, equal to twelve (12) months of Executive’s Base Salary; (ii) a payment, payable in a lump sum, equal to the Target Annual Bonus; (iii)reimbursement for Executive’s cost of COBRA premiums for health insurance continuation coverage (to the extent such premiums exceed the contributory cost for the same coverage that the Company charges active employees) for twelve (12) months or until his right to COBRA continuation expires, whichever is shorter, provided that Executive timely elects and is eligible for COBRA coverage (provided, further, if the Company determines, in its reasonable judgment, that providing reimbursement would result in a violation of applicable law, the imposition of any penalty under applicable law, or adverse tax consequences for any participant covered by the Company’s group health benefits plans, such obligation of the Company shall cease); and (iv) immediate vesting of any and all Company equity awards and immediate vesting of all carried interests in the investment vehicles of Affiliated Entities granted to Executive. Such payment and other consideration are subject to Executive’s execution and delivery of a general waiver and release of claims (that is not revoked and no longer subject to revocation under applicable law) of the Company, all Affiliated Entities,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and each of their respective officers, directors, employees, agents, successors and assigns in a form satisfactory to the Company. All payments under this Section shall be made or begin to be made within sixty (60) days following Executive’s termination of employment; provided, however, that to the extent required by Section 409A (as defined below), if the sixty (60) day period begins in one calendar year and ends in the second calendar year, all payments will be made or begin to be made in the second calendar year. Executive shall not be entitled to receive any amounts under this Section (other than Accrued Benefits) unless the release has been executed and returned to the Company and become fully enforceable and non-revocable prior to the sixtieth (60th)day after the date of Executive’s termination. Notwithstanding the foregoing, if the Company terminates Executive’s employment Without Cause, Executive’s employment ends at the end of the Term after the Company provides a notice of non-renewal, or Executive terminates his employment for Good Reason, either (x) during a period of time when the Company is party to a fully executed letter of intent or a definitive corporate transaction agreement, the consummation of which would result in a Change in Control (defined below) or (y)within eighteen months following a Change in Control, then the severance payment under (i) shall equal the equivalent of eighteen (18) months of Base Salary and the reimbursement under (iii) shall continue for eighteen (18) months.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If Executive is found to have breached any restrictive covenants with the Company or any Affiliated Entities, including the restrictive covenants found in Section 6 and 7 of this Agreement, or violate any obligations set forth in the release, all payments and benefits under Section 5(b) of this Agreement shall immediately cease and be forfeited, including any outstanding equity awards.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d.</w:t>
      </w:r>
    </w:p>
    <w:p>
      <w:pPr>
        <w:pStyle w:val="TextBody"/>
        <w:bidi w:val="0"/>
        <w:spacing w:before="120" w:after="283"/>
        <w:jc w:val="left"/>
        <w:rPr/>
      </w:pPr>
      <w:r>
        <w:rPr>
          <w:rFonts w:ascii="Times New Roman" w:hAnsi="Times New Roman"/>
          <w:color w:val="000000"/>
          <w:sz w:val="24"/>
          <w:u w:val="single"/>
        </w:rPr>
        <w:t>Change in Control</w:t>
      </w:r>
      <w:r>
        <w:rPr>
          <w:rFonts w:ascii="Times New Roman" w:hAnsi="Times New Roman"/>
          <w:color w:val="000000"/>
          <w:sz w:val="24"/>
        </w:rPr>
        <w:t>. For purposes of this Agreement, “</w:t>
      </w:r>
      <w:r>
        <w:rPr>
          <w:rFonts w:ascii="Times New Roman" w:hAnsi="Times New Roman"/>
          <w:color w:val="000000"/>
          <w:sz w:val="24"/>
          <w:u w:val="single"/>
        </w:rPr>
        <w:t>Change in Control</w:t>
      </w:r>
      <w:r>
        <w:rPr>
          <w:color w:val="000000"/>
        </w:rPr>
        <w:t xml:space="preserve">” </w:t>
      </w:r>
      <w:r>
        <w:rPr>
          <w:rFonts w:ascii="Times New Roman" w:hAnsi="Times New Roman"/>
          <w:color w:val="000000"/>
          <w:sz w:val="24"/>
        </w:rPr>
        <w:t>shall be deemed to have occurred if: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person, other than a trustee or other fiduciary holding securities under an employee benefit plan of P10 or a corporation owned directly or indirectly by the shareholders of P10 in substantially the same proportions as their ownership of stock of P10, becomes the beneficial owner, directly or indirectly, of securities of P10 representing fifty percent (50%) or more of the total voting power represented by P10’s then outstanding voting securities;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during any period of two (2) consecutive years, individuals who at the beginning of such period constitute the Board and any new director whose election by or nomination for election by P10’s shareholders or the Board was approved by a vote of a majority of the directors then still in office who either were directors at the beginning of the period or whose election or nomination for election was previously so approved, cease for any reason to constitute a majority thereof;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consummation of a merger or consolidation of P10 with any other corporation, other than a merger or consolidation which would result in the voting securities of P10 outstanding immediately prior thereto continuing to represent (either by remaining outstanding or by being converted into voting securities of the surviving entity) at least fifty percent (50%) of the total voting power represented by the voting securities of P10 or such surviving entity outstanding immediately after such merger or consolidation; 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shareholders of P10 approve a plan of complete liquidation of P10 or an agreement for the sale or disposition by P10 of all or substantially all of P10’s assets.</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For the avoidance of doubt, a corporate restructuring (i) whereby a new parent company is created and immediately following such transaction P10 is a direct or indirect wholly-owned subsidiary of such new parent company, whether through reorganization, merger, exchange or other corporate means, or (ii) in connection with or in preparation for an initial public offering, in each case, shall not be deemed to be a Change in Control.</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6.</w:t>
      </w:r>
    </w:p>
    <w:p>
      <w:pPr>
        <w:pStyle w:val="TextBody"/>
        <w:bidi w:val="0"/>
        <w:spacing w:before="120" w:after="283"/>
        <w:jc w:val="left"/>
        <w:rPr/>
      </w:pPr>
      <w:r>
        <w:rPr>
          <w:rFonts w:ascii="Times New Roman" w:hAnsi="Times New Roman"/>
          <w:color w:val="000000"/>
          <w:sz w:val="24"/>
          <w:u w:val="single"/>
        </w:rPr>
        <w:t>Restrictive Covenants</w:t>
      </w:r>
      <w:r>
        <w:rPr>
          <w:rFonts w:ascii="Times New Roman" w:hAnsi="Times New Roman"/>
          <w:color w:val="000000"/>
          <w:sz w:val="24"/>
        </w:rPr>
        <w:t>. Executive acknowledges and agrees that (a) Executive has a major responsibility for the operation, development and growth of the business of the Company and the Affiliated Entities; (b) as a result of Executive’s employment by the Company and work for the Affiliated Entities, Executive will have access to and be given Confidential Information (defined below) of the Company and the Affiliated Entities and their clients that Executive did not have access to or was not given prior to the execution of this Agreement; and (c) the agreements and covenants contained in this Section 6 are essential to protect the legitimate business interests of the Company and the Affiliated Entities and that the Company will not enter into this Agreement but for such agreements and covenants. Accordingly, Executive covenants and agrees to the following:</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Non-Disclosure of Confidential Information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pPr>
      <w:r>
        <w:rPr>
          <w:rFonts w:ascii="Times New Roman" w:hAnsi="Times New Roman"/>
          <w:color w:val="000000"/>
          <w:sz w:val="24"/>
        </w:rPr>
        <w:t>Executive understands that during his employment, he has had or may have access to unpublished and otherwise confidential information both of a technical and non-technical nature, relating to the business of the Company, the Affiliated Entities or their clients, customers or vendors, including without limitation any of their actual or anticipated business, research or development, any of their technology or the implementation or exploitation thereof, including without limitation information Executive and others have collected, obtained or created, information pertaining to clients, accounts, vendors, prices, costs, materials, processes, codes, material results, technology, system designs, system specifications, materials of construction, trade secrets or equipment designs, including information disclosed to the Company or any Affiliated Entities by others under agreements to hold such information confidential (collectively, the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Executive agrees to observe all policies and procedures of the Company and the Affiliated Entities concerning such Confidential Information. Executive further agrees not to disclose or use, either during his employment or at any time thereafter, any Confidential Information for any purpose, including without limitation any competitive purpose, unless authorized to do so by the Company in writing, except that he may disclose and use such information in the good faith performance of his duties for the Company or the Affiliated Entities. Executive’s obligations under this Agreement will continue with respect to Confidential Information, whether or not his employment is terminated, until such information becomes generally available from public sources through no fault of Executive or any representative of Executive. Notwithstanding the foregoing, however, Executive shall be permitted to disclose Confidential Information as may be required by a subpoena or other governmental order, provided that, unless prohibited by applicable law, he first notifies the Company of such subpoena, order or other requirement and such that the Company or the Affiliated Entity has the opportunity to obtain a protective order or other appropriate remedy.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During Executive’s employment, upon the Company’s request, or upon the termination of his employment for any reason, Executive will promptly deliver to the Company all documents, records, files, notebooks, manuals, letters, notes, reports, customer and supplier lists, cost and profit data, e-mail, apparatus, laptops, computers, smartphones, tablets or other PDAs, hardware, software, drawings, blueprints, and any other material of the Company,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Affiliated Entities or their clients, customers or vendors, including all materials pertaining to or containing Confidential Information, whether or not developed by Executive, and all copies of such materials, whether on the hard drive of a laptop or desktop computer, in hard copy, disk or any other format, which are in his possession, custody or control.</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Nothing contained in this Agreement, in any way, restricts or impedes Executive from exercising protected rights to the extent that such rights cannot be waived by agreement, from preventing the disclosure of Confidential Information as may be required by applicable law or regulation, or from complying with any applicable law or regulation or a valid order or subpoena issued by a court of competent jurisdiction or an authorized government agency, provided that such compliance does not exceed that required by the law, regulation or order. Executive hereby promises and covenants to promptly provide written notice to the Company of any such order, unless such notice is prohibited. Moreover, notwithstanding any other provision of this Agreement, Executive will not be held criminally or civilly liable under any federal or state trade secret law for any disclosure of a trade secret that: is made (1) in confidence to a federal, state, or local government official, either directly or indirectly, or to an attorney; and (2) solely for the purpose of reporting or investigating a suspected violation of law; or is made in a complaint or other document filed under seal in a lawsuit or other proceeding. If Executive files a lawsuit for retaliation by the Company for reporting a suspected violation of law, Executive may disclose the Company’s trade secrets to Executive’s attorney and use the trade secret information in the court proceeding if Executive files any document containing trade secrets under seal, and does not disclose trade secrets, except pursuant to court order.</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Non-Solicitation and Non-Competition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acknowledges and agrees that (1) the services, duties and responsibilities to be rendered by Executive to the Company and the Affiliated Entities under this Agreement are of a special and unique character; (2) Executive will obtain knowledge and skill relevant to the Company’s (and Affiliated Entities’) industry, methods of doing business and marketing strategies by virtue of Executive’s employment; and (3) Executive shall be given access to and training regarding Confidential Information as well as knowledge of the Company’s and Affiliated Entities’ current and prospective clients, clients, vendors and suppliers.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pPr>
      <w:r>
        <w:rPr>
          <w:rFonts w:ascii="Times New Roman" w:hAnsi="Times New Roman"/>
          <w:color w:val="000000"/>
          <w:sz w:val="24"/>
        </w:rPr>
        <w:t>During Executive’s employment with the Company and work for the Affiliated Entities, and for twelve (12) months following the termination thereof for any reason (the “</w:t>
      </w:r>
      <w:r>
        <w:rPr>
          <w:rFonts w:ascii="Times New Roman" w:hAnsi="Times New Roman"/>
          <w:color w:val="000000"/>
          <w:sz w:val="24"/>
          <w:u w:val="single"/>
        </w:rPr>
        <w:t>Non-Solicit Restricted Period</w:t>
      </w:r>
      <w:r>
        <w:rPr>
          <w:color w:val="000000"/>
        </w:rPr>
        <w:t>”</w:t>
      </w:r>
      <w:r>
        <w:rPr>
          <w:rFonts w:ascii="Times New Roman" w:hAnsi="Times New Roman"/>
          <w:color w:val="000000"/>
          <w:sz w:val="24"/>
        </w:rPr>
        <w:t>), Executive shall not solicit for business or accept the business of, any person or entity who is, or was at any time, a Client (as defined below) of the Company or any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Throughout the Non-Solicit Restricted Period, Executive shall not, directly or indirectly, employ, solicit for employment, or otherwise contract for or hire, the services of any individual who is then an employee of or consultant to the Company or any Affiliated Entities or who was an employee of the Company or any Affiliated Entities during the Term or the twelve (12) month period preceding the termination of Executive’s employment with the Company or work for the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iv.</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Throughout the Non-Solicit Restricted Period, Executive shall not take any action that could reasonably be expected to have the effect of encouraging or inducing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any employee, consultant, representative, officer, or director of the Company or any Affiliated Entities to cease their relationship with the Company or any Affiliated Entities for any reason.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w:t>
      </w:r>
    </w:p>
    <w:p>
      <w:pPr>
        <w:pStyle w:val="TextBody"/>
        <w:bidi w:val="0"/>
        <w:spacing w:before="120" w:after="283"/>
        <w:jc w:val="left"/>
        <w:rPr/>
      </w:pPr>
      <w:r>
        <w:rPr>
          <w:rFonts w:ascii="Times New Roman" w:hAnsi="Times New Roman"/>
          <w:color w:val="000000"/>
          <w:sz w:val="24"/>
        </w:rPr>
        <w:t>During the Term and for six (6) months following the termination of Executive’s employment for any reason (the “</w:t>
      </w:r>
      <w:r>
        <w:rPr>
          <w:rFonts w:ascii="Times New Roman" w:hAnsi="Times New Roman"/>
          <w:color w:val="000000"/>
          <w:sz w:val="24"/>
          <w:u w:val="single"/>
        </w:rPr>
        <w:t>Non-Compete Restricted Period</w:t>
      </w:r>
      <w:r>
        <w:rPr>
          <w:color w:val="000000"/>
        </w:rPr>
        <w:t xml:space="preserve">” </w:t>
      </w:r>
      <w:r>
        <w:rPr>
          <w:rFonts w:ascii="Times New Roman" w:hAnsi="Times New Roman"/>
          <w:color w:val="000000"/>
          <w:sz w:val="24"/>
        </w:rPr>
        <w:t>and together with the Non-Solicit Restricted Period, the “</w:t>
      </w:r>
      <w:r>
        <w:rPr>
          <w:rFonts w:ascii="Times New Roman" w:hAnsi="Times New Roman"/>
          <w:color w:val="000000"/>
          <w:sz w:val="24"/>
          <w:u w:val="single"/>
        </w:rPr>
        <w:t>Restricted Period</w:t>
      </w:r>
      <w:r>
        <w:rPr>
          <w:color w:val="000000"/>
        </w:rPr>
        <w:t>”</w:t>
      </w:r>
      <w:r>
        <w:rPr>
          <w:rFonts w:ascii="Times New Roman" w:hAnsi="Times New Roman"/>
          <w:color w:val="000000"/>
          <w:sz w:val="24"/>
        </w:rPr>
        <w:t>), Executive will not anywhere in the United States (1) carry on or engage in, directly or indirectly, any business, partnership, firm, corporation or other entity which wholly or in any significant part engages in any business competing with the Company or any Affiliated Entity (“</w:t>
      </w:r>
      <w:r>
        <w:rPr>
          <w:rFonts w:ascii="Times New Roman" w:hAnsi="Times New Roman"/>
          <w:color w:val="000000"/>
          <w:sz w:val="24"/>
          <w:u w:val="single"/>
        </w:rPr>
        <w:t>Competing Business</w:t>
      </w:r>
      <w:r>
        <w:rPr>
          <w:color w:val="000000"/>
        </w:rPr>
        <w:t>”</w:t>
      </w:r>
      <w:r>
        <w:rPr>
          <w:rFonts w:ascii="Times New Roman" w:hAnsi="Times New Roman"/>
          <w:color w:val="000000"/>
          <w:sz w:val="24"/>
        </w:rPr>
        <w:t>) or (2) directly or indirectly, own, manage, operate, join, become an employee, partner, owner or member of (or an independent contractor to), control or participate in or loan money to any business, individual, partnership, firm, corporation, or other entity which engages in a Competing Business. Notwithstanding the restrictions contained in this Section, Executive may own an aggregate of not more than 5% of the outstanding stock of any class of any corporation engaged in a Competing Business, if such stock is listed on a national securities exchange or regularly traded in the over- the-counter market by a member of a national securities exchange, without violating the provisions of this Section, provided that Executive does not have the power,directly or indirectly, to control or direct the management or affairs of any such corporation and is not involved in the management of such corporation.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w:t>
      </w:r>
    </w:p>
    <w:p>
      <w:pPr>
        <w:pStyle w:val="TextBody"/>
        <w:bidi w:val="0"/>
        <w:spacing w:before="120" w:after="283"/>
        <w:jc w:val="left"/>
        <w:rPr/>
      </w:pPr>
      <w:r>
        <w:rPr>
          <w:rFonts w:ascii="Times New Roman" w:hAnsi="Times New Roman"/>
          <w:color w:val="000000"/>
          <w:sz w:val="24"/>
        </w:rPr>
        <w:t>For purposes of this Agreement, the term “</w:t>
      </w:r>
      <w:r>
        <w:rPr>
          <w:rFonts w:ascii="Times New Roman" w:hAnsi="Times New Roman"/>
          <w:color w:val="000000"/>
          <w:sz w:val="24"/>
          <w:u w:val="single"/>
        </w:rPr>
        <w:t>Client(s)</w:t>
      </w:r>
      <w:r>
        <w:rPr>
          <w:color w:val="000000"/>
        </w:rPr>
        <w:t xml:space="preserve">” </w:t>
      </w:r>
      <w:r>
        <w:rPr>
          <w:rFonts w:ascii="Times New Roman" w:hAnsi="Times New Roman"/>
          <w:color w:val="000000"/>
          <w:sz w:val="24"/>
        </w:rPr>
        <w:t>shall mean any individual, corporation, partnership, business, or other entity, whether for-profit or not-for-profit, public, privately held, or owned by the United States government that is a business entity or individual with whom the Company or any Affiliated Entity has done business or with whom Executive has actively negotiated with during the twelve (12) month period preceding Executive’s termination of employment.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understands and agrees that the restrictions contained herein may limit his ability to engage in a business similar to the business of the Company and the Affiliated Entities. The Company and Executive believe the limitations as to time, geographic area, and scope of activity contained in this Section 6(b) are reasonable and do not impose a greater restraint than necessary to protect the Company’s and Affiliated Entities’ Confidential Information, goodwill, and legitimate business interests.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If any covenant, provision, agreement or part thereof contained herein is found by a court having jurisdiction to be unreasonable in duration, geographic scope, or character of restrictions, such covenant, provision, agreement or part thereof shall not be rendered unenforceable, but rather the duration, geographic scope, or character of restrictions of such covenant, provision, agreement or part thereof shall be deemed reduced or modified with retroactive effect to render such covenant, provision, agreement or part thereof reasonable, and such covenant, provision, agreement or part thereof shall be enforced as modified. If the court having jurisdiction will not revise the covenant, provision, agreement or part thereof, the parties hereto shall mutually agree to a revision having an effect as close as permitted by applicable law to the provision declared unenforceable.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the event Executive breaches the restrictive covenants set forth in this Section 6(b), then the running of the Restricted Period shall be tolled and suspended during the time period in which Executive acts in breach of this Agreement.</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x.</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shall provide a copy of these restrictive covenants to any prospective employer, partner, or co-venturer prior to entering into an employment, independent contractor, consultant, partnership or other business relationship during the Restricted Period.</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7.</w:t>
      </w:r>
    </w:p>
    <w:p>
      <w:pPr>
        <w:pStyle w:val="TextBody"/>
        <w:bidi w:val="0"/>
        <w:spacing w:before="120" w:after="283"/>
        <w:jc w:val="left"/>
        <w:rPr/>
      </w:pPr>
      <w:r>
        <w:rPr>
          <w:rFonts w:ascii="Times New Roman" w:hAnsi="Times New Roman"/>
          <w:color w:val="000000"/>
          <w:sz w:val="24"/>
          <w:u w:val="single"/>
        </w:rPr>
        <w:t>Representations, Warranties andCovenants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a.</w:t>
      </w:r>
    </w:p>
    <w:p>
      <w:pPr>
        <w:pStyle w:val="TextBody"/>
        <w:bidi w:val="0"/>
        <w:spacing w:before="120" w:after="283"/>
        <w:jc w:val="left"/>
        <w:rPr/>
      </w:pPr>
      <w:r>
        <w:rPr>
          <w:rFonts w:ascii="Times New Roman" w:hAnsi="Times New Roman"/>
          <w:color w:val="000000"/>
          <w:sz w:val="24"/>
          <w:u w:val="single"/>
        </w:rPr>
        <w:t>No Restrictive Covenants</w:t>
      </w:r>
      <w:r>
        <w:rPr>
          <w:rFonts w:ascii="Times New Roman" w:hAnsi="Times New Roman"/>
          <w:color w:val="000000"/>
          <w:sz w:val="24"/>
        </w:rPr>
        <w:t>. Executive represents and warrants to the Company that he is not subject to any agreement restricting his ability to enter into this Agreement and fully carry out his duties and responsibilities hereunder and that the performance by Executive of the services, duties and responsibility under this Agreement does not constitute a breach of, or otherwise contravene, the terms of any other non-competition agreement, non-solicitation agreement, employment agreement, or other agreement or policy to which Executive is party or otherwise bound. Executive hereby indemnifies and holds the Company and Affiliated Entities harmless against any losses, claims, expenses (including reasonable attorneys’ fees), damages, or liabilities incurred by the Company and any of the Affiliated Entities as a result of a breach of the foregoing representation and warranty.</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b.</w:t>
      </w:r>
    </w:p>
    <w:p>
      <w:pPr>
        <w:pStyle w:val="TextBody"/>
        <w:bidi w:val="0"/>
        <w:spacing w:before="120" w:after="283"/>
        <w:jc w:val="left"/>
        <w:rPr/>
      </w:pPr>
      <w:r>
        <w:rPr>
          <w:rFonts w:ascii="Times New Roman" w:hAnsi="Times New Roman"/>
          <w:color w:val="000000"/>
          <w:sz w:val="24"/>
          <w:u w:val="single"/>
        </w:rPr>
        <w:t>Adherence to Code of Ethics and Insider Trading Policy</w:t>
      </w:r>
      <w:r>
        <w:rPr>
          <w:rFonts w:ascii="Times New Roman" w:hAnsi="Times New Roman"/>
          <w:color w:val="000000"/>
          <w:sz w:val="24"/>
        </w:rPr>
        <w:t>. Executive represents and warrants that he has received a copy of the Company’s Code of Ethics and its Insider Trading Policy. Executive covenants and agrees to adhere to both the Code of Ethics and the Insider Trading Policy as may be amended from time to time. Executive acknowledges that a material violation of either the Code of Ethics or the Insider Trading Policy would constitute a material breach of this Agreement.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c.</w:t>
      </w:r>
    </w:p>
    <w:p>
      <w:pPr>
        <w:pStyle w:val="TextBody"/>
        <w:bidi w:val="0"/>
        <w:spacing w:before="120" w:after="283"/>
        <w:jc w:val="left"/>
        <w:rPr/>
      </w:pPr>
      <w:r>
        <w:rPr>
          <w:rFonts w:ascii="Times New Roman" w:hAnsi="Times New Roman"/>
          <w:color w:val="000000"/>
          <w:sz w:val="24"/>
          <w:u w:val="single"/>
        </w:rPr>
        <w:t>Assignment of Intellectual Property</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w:t>
      </w:r>
    </w:p>
    <w:p>
      <w:pPr>
        <w:pStyle w:val="TextBody"/>
        <w:bidi w:val="0"/>
        <w:spacing w:before="120" w:after="283"/>
        <w:jc w:val="left"/>
        <w:rPr/>
      </w:pPr>
      <w:r>
        <w:rPr>
          <w:rFonts w:ascii="Times New Roman" w:hAnsi="Times New Roman"/>
          <w:color w:val="000000"/>
          <w:sz w:val="24"/>
        </w:rPr>
        <w:t>Executive will promptly disclose to the Company any idea, invention, discovery or improvement, whether patentable or not (“</w:t>
      </w:r>
      <w:r>
        <w:rPr>
          <w:rFonts w:ascii="Times New Roman" w:hAnsi="Times New Roman"/>
          <w:color w:val="000000"/>
          <w:sz w:val="24"/>
          <w:u w:val="single"/>
        </w:rPr>
        <w:t>Creations</w:t>
      </w:r>
      <w:r>
        <w:rPr>
          <w:color w:val="000000"/>
        </w:rPr>
        <w:t>”</w:t>
      </w:r>
      <w:r>
        <w:rPr>
          <w:rFonts w:ascii="Times New Roman" w:hAnsi="Times New Roman"/>
          <w:color w:val="000000"/>
          <w:sz w:val="24"/>
        </w:rPr>
        <w:t>), conceived or made by him alone or with others at any time during his employment with the Company or while providing services to the Company or any Affiliated Entity. Executive agrees that the Company owns any such Creations, and Executive hereby assigns and agrees to assign to the Company all moral and other rights he has or may acquire therein and agrees to execute any and all applications, assignments and other instruments relating thereto which the Company deems necessary or desirable. These obligations shall continue beyond the termination of his employment with respect to Creations and derivatives of such Creations conceived or made during his employment with the Company. The Company and Executive understand that the obligation to assign Creations to the Company shall not apply to any Creation which is developed entirely on his own time without using any of the Company’s equipment, supplies, facilities, and/or Confidential Information (“</w:t>
      </w:r>
      <w:r>
        <w:rPr>
          <w:rFonts w:ascii="Times New Roman" w:hAnsi="Times New Roman"/>
          <w:color w:val="000000"/>
          <w:sz w:val="24"/>
          <w:u w:val="single"/>
        </w:rPr>
        <w:t>Executive Creations</w:t>
      </w:r>
      <w:r>
        <w:rPr>
          <w:color w:val="000000"/>
        </w:rPr>
        <w:t>”</w:t>
      </w:r>
      <w:r>
        <w:rPr>
          <w:rFonts w:ascii="Times New Roman" w:hAnsi="Times New Roman"/>
          <w:color w:val="000000"/>
          <w:sz w:val="24"/>
        </w:rPr>
        <w:t>) unless such Creation (i) relates in any way to the business or to the current or anticipated research or development of the Company or any of the Affiliated Entities, or (ii) results in any way from his work at the Company or for any of the Affiliated Entities.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 any jurisdiction in which moral rights cannot be assigned, Executive hereby waives any such moral rights and any similar or analogous rights under the applicable laws of any country of the world that Executive may have in connection with the Creations, and to the extent such waiver is unenforceable, Executive hereby covenants and agrees not to bring any claim, suit, or other legal proceeding against the Company or any of the Affiliated Entities claiming that Executive’s moral rights to the Creations have been violated.</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iii.</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Executive agrees to reasonably cooperate with the Company and the Affiliated Entities, both during and after his employment with the Company and work for the Affiliated Entities, with respect to the procurement, maintenance, and enforcement of copyrights, patents, trademarks, and other intellectual property rights (both in the United States and foreign countries) relating to such Creations. Executive shall sign all papers, including, without limitation, copyright applications, patent applications, declarations, oaths, formal assignments, assignments of priority rights, and powers of attorney, which the Company or Affiliated Entities reasonably may deem necessary or desirable in order to protect their rights and interests in any Creations. Executive further agrees that if the Company or any Affiliated Entity is unable, after reasonable effort, to secure Executive’s signature on any such papers, any officer of the Company or an Affiliated Entity shall be entitled to execute such papers as his agent and attorney-in-fact, and Executive hereby irrevocably designates and appoints each officer of the Company or an Affiliated Entity as his agent and attorney-in-fact to execute any such papers on his behalf and to take any and all actions as the Company or any Affiliated Entity may deem necessary or desirable in order to protect its rights and interests in any Creations, under the conditions described in this paragraph, all to the exclusion of Executive’s Creations.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8.</w:t>
      </w:r>
    </w:p>
    <w:p>
      <w:pPr>
        <w:pStyle w:val="TextBody"/>
        <w:bidi w:val="0"/>
        <w:spacing w:before="120" w:after="283"/>
        <w:jc w:val="left"/>
        <w:rPr/>
      </w:pPr>
      <w:r>
        <w:rPr>
          <w:rFonts w:ascii="Times New Roman" w:hAnsi="Times New Roman"/>
          <w:color w:val="000000"/>
          <w:sz w:val="24"/>
          <w:u w:val="single"/>
        </w:rPr>
        <w:t>Remedies</w:t>
      </w:r>
      <w:r>
        <w:rPr>
          <w:rFonts w:ascii="Times New Roman" w:hAnsi="Times New Roman"/>
          <w:color w:val="000000"/>
          <w:sz w:val="24"/>
        </w:rPr>
        <w:t>. Executive acknowledges that the Company or the Affiliated Entities would be irreparably injured by a violation of the covenants contained in Sections 6 or 7, and agrees that the Company shall be entitled to obtain a temporary restraining order and/or a preliminary or permanent injunction restraining Executive from any actual or threatened breach of the covenants contained in Sections 6 or 7, or to any other appropriate equitable remedy without bond or other security being required. Any such relief shall be in addition to and not in lieu of any appropriate relief in the way of monetary damages that the parties may seek in arbitration.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9.</w:t>
      </w:r>
    </w:p>
    <w:p>
      <w:pPr>
        <w:pStyle w:val="TextBody"/>
        <w:bidi w:val="0"/>
        <w:spacing w:before="120" w:after="283"/>
        <w:jc w:val="left"/>
        <w:rPr/>
      </w:pPr>
      <w:r>
        <w:rPr>
          <w:rFonts w:ascii="Times New Roman" w:hAnsi="Times New Roman"/>
          <w:color w:val="000000"/>
          <w:sz w:val="24"/>
          <w:u w:val="single"/>
        </w:rPr>
        <w:t>Waiver of Breach</w:t>
      </w:r>
      <w:r>
        <w:rPr>
          <w:rFonts w:ascii="Times New Roman" w:hAnsi="Times New Roman"/>
          <w:color w:val="000000"/>
          <w:sz w:val="24"/>
        </w:rPr>
        <w:t>. The waiver by either the Company or Executive of a breach of any provision of this Agreement shall not operate as or be deemed a waiver of any subsequent breach by either the Company or Executive. Any waiver must be in writing.</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10.</w:t>
      </w:r>
    </w:p>
    <w:p>
      <w:pPr>
        <w:pStyle w:val="TextBody"/>
        <w:bidi w:val="0"/>
        <w:spacing w:before="120" w:after="283"/>
        <w:jc w:val="left"/>
        <w:rPr/>
      </w:pPr>
      <w:r>
        <w:rPr>
          <w:rFonts w:ascii="Times New Roman" w:hAnsi="Times New Roman"/>
          <w:color w:val="000000"/>
          <w:sz w:val="24"/>
          <w:u w:val="single"/>
        </w:rPr>
        <w:t>Notice</w:t>
      </w:r>
      <w:r>
        <w:rPr>
          <w:rFonts w:ascii="Times New Roman" w:hAnsi="Times New Roman"/>
          <w:color w:val="000000"/>
          <w:sz w:val="24"/>
        </w:rPr>
        <w:t>. For purposes of this Agreement, notices and all other communications provided for in this Agreement shall be in writing and shall be deemed to have been duly given (a) on the date of delivery, if delivered by hand, (b) on the date of transmission, if delivered by electronic mail or confirmed facsimile, (c) on the first business day following the date of deposit, if delivered by guaranteed overnight delivery service, or (d) on the third day following the date delivered or mailed by United States Postal Service registered or certified mail, return receipt requested, postage prepaid, addressed as follows: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 Executive: At the address(or to the email or facsimile number)shown in the books and records of the Company.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to the Company addressed as follows:</w:t>
      </w:r>
    </w:p>
    <w:p>
      <w:pPr>
        <w:pStyle w:val="TextBody"/>
        <w:bidi w:val="0"/>
        <w:spacing w:before="120" w:after="283"/>
        <w:jc w:val="left"/>
        <w:rPr>
          <w:rFonts w:ascii="Times New Roman" w:hAnsi="Times New Roman"/>
          <w:sz w:val="20"/>
        </w:rPr>
      </w:pPr>
      <w:r>
        <w:rPr>
          <w:rFonts w:ascii="Times New Roman" w:hAnsi="Times New Roman"/>
          <w:color w:val="000000"/>
          <w:sz w:val="24"/>
        </w:rPr>
        <w:t>P10 Intermediate Holdings, LLC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4514 Cole Avenue, Suite 1600</w:t>
      </w:r>
    </w:p>
    <w:p>
      <w:pPr>
        <w:pStyle w:val="TextBody"/>
        <w:bidi w:val="0"/>
        <w:jc w:val="left"/>
        <w:rPr>
          <w:rFonts w:ascii="Times New Roman" w:hAnsi="Times New Roman"/>
          <w:color w:val="000000"/>
          <w:sz w:val="24"/>
        </w:rPr>
      </w:pPr>
      <w:r>
        <w:rPr>
          <w:rFonts w:ascii="Times New Roman" w:hAnsi="Times New Roman"/>
          <w:color w:val="000000"/>
          <w:sz w:val="24"/>
        </w:rPr>
        <w:t>Dallas, TX 75205</w:t>
      </w:r>
    </w:p>
    <w:p>
      <w:pPr>
        <w:pStyle w:val="TextBody"/>
        <w:bidi w:val="0"/>
        <w:jc w:val="left"/>
        <w:rPr>
          <w:rFonts w:ascii="Times New Roman" w:hAnsi="Times New Roman"/>
          <w:sz w:val="20"/>
        </w:rPr>
      </w:pPr>
      <w:r>
        <w:rPr>
          <w:rFonts w:ascii="Times New Roman" w:hAnsi="Times New Roman"/>
          <w:color w:val="000000"/>
          <w:sz w:val="24"/>
        </w:rPr>
        <w:t>Attention: Chief Executive Officer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with copies to (which shall not constitute notice):</w:t>
      </w:r>
    </w:p>
    <w:p>
      <w:pPr>
        <w:pStyle w:val="TextBody"/>
        <w:bidi w:val="0"/>
        <w:spacing w:before="120" w:after="283"/>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Kramer Levin Naftalis &amp; Frankel LLP</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1177 Avenue of the Americas</w:t>
      </w:r>
    </w:p>
    <w:p>
      <w:pPr>
        <w:pStyle w:val="TextBody"/>
        <w:bidi w:val="0"/>
        <w:jc w:val="left"/>
        <w:rPr>
          <w:rFonts w:ascii="Times New Roman" w:hAnsi="Times New Roman"/>
          <w:color w:val="000000"/>
          <w:sz w:val="24"/>
        </w:rPr>
      </w:pPr>
      <w:r>
        <w:rPr>
          <w:rFonts w:ascii="Times New Roman" w:hAnsi="Times New Roman"/>
          <w:color w:val="000000"/>
          <w:sz w:val="24"/>
        </w:rPr>
        <w:t>New York, New York 10036</w:t>
      </w:r>
    </w:p>
    <w:p>
      <w:pPr>
        <w:pStyle w:val="TextBody"/>
        <w:bidi w:val="0"/>
        <w:jc w:val="left"/>
        <w:rPr>
          <w:rFonts w:ascii="Times New Roman" w:hAnsi="Times New Roman"/>
          <w:color w:val="000000"/>
          <w:sz w:val="24"/>
        </w:rPr>
      </w:pPr>
      <w:r>
        <w:rPr>
          <w:rFonts w:ascii="Times New Roman" w:hAnsi="Times New Roman"/>
          <w:color w:val="000000"/>
          <w:sz w:val="24"/>
        </w:rPr>
        <w:t>Attention: Todd Lenson</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11.</w:t>
      </w:r>
    </w:p>
    <w:p>
      <w:pPr>
        <w:pStyle w:val="TextBody"/>
        <w:bidi w:val="0"/>
        <w:spacing w:before="120" w:after="283"/>
        <w:jc w:val="left"/>
        <w:rPr/>
      </w:pPr>
      <w:r>
        <w:rPr>
          <w:rFonts w:ascii="Times New Roman" w:hAnsi="Times New Roman"/>
          <w:color w:val="000000"/>
          <w:sz w:val="24"/>
          <w:u w:val="single"/>
        </w:rPr>
        <w:t>Amendment</w:t>
      </w:r>
      <w:r>
        <w:rPr>
          <w:rFonts w:ascii="Times New Roman" w:hAnsi="Times New Roman"/>
          <w:color w:val="000000"/>
          <w:sz w:val="24"/>
        </w:rPr>
        <w:t>. This Agreement may not be amended orally in any manner or in writing without the written consent of the Company and Executive. No provision of this Agreement may be waived, delayed,modified, terminated, or otherwise impaired without the prior written consent of the Company and Executive.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12.</w:t>
      </w:r>
    </w:p>
    <w:p>
      <w:pPr>
        <w:pStyle w:val="TextBody"/>
        <w:bidi w:val="0"/>
        <w:spacing w:before="120" w:after="283"/>
        <w:jc w:val="left"/>
        <w:rPr/>
      </w:pPr>
      <w:r>
        <w:rPr>
          <w:rFonts w:ascii="Times New Roman" w:hAnsi="Times New Roman"/>
          <w:color w:val="000000"/>
          <w:sz w:val="24"/>
          <w:u w:val="single"/>
        </w:rPr>
        <w:t>Entire Agreement</w:t>
      </w:r>
      <w:r>
        <w:rPr>
          <w:rFonts w:ascii="Times New Roman" w:hAnsi="Times New Roman"/>
          <w:color w:val="000000"/>
          <w:sz w:val="24"/>
        </w:rPr>
        <w:t>. This Agreement embodies the entire agreement and understanding of the parties hereto in respect of Executive’s employment with the Company and supersedes all prior agreements, arrangements, and understandings, oral or written, express or implied, between the parties with respect to such employment.</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13.</w:t>
      </w:r>
    </w:p>
    <w:p>
      <w:pPr>
        <w:pStyle w:val="TextBody"/>
        <w:bidi w:val="0"/>
        <w:spacing w:before="120" w:after="283"/>
        <w:jc w:val="left"/>
        <w:rPr/>
      </w:pPr>
      <w:r>
        <w:rPr>
          <w:rFonts w:ascii="Times New Roman" w:hAnsi="Times New Roman"/>
          <w:color w:val="000000"/>
          <w:sz w:val="24"/>
          <w:u w:val="single"/>
        </w:rPr>
        <w:t>Survival</w:t>
      </w:r>
      <w:r>
        <w:rPr>
          <w:rFonts w:ascii="Times New Roman" w:hAnsi="Times New Roman"/>
          <w:color w:val="000000"/>
          <w:sz w:val="24"/>
        </w:rPr>
        <w:t>. Unless otherwise expressly provided, the respective rights and obligations of the parties hereunder, including, without limitation, the rights and obligations set forth in Sections 5, 6, and 7 of this Agreement, shall survive any termination of this Agreement to the extent necessary to the intended preservation of such rights and obligations.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14.</w:t>
      </w:r>
    </w:p>
    <w:p>
      <w:pPr>
        <w:pStyle w:val="TextBody"/>
        <w:bidi w:val="0"/>
        <w:spacing w:before="120" w:after="283"/>
        <w:jc w:val="left"/>
        <w:rPr/>
      </w:pPr>
      <w:r>
        <w:rPr>
          <w:rFonts w:ascii="Times New Roman" w:hAnsi="Times New Roman"/>
          <w:color w:val="000000"/>
          <w:sz w:val="24"/>
          <w:u w:val="single"/>
        </w:rPr>
        <w:t>Governing Law</w:t>
      </w:r>
      <w:r>
        <w:rPr>
          <w:rFonts w:ascii="Times New Roman" w:hAnsi="Times New Roman"/>
          <w:color w:val="000000"/>
          <w:sz w:val="24"/>
        </w:rPr>
        <w:t>. The provisions of this Agreement shall be construed in accordance with the laws of the State of Texas, without regard to conflict of law principles that would result in the application of any law other than the law of the State of Texas.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15.</w:t>
      </w:r>
    </w:p>
    <w:p>
      <w:pPr>
        <w:pStyle w:val="TextBody"/>
        <w:bidi w:val="0"/>
        <w:spacing w:before="120" w:after="283"/>
        <w:jc w:val="left"/>
        <w:rPr/>
      </w:pPr>
      <w:r>
        <w:rPr>
          <w:rFonts w:ascii="Times New Roman" w:hAnsi="Times New Roman"/>
          <w:color w:val="000000"/>
          <w:sz w:val="24"/>
          <w:u w:val="single"/>
        </w:rPr>
        <w:t>Assignment; Successors and Assigns, etc</w:t>
      </w:r>
      <w:r>
        <w:rPr>
          <w:rFonts w:ascii="Times New Roman" w:hAnsi="Times New Roman"/>
          <w:color w:val="000000"/>
          <w:sz w:val="24"/>
        </w:rPr>
        <w:t>. This Agreement is a personal contract and Executive may not sell, transfer, assign, pledge, or hypothecate his rights, interests and obligations hereunder. Except as otherwise herein expressly provided, this Agreement shall be binding upon and shall inure to the benefit of Executive and his personal representatives and shall inure to the benefit of and be binding upon the Company and its successors and assigns.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16.</w:t>
      </w:r>
    </w:p>
    <w:p>
      <w:pPr>
        <w:pStyle w:val="TextBody"/>
        <w:bidi w:val="0"/>
        <w:spacing w:before="120" w:after="283"/>
        <w:jc w:val="left"/>
        <w:rPr/>
      </w:pPr>
      <w:r>
        <w:rPr>
          <w:rFonts w:ascii="Times New Roman" w:hAnsi="Times New Roman"/>
          <w:color w:val="000000"/>
          <w:sz w:val="24"/>
          <w:u w:val="single"/>
        </w:rPr>
        <w:t>Severability</w:t>
      </w:r>
      <w:r>
        <w:rPr>
          <w:rFonts w:ascii="Times New Roman" w:hAnsi="Times New Roman"/>
          <w:color w:val="000000"/>
          <w:sz w:val="24"/>
        </w:rPr>
        <w:t>. If a court determines that any provision of this Agreement contains an invalid or unenforceable restriction or provision, the court is requested and authorized to revise or modify such provision to include the maximum restriction allowed under applicable law.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17.</w:t>
      </w:r>
    </w:p>
    <w:p>
      <w:pPr>
        <w:pStyle w:val="TextBody"/>
        <w:bidi w:val="0"/>
        <w:spacing w:before="120" w:after="283"/>
        <w:jc w:val="left"/>
        <w:rPr/>
      </w:pPr>
      <w:r>
        <w:rPr>
          <w:rFonts w:ascii="Times New Roman" w:hAnsi="Times New Roman"/>
          <w:color w:val="000000"/>
          <w:sz w:val="24"/>
          <w:u w:val="single"/>
        </w:rPr>
        <w:t>Counterparts</w:t>
      </w:r>
      <w:r>
        <w:rPr>
          <w:rFonts w:ascii="Times New Roman" w:hAnsi="Times New Roman"/>
          <w:color w:val="000000"/>
          <w:sz w:val="24"/>
        </w:rPr>
        <w:t>. This Agreement may be executed in multiple counterparts, each of which shall be deemed an original and all of which together shall be considered one and the same agreement and shall become effective when one or more counterparts have been signed by each of the parties and delivered to the other party. Facsimile or .pdf signatures shall have the same force and effect as original signatures.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18.</w:t>
      </w:r>
    </w:p>
    <w:p>
      <w:pPr>
        <w:pStyle w:val="TextBody"/>
        <w:bidi w:val="0"/>
        <w:spacing w:before="120" w:after="283"/>
        <w:jc w:val="left"/>
        <w:rPr/>
      </w:pPr>
      <w:r>
        <w:rPr>
          <w:rFonts w:ascii="Times New Roman" w:hAnsi="Times New Roman"/>
          <w:color w:val="000000"/>
          <w:sz w:val="24"/>
          <w:u w:val="single"/>
        </w:rPr>
        <w:t>Arbitration</w:t>
      </w:r>
      <w:r>
        <w:rPr>
          <w:rFonts w:ascii="Times New Roman" w:hAnsi="Times New Roman"/>
          <w:color w:val="000000"/>
          <w:sz w:val="24"/>
        </w:rPr>
        <w:t xml:space="preserve">. All disputes and disagreements arising from, relating to, or otherwise connected with this Agreement, the breach of this Agreement, Executive’s employment with the Company or providing services to any Affiliated Entity,the enforcement, interpretation or validity of this Agreement, or the employment relationship (including any wage claim, claim for wrongful termination, or any claim based upon any statute, regulation, or law, including those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4"/>
        </w:rPr>
        <w:t>dealing with employment discrimination or retaliation, sexual harassment, civil rights, age, or disability) that the Company may have against Executive or that Executive may have against the Company, including the determination of the scope or applicability of this Agreement to arbitrate, shall be settled by arbitration administered by the Judicial Arbitration and Mediation Services (“</w:t>
      </w:r>
      <w:r>
        <w:rPr>
          <w:rFonts w:ascii="Times New Roman" w:hAnsi="Times New Roman"/>
          <w:color w:val="000000"/>
          <w:sz w:val="24"/>
          <w:u w:val="single"/>
        </w:rPr>
        <w:t>JAMS</w:t>
      </w:r>
      <w:r>
        <w:rPr>
          <w:color w:val="000000"/>
        </w:rPr>
        <w:t>”</w:t>
      </w:r>
      <w:r>
        <w:rPr>
          <w:rFonts w:ascii="Times New Roman" w:hAnsi="Times New Roman"/>
          <w:color w:val="000000"/>
          <w:sz w:val="24"/>
        </w:rPr>
        <w:t>) pursuant to its Comprehensive Arbitration Rules and Procedures (the “</w:t>
      </w:r>
      <w:r>
        <w:rPr>
          <w:rFonts w:ascii="Times New Roman" w:hAnsi="Times New Roman"/>
          <w:color w:val="000000"/>
          <w:sz w:val="24"/>
          <w:u w:val="single"/>
        </w:rPr>
        <w:t>JAMS Rules</w:t>
      </w:r>
      <w:r>
        <w:rPr>
          <w:color w:val="000000"/>
        </w:rPr>
        <w:t>”</w:t>
      </w:r>
      <w:r>
        <w:rPr>
          <w:rFonts w:ascii="Times New Roman" w:hAnsi="Times New Roman"/>
          <w:color w:val="000000"/>
          <w:sz w:val="24"/>
        </w:rPr>
        <w:t>) applicable at the time the arbitration is commenced. A copy of the current version of the JAMS Rules will be made available to Executive upon request. The JAMS Rules may be amended from time to time and are also available online https://www.jamsadr.com/rules-employment-arbitration/. Arbitration shall take place in Dallas, Texas and shall be conducted before a single arbitrator selected by and in accordance with the rules and procedures of the JAMS. The decision of the arbitrator shall be final and binding on the parties. Judgment on any award may be entered in any court having competent jurisdiction, and application may be made to such court for a judicial acceptance of the award and an order of enforcement, as the case may be. The expenses of the arbitration (including any arbitrator fees) shall be borne equally by Executive and the Company.Each of the parties shall bear the fees and expenses of its own legal counsel.</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19.</w:t>
      </w:r>
    </w:p>
    <w:p>
      <w:pPr>
        <w:pStyle w:val="TextBody"/>
        <w:bidi w:val="0"/>
        <w:spacing w:before="120" w:after="283"/>
        <w:jc w:val="left"/>
        <w:rPr/>
      </w:pPr>
      <w:r>
        <w:rPr>
          <w:rFonts w:ascii="Times New Roman" w:hAnsi="Times New Roman"/>
          <w:color w:val="000000"/>
          <w:sz w:val="24"/>
          <w:u w:val="single"/>
        </w:rPr>
        <w:t>Compliance with Section 409A</w:t>
      </w:r>
      <w:r>
        <w:rPr>
          <w:rFonts w:ascii="Times New Roman" w:hAnsi="Times New Roman"/>
          <w:color w:val="000000"/>
          <w:sz w:val="24"/>
        </w:rPr>
        <w:t xml:space="preserve">. This Agreement is intended to comply with Section 409A or an exemption thereunder and shall be construed and administered in accordance with the foregoing. Any payments under this Agreement that may be excluded from Section 409A either as separation pay due to an involuntary separation from service or as a short-term deferral shall be excluded from Section 409A to the maximum extent possible. Notwithstanding anything to the contrary in this Agreement, if Executive is deemed on the date of termination to be a “specified employee” within the meaning of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Executive, and (B) the date of Executive’s death, to the extent required under Section 409A to avoid imposition of any additional taxes or interest. Upon the expiration of the foregoing delay period, all payments and benefits delayed pursuant to this Section (whether they would have otherwise been payable in a single sum or in installments in the absence of such delay) shall be paid or reimbursed to Executive in a lump sum, and any remaining payments and benefits due under this Agreement shall be paid or provided in accordance with the normal payment dates specified for them herein. To the extent that reimbursements or other in-kind benefits under this Agreement constitute “nonqualified deferred compensation” for purposes of Section 409A, (A) all expenses or other reimbursements hereunder shall be made on or prior to the last day of the taxable year following the taxable year in which such expenses were incurred by Executive, (B) any right to reimbursement or in-kind benefits shall not be subject to liquidation or exchange for another benefit,and (C) no such reimbursement, expenses eligible for reimbursement, or in-kind benefits provided in any taxable year shall in any way affect the expenses eligible for reimbursement, or in-kind benefits to be provided, in any other taxable year.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 Notwithstanding the foregoing, the Company makes no representations that the payments and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benefits provided under this Agreement comply with Section409A and in no event shall the Company be liable for all or any portion of any taxes, penalties, interest, or other expenses that may be incurred by Executive on account of non-compliance with Section 409A.</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20.</w:t>
      </w:r>
    </w:p>
    <w:p>
      <w:pPr>
        <w:pStyle w:val="TextBody"/>
        <w:bidi w:val="0"/>
        <w:spacing w:before="120" w:after="283"/>
        <w:jc w:val="left"/>
        <w:rPr/>
      </w:pPr>
      <w:r>
        <w:rPr>
          <w:rFonts w:ascii="Times New Roman" w:hAnsi="Times New Roman"/>
          <w:color w:val="000000"/>
          <w:sz w:val="24"/>
          <w:u w:val="single"/>
        </w:rPr>
        <w:t>Withholding</w:t>
      </w:r>
      <w:r>
        <w:rPr>
          <w:rFonts w:ascii="Times New Roman" w:hAnsi="Times New Roman"/>
          <w:color w:val="000000"/>
          <w:sz w:val="24"/>
        </w:rPr>
        <w:t>. The payments and benefits under this Agreement shall be subject to all applicable withholdings and deductions, including all applicable withholdings for Federal, state and local income taxes, employment and payroll taxes.</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21.</w:t>
      </w:r>
    </w:p>
    <w:p>
      <w:pPr>
        <w:pStyle w:val="TextBody"/>
        <w:bidi w:val="0"/>
        <w:spacing w:before="120" w:after="283"/>
        <w:jc w:val="left"/>
        <w:rPr/>
      </w:pPr>
      <w:r>
        <w:rPr>
          <w:rFonts w:ascii="Times New Roman" w:hAnsi="Times New Roman"/>
          <w:color w:val="000000"/>
          <w:sz w:val="24"/>
          <w:u w:val="single"/>
        </w:rPr>
        <w:t>Application of Compensation Recovery Policy</w:t>
      </w:r>
      <w:r>
        <w:rPr>
          <w:rFonts w:ascii="Times New Roman" w:hAnsi="Times New Roman"/>
          <w:color w:val="000000"/>
          <w:sz w:val="24"/>
        </w:rPr>
        <w:t>. Executive acknowledges that, to the extent applicable, incentive based compensation payable under this Agreement or otherwise is subject to recovery in accordance with the Company’s clawback policy as in effect from time to time.</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22.</w:t>
      </w:r>
    </w:p>
    <w:p>
      <w:pPr>
        <w:pStyle w:val="TextBody"/>
        <w:bidi w:val="0"/>
        <w:spacing w:before="120" w:after="283"/>
        <w:jc w:val="left"/>
        <w:rPr/>
      </w:pPr>
      <w:r>
        <w:rPr>
          <w:rFonts w:ascii="Times New Roman" w:hAnsi="Times New Roman"/>
          <w:color w:val="000000"/>
          <w:sz w:val="24"/>
          <w:u w:val="single"/>
        </w:rPr>
        <w:t>Section 280G</w:t>
      </w:r>
      <w:r>
        <w:rPr>
          <w:rFonts w:ascii="Times New Roman" w:hAnsi="Times New Roman"/>
          <w:color w:val="000000"/>
          <w:sz w:val="24"/>
        </w:rPr>
        <w:t>.</w:t>
      </w:r>
      <w:r>
        <w:rPr>
          <w:rFonts w:ascii="Times New Roman" w:hAnsi="Times New Roman"/>
          <w:color w:val="000000"/>
          <w:sz w:val="2"/>
        </w:rPr>
        <w:t>.</w:t>
      </w:r>
    </w:p>
    <w:p>
      <w:pPr>
        <w:pStyle w:val="TextBody"/>
        <w:bidi w:val="0"/>
        <w:spacing w:before="120" w:after="283"/>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Notwithstanding any other provision of this Agreement or any other plan, arrangement, or agreement to the contrary, if any of the payments or benefits provided or to be provided by the Company to Executive or for Executive’s benefit pursuant to the terms of this Agreement or otherwise (“</w:t>
      </w:r>
      <w:r>
        <w:rPr>
          <w:rFonts w:ascii="Times New Roman" w:hAnsi="Times New Roman"/>
          <w:color w:val="000000"/>
          <w:sz w:val="24"/>
          <w:u w:val="single"/>
        </w:rPr>
        <w:t>Covered Payments</w:t>
      </w:r>
      <w:r>
        <w:rPr>
          <w:rFonts w:ascii="Times New Roman" w:hAnsi="Times New Roman"/>
          <w:color w:val="000000"/>
          <w:sz w:val="20"/>
        </w:rPr>
        <w:t>”</w:t>
      </w:r>
      <w:r>
        <w:rPr>
          <w:rFonts w:ascii="Times New Roman" w:hAnsi="Times New Roman"/>
          <w:color w:val="000000"/>
          <w:sz w:val="24"/>
        </w:rPr>
        <w:t>) constitute parachute payments within the meaning of Section 280G of the Code and would, but for this Section, be subject to the excise tax imposed under Section 4999 (or any successor provision thereto) or any similar tax imposed by state or local law or any interest or penalties with respect to such taxes (collectively, the “</w:t>
      </w:r>
      <w:r>
        <w:rPr>
          <w:rFonts w:ascii="Times New Roman" w:hAnsi="Times New Roman"/>
          <w:color w:val="000000"/>
          <w:sz w:val="24"/>
          <w:u w:val="single"/>
        </w:rPr>
        <w:t>Excise Tax</w:t>
      </w:r>
      <w:r>
        <w:rPr>
          <w:rFonts w:ascii="Times New Roman" w:hAnsi="Times New Roman"/>
          <w:color w:val="000000"/>
          <w:sz w:val="20"/>
        </w:rPr>
        <w:t>”</w:t>
      </w:r>
      <w:r>
        <w:rPr>
          <w:rFonts w:ascii="Times New Roman" w:hAnsi="Times New Roman"/>
          <w:color w:val="000000"/>
          <w:sz w:val="24"/>
        </w:rPr>
        <w:t>), then prior to making the Covered Payments, a calculation shall be made comparing (i) the Net Benefit (as defined below) to Executive of the Covered Payments after payment of the Excise Tax to (ii) the Net Benefit to Executive if the Covered Payments are limited to the extent necessary to avoid being subject to the Excise Tax. Only if the amount calculated under (i) above is less than the amount under (ii) above will the Covered Payments be reduced to the minimum extent necessary to ensure that no portion of the Covered Payments is subject to the Excise Tax. “</w:t>
      </w:r>
      <w:r>
        <w:rPr>
          <w:rFonts w:ascii="Times New Roman" w:hAnsi="Times New Roman"/>
          <w:color w:val="000000"/>
          <w:sz w:val="24"/>
          <w:u w:val="single"/>
        </w:rPr>
        <w:t>Net</w:t>
      </w:r>
      <w:r>
        <w:rPr>
          <w:rFonts w:ascii="Times New Roman" w:hAnsi="Times New Roman"/>
          <w:color w:val="000000"/>
          <w:sz w:val="20"/>
        </w:rPr>
        <w:t xml:space="preserve"> </w:t>
      </w:r>
      <w:r>
        <w:rPr>
          <w:rFonts w:ascii="Times New Roman" w:hAnsi="Times New Roman"/>
          <w:color w:val="000000"/>
          <w:sz w:val="24"/>
          <w:u w:val="single"/>
        </w:rPr>
        <w:t>Benefit</w:t>
      </w:r>
      <w:r>
        <w:rPr>
          <w:rFonts w:ascii="Times New Roman" w:hAnsi="Times New Roman"/>
          <w:color w:val="000000"/>
          <w:sz w:val="20"/>
        </w:rPr>
        <w:t xml:space="preserve">” </w:t>
      </w:r>
      <w:r>
        <w:rPr>
          <w:rFonts w:ascii="Times New Roman" w:hAnsi="Times New Roman"/>
          <w:color w:val="000000"/>
          <w:sz w:val="24"/>
        </w:rPr>
        <w:t>shall mean the present value of the Covered Payments net of all federal, state, local, foreign income, employment, and excise taxes.</w:t>
      </w:r>
    </w:p>
    <w:p>
      <w:pPr>
        <w:pStyle w:val="TextBody"/>
        <w:bidi w:val="0"/>
        <w:spacing w:before="120" w:after="283"/>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Any such reduction shall be made in accordance with Section 409A and the following: (i) the Covered Payments that do not constitute nonqualified deferred compensation subject to Section 409A shall be reduced first; and (ii) all other Covered Payments shall then be reduced as follows: (A) cash payments shall be reduced before non-cash payments; and (B) payments to be made on a later payment date shall be reduced before payments to be made on an earlier payment date.</w:t>
      </w:r>
    </w:p>
    <w:p>
      <w:pPr>
        <w:pStyle w:val="TextBody"/>
        <w:bidi w:val="0"/>
        <w:spacing w:before="120" w:after="283"/>
        <w:jc w:val="left"/>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Any determination required under this Section, including whether any payments or benefits are parachute payments, shall be made by an independent public accounting firm that is mutually agreed by the Company and the CEO (the “</w:t>
      </w:r>
      <w:r>
        <w:rPr>
          <w:rFonts w:ascii="Times New Roman" w:hAnsi="Times New Roman"/>
          <w:color w:val="000000"/>
          <w:sz w:val="24"/>
          <w:u w:val="single"/>
        </w:rPr>
        <w:t>Accounting Firm</w:t>
      </w:r>
      <w:r>
        <w:rPr>
          <w:rFonts w:ascii="Times New Roman" w:hAnsi="Times New Roman"/>
          <w:color w:val="000000"/>
          <w:sz w:val="20"/>
        </w:rPr>
        <w:t>”</w:t>
      </w:r>
      <w:r>
        <w:rPr>
          <w:rFonts w:ascii="Times New Roman" w:hAnsi="Times New Roman"/>
          <w:color w:val="000000"/>
          <w:sz w:val="24"/>
        </w:rPr>
        <w:t>), based upon reasonable, good faith assumptions and interpretations of Section 280G. Executive and the Company shall provide the Accounting Firm with such information and documents as the Accounting Firm may reasonably request in order to make a determination under this Section. The Accounting Firm shall provide its determination, together with detailed supporting calculations and documentation, to the Company and Executive as promptly as practicable. The determination of the Accounting Firm shall, absent manifest error, be final and binding on all parties.</w:t>
      </w:r>
    </w:p>
    <w:p>
      <w:pPr>
        <w:pStyle w:val="TextBody"/>
        <w:bidi w:val="0"/>
        <w:spacing w:before="120" w:after="283"/>
        <w:jc w:val="center"/>
        <w:rPr>
          <w:rFonts w:ascii="Times New Roman" w:hAnsi="Times New Roman"/>
          <w:sz w:val="20"/>
        </w:rPr>
      </w:pPr>
      <w:r>
        <w:rPr>
          <w:rFonts w:ascii="Times New Roman" w:hAnsi="Times New Roman"/>
          <w:color w:val="000000"/>
          <w:sz w:val="24"/>
        </w:rPr>
        <w:t xml:space="preserve">[ </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color w:val="000000"/>
          <w:sz w:val="24"/>
        </w:rPr>
      </w:pPr>
      <w:r>
        <w:rPr>
          <w:rFonts w:ascii="Times New Roman" w:hAnsi="Times New Roman"/>
          <w:color w:val="000000"/>
          <w:sz w:val="24"/>
        </w:rPr>
        <w:t>IN WITNESS WHEREOF, Executive and the Company have executed this Agreement effective as of the date first above written.</w:t>
      </w:r>
    </w:p>
    <w:p>
      <w:pPr>
        <w:pStyle w:val="TextBody"/>
        <w:bidi w:val="0"/>
        <w:jc w:val="righ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w:t>
      </w:r>
      <w:r>
        <w:rPr>
          <w:rFonts w:ascii="Times New Roman" w:hAnsi="Times New Roman"/>
          <w:color w:val="000000"/>
          <w:sz w:val="20"/>
          <w:u w:val="single"/>
        </w:rPr>
        <w:t xml:space="preserve"> </w:t>
      </w:r>
      <w:r>
        <w:rPr>
          <w:rFonts w:ascii="Times New Roman" w:hAnsi="Times New Roman"/>
          <w:color w:val="000000"/>
          <w:sz w:val="24"/>
          <w:u w:val="single"/>
        </w:rPr>
        <w:t>Mark Hood</w:t>
      </w:r>
    </w:p>
    <w:p>
      <w:pPr>
        <w:pStyle w:val="TextBody"/>
        <w:bidi w:val="0"/>
        <w:jc w:val="right"/>
        <w:rPr>
          <w:rFonts w:ascii="Times New Roman" w:hAnsi="Times New Roman"/>
          <w:sz w:val="20"/>
        </w:rPr>
      </w:pPr>
      <w:r>
        <w:rPr>
          <w:rFonts w:ascii="Times New Roman" w:hAnsi="Times New Roman"/>
          <w:color w:val="000000"/>
          <w:sz w:val="22"/>
        </w:rPr>
        <w:t>By:</w:t>
      </w:r>
      <w:r>
        <w:rPr>
          <w:rFonts w:ascii="Times New Roman" w:hAnsi="Times New Roman"/>
          <w:color w:val="000000"/>
          <w:sz w:val="20"/>
          <w:u w:val="single"/>
        </w:rPr>
        <w:t xml:space="preserve"> </w:t>
      </w:r>
      <w:r>
        <w:rPr>
          <w:rFonts w:ascii="Times New Roman" w:hAnsi="Times New Roman"/>
          <w:color w:val="000000"/>
          <w:sz w:val="24"/>
          <w:u w:val="single"/>
        </w:rPr>
        <w:t xml:space="preserve">/s/ Luke Sarsfield </w:t>
      </w:r>
    </w:p>
    <w:p>
      <w:pPr>
        <w:pStyle w:val="TextBody"/>
        <w:bidi w:val="0"/>
        <w:jc w:val="right"/>
        <w:rPr>
          <w:rFonts w:ascii="Times New Roman" w:hAnsi="Times New Roman"/>
          <w:b/>
          <w:color w:val="000000"/>
          <w:sz w:val="22"/>
        </w:rPr>
      </w:pPr>
      <w:r>
        <w:rPr>
          <w:rFonts w:ascii="Times New Roman" w:hAnsi="Times New Roman"/>
          <w:b/>
          <w:color w:val="000000"/>
          <w:sz w:val="22"/>
        </w:rPr>
        <w:t>P10 Intermediate Holdings, LLC</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rFonts w:ascii="Times New Roman" w:hAnsi="Times New Roman"/>
          <w:color w:val="000000"/>
          <w:sz w:val="16"/>
        </w:rPr>
      </w:pPr>
      <w:r>
        <w:rPr>
          <w:rFonts w:ascii="Times New Roman" w:hAnsi="Times New Roman"/>
          <w:color w:val="000000"/>
          <w:sz w:val="16"/>
        </w:rPr>
        <w:t>DOCPROPERTY "DocID" \* MERGEFORMAT 4894-7632-2147.1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8" w:name="exhibit_31_1"/>
      <w:bookmarkStart w:id="29" w:name="px-ex31_1.htm"/>
      <w:bookmarkStart w:id="30" w:name="kspxex31_1"/>
      <w:bookmarkEnd w:id="28"/>
      <w:bookmarkEnd w:id="29"/>
      <w:bookmarkEnd w:id="30"/>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Luke A. Sarsfield III,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1" w:name="exhibit_31_3"/>
      <w:bookmarkStart w:id="32" w:name="px-ex31_2.htm"/>
      <w:bookmarkStart w:id="33" w:name="kspxex31_2"/>
      <w:bookmarkEnd w:id="31"/>
      <w:bookmarkEnd w:id="32"/>
      <w:bookmarkEnd w:id="33"/>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 Amanda Coussens,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Form 10-Q of P10,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exhibit_32_1"/>
      <w:bookmarkStart w:id="35" w:name="px-ex32_1.htm"/>
      <w:bookmarkStart w:id="36" w:name="kspxex32_1"/>
      <w:bookmarkEnd w:id="34"/>
      <w:bookmarkEnd w:id="35"/>
      <w:bookmarkEnd w:id="36"/>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P10, Inc. (the “Company”) on Form 10-Q for the quarter ended March 31, 2024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282" w:type="dxa"/>
        <w:jc w:val="left"/>
        <w:tblInd w:w="0" w:type="dxa"/>
        <w:tblLayout w:type="fixed"/>
        <w:tblCellMar>
          <w:top w:w="28" w:type="dxa"/>
          <w:left w:w="28" w:type="dxa"/>
          <w:bottom w:w="28" w:type="dxa"/>
          <w:right w:w="28" w:type="dxa"/>
        </w:tblCellMar>
      </w:tblPr>
      <w:tblGrid>
        <w:gridCol w:w="1636"/>
        <w:gridCol w:w="109"/>
        <w:gridCol w:w="406"/>
        <w:gridCol w:w="213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Luke A. Sarsfield III</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7" w:name="exhibit_32_2"/>
      <w:bookmarkStart w:id="38" w:name="px-ex32_2.htm"/>
      <w:bookmarkStart w:id="39" w:name="kspxex32_2"/>
      <w:bookmarkEnd w:id="37"/>
      <w:bookmarkEnd w:id="38"/>
      <w:bookmarkEnd w:id="39"/>
      <w:r>
        <w:rPr>
          <w:rFonts w:ascii="Times New Roman" w:hAnsi="Times New Roman"/>
          <w:b/>
          <w:color w:val="000000"/>
          <w:sz w:val="20"/>
        </w:rPr>
        <w:t>Exhibit 32.2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P10, Inc. (the “Company”) on Form 10-Q for the quarter ended March 31, 2024 as filed with the Securities and Exchange Commission on the date hereof (the “Report”), I certify, pursuant to 18 U.S.C. § 1350, as adopted pursuant to § 906 of the Sarbanes-Oxley Act of 2002, that:</w:t>
      </w:r>
    </w:p>
    <w:p>
      <w:pPr>
        <w:pStyle w:val="TextBody"/>
        <w:bidi w:val="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tbl>
      <w:tblPr>
        <w:tblW w:w="4252" w:type="dxa"/>
        <w:jc w:val="left"/>
        <w:tblInd w:w="0" w:type="dxa"/>
        <w:tblLayout w:type="fixed"/>
        <w:tblCellMar>
          <w:top w:w="28" w:type="dxa"/>
          <w:left w:w="28" w:type="dxa"/>
          <w:bottom w:w="28" w:type="dxa"/>
          <w:right w:w="28" w:type="dxa"/>
        </w:tblCellMar>
      </w:tblPr>
      <w:tblGrid>
        <w:gridCol w:w="1636"/>
        <w:gridCol w:w="109"/>
        <w:gridCol w:w="406"/>
        <w:gridCol w:w="210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01" w:type="dxa"/>
            <w:tcBorders>
              <w:bottom w:val="single" w:sz="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Amanda Coussens</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53449</Words>
  <Characters>292965</Characters>
  <CharactersWithSpaces>346996</CharactersWithSpaces>
  <Paragraphs>6644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