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ind w:left="4580"/>
        <w:spacing w:after="0"/>
        <w:rPr>
          <w:sz w:val="20"/>
          <w:szCs w:val="20"/>
          <w:color w:val="auto"/>
        </w:rPr>
      </w:pPr>
      <w:r>
        <w:rPr>
          <w:rFonts w:ascii="Arial" w:cs="Arial" w:eastAsia="Arial" w:hAnsi="Arial"/>
          <w:sz w:val="24"/>
          <w:szCs w:val="24"/>
          <w:b w:val="1"/>
          <w:bCs w:val="1"/>
          <w:color w:val="auto"/>
        </w:rPr>
        <w:t>CURRENT REPORT</w:t>
      </w:r>
    </w:p>
    <w:p>
      <w:pPr>
        <w:spacing w:after="0" w:line="156" w:lineRule="exact"/>
        <w:rPr>
          <w:sz w:val="24"/>
          <w:szCs w:val="24"/>
          <w:color w:val="auto"/>
        </w:rPr>
      </w:pPr>
    </w:p>
    <w:p>
      <w:pPr>
        <w:ind w:left="3960"/>
        <w:spacing w:after="0"/>
        <w:rPr>
          <w:sz w:val="20"/>
          <w:szCs w:val="20"/>
          <w:color w:val="auto"/>
        </w:rPr>
      </w:pPr>
      <w:r>
        <w:rPr>
          <w:rFonts w:ascii="Arial" w:cs="Arial" w:eastAsia="Arial" w:hAnsi="Arial"/>
          <w:sz w:val="24"/>
          <w:szCs w:val="24"/>
          <w:b w:val="1"/>
          <w:bCs w:val="1"/>
          <w:color w:val="auto"/>
        </w:rPr>
        <w:t>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28, 2004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880" w:type="dxa"/>
            <w:vAlign w:val="bottom"/>
          </w:tcPr>
          <w:p>
            <w:pPr>
              <w:jc w:val="center"/>
              <w:ind w:right="2185"/>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tcPr>
          <w:p>
            <w:pPr>
              <w:jc w:val="right"/>
              <w:ind w:right="22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7880" w:type="dxa"/>
            <w:vAlign w:val="bottom"/>
          </w:tcPr>
          <w:p>
            <w:pPr>
              <w:jc w:val="center"/>
              <w:ind w:right="2185"/>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3540" w:type="dxa"/>
            <w:vAlign w:val="bottom"/>
          </w:tcPr>
          <w:p>
            <w:pPr>
              <w:jc w:val="center"/>
              <w:ind w:righ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880" w:type="dxa"/>
            <w:vAlign w:val="bottom"/>
          </w:tcPr>
          <w:p>
            <w:pPr>
              <w:jc w:val="center"/>
              <w:ind w:right="2185"/>
              <w:spacing w:after="0"/>
              <w:rPr>
                <w:sz w:val="20"/>
                <w:szCs w:val="20"/>
                <w:color w:val="auto"/>
              </w:rPr>
            </w:pPr>
            <w:r>
              <w:rPr>
                <w:rFonts w:ascii="Arial" w:cs="Arial" w:eastAsia="Arial" w:hAnsi="Arial"/>
                <w:sz w:val="14"/>
                <w:szCs w:val="14"/>
                <w:b w:val="1"/>
                <w:bCs w:val="1"/>
                <w:color w:val="auto"/>
                <w:w w:val="91"/>
              </w:rPr>
              <w:t>of Incorporation)</w:t>
            </w: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7880" w:type="dxa"/>
            <w:vAlign w:val="bottom"/>
          </w:tcPr>
          <w:p>
            <w:pPr>
              <w:jc w:val="center"/>
              <w:ind w:right="218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3540" w:type="dxa"/>
            <w:vAlign w:val="bottom"/>
          </w:tcPr>
          <w:p>
            <w:pPr>
              <w:jc w:val="right"/>
              <w:ind w:right="2444"/>
              <w:spacing w:after="0"/>
              <w:rPr>
                <w:sz w:val="20"/>
                <w:szCs w:val="20"/>
                <w:color w:val="auto"/>
              </w:rPr>
            </w:pPr>
            <w:r>
              <w:rPr>
                <w:rFonts w:ascii="Arial" w:cs="Arial" w:eastAsia="Arial" w:hAnsi="Arial"/>
                <w:sz w:val="18"/>
                <w:szCs w:val="18"/>
                <w:b w:val="1"/>
                <w:bCs w:val="1"/>
                <w:color w:val="auto"/>
              </w:rPr>
              <w:t>78758</w:t>
            </w:r>
          </w:p>
        </w:tc>
      </w:tr>
      <w:tr>
        <w:trPr>
          <w:trHeight w:val="174"/>
        </w:trPr>
        <w:tc>
          <w:tcPr>
            <w:tcW w:w="7880" w:type="dxa"/>
            <w:vAlign w:val="bottom"/>
          </w:tcPr>
          <w:p>
            <w:pPr>
              <w:jc w:val="center"/>
              <w:ind w:right="2185"/>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40" w:type="dxa"/>
            <w:vAlign w:val="bottom"/>
          </w:tcPr>
          <w:p>
            <w:pPr>
              <w:jc w:val="center"/>
              <w:ind w:right="184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7880" w:type="dxa"/>
            <w:vAlign w:val="bottom"/>
          </w:tcPr>
          <w:p>
            <w:pPr>
              <w:jc w:val="center"/>
              <w:ind w:left="3465"/>
              <w:spacing w:after="0"/>
              <w:rPr>
                <w:sz w:val="20"/>
                <w:szCs w:val="20"/>
                <w:color w:val="auto"/>
              </w:rPr>
            </w:pPr>
            <w:r>
              <w:rPr>
                <w:rFonts w:ascii="Arial" w:cs="Arial" w:eastAsia="Arial" w:hAnsi="Arial"/>
                <w:sz w:val="18"/>
                <w:szCs w:val="18"/>
                <w:b w:val="1"/>
                <w:bCs w:val="1"/>
                <w:color w:val="auto"/>
                <w:w w:val="89"/>
              </w:rPr>
              <w:t>(512) 836-6464</w:t>
            </w:r>
          </w:p>
        </w:tc>
        <w:tc>
          <w:tcPr>
            <w:tcW w:w="3540" w:type="dxa"/>
            <w:vAlign w:val="bottom"/>
          </w:tcPr>
          <w:p>
            <w:pPr>
              <w:spacing w:after="0"/>
              <w:rPr>
                <w:sz w:val="24"/>
                <w:szCs w:val="24"/>
                <w:color w:val="auto"/>
              </w:rPr>
            </w:pPr>
          </w:p>
        </w:tc>
      </w:tr>
      <w:tr>
        <w:trPr>
          <w:trHeight w:val="174"/>
        </w:trPr>
        <w:tc>
          <w:tcPr>
            <w:tcW w:w="7880" w:type="dxa"/>
            <w:vAlign w:val="bottom"/>
          </w:tcPr>
          <w:p>
            <w:pPr>
              <w:jc w:val="center"/>
              <w:ind w:left="3465"/>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3540" w:type="dxa"/>
            <w:vAlign w:val="bottom"/>
          </w:tcPr>
          <w:p>
            <w:pPr>
              <w:spacing w:after="0"/>
              <w:rPr>
                <w:sz w:val="15"/>
                <w:szCs w:val="15"/>
                <w:color w:val="auto"/>
              </w:rPr>
            </w:pPr>
          </w:p>
        </w:tc>
      </w:tr>
      <w:tr>
        <w:trPr>
          <w:trHeight w:val="297"/>
        </w:trPr>
        <w:tc>
          <w:tcPr>
            <w:tcW w:w="7880" w:type="dxa"/>
            <w:vAlign w:val="bottom"/>
          </w:tcPr>
          <w:p>
            <w:pPr>
              <w:jc w:val="center"/>
              <w:ind w:left="3465"/>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3540" w:type="dxa"/>
            <w:vAlign w:val="bottom"/>
          </w:tcPr>
          <w:p>
            <w:pPr>
              <w:spacing w:after="0"/>
              <w:rPr>
                <w:sz w:val="24"/>
                <w:szCs w:val="24"/>
                <w:color w:val="auto"/>
              </w:rPr>
            </w:pPr>
          </w:p>
        </w:tc>
      </w:tr>
      <w:tr>
        <w:trPr>
          <w:trHeight w:val="267"/>
        </w:trPr>
        <w:tc>
          <w:tcPr>
            <w:tcW w:w="7880" w:type="dxa"/>
            <w:vAlign w:val="bottom"/>
            <w:tcBorders>
              <w:bottom w:val="single" w:sz="8" w:color="auto"/>
            </w:tcBorders>
          </w:tcPr>
          <w:p>
            <w:pPr>
              <w:spacing w:after="0"/>
              <w:rPr>
                <w:sz w:val="23"/>
                <w:szCs w:val="23"/>
                <w:color w:val="auto"/>
              </w:rPr>
            </w:pPr>
          </w:p>
        </w:tc>
        <w:tc>
          <w:tcPr>
            <w:tcW w:w="3540" w:type="dxa"/>
            <w:vAlign w:val="bottom"/>
            <w:tcBorders>
              <w:bottom w:val="single" w:sz="8" w:color="auto"/>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12. Results of Operations and Financial Condition</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April 28, 2004, Active Power, Inc. issued a press release reporting its results of operations for its fiscal quarter ended March 31, 2004. A copy of the press release is furnished herewith as Exhibit 99.1 and incorporated by reference herein.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information furnished in this Item 12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Registrant has duly caused this report to be signed on its behalf by the undersigned hereunto duly authorized.</w:t>
      </w:r>
    </w:p>
    <w:p>
      <w:pPr>
        <w:spacing w:after="0" w:line="11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ACTIVE POWER, INC.</w:t>
      </w:r>
    </w:p>
    <w:p>
      <w:pPr>
        <w:spacing w:after="0" w:line="380" w:lineRule="exact"/>
        <w:rPr>
          <w:sz w:val="20"/>
          <w:szCs w:val="20"/>
          <w:color w:val="auto"/>
        </w:rPr>
      </w:pPr>
    </w:p>
    <w:p>
      <w:pPr>
        <w:spacing w:after="0"/>
        <w:tabs>
          <w:tab w:leader="none" w:pos="6140" w:val="left"/>
          <w:tab w:leader="none" w:pos="6620" w:val="left"/>
        </w:tabs>
        <w:rPr>
          <w:sz w:val="20"/>
          <w:szCs w:val="20"/>
          <w:color w:val="auto"/>
        </w:rPr>
      </w:pPr>
      <w:r>
        <w:rPr>
          <w:rFonts w:ascii="Arial" w:cs="Arial" w:eastAsia="Arial" w:hAnsi="Arial"/>
          <w:sz w:val="18"/>
          <w:szCs w:val="18"/>
          <w:color w:val="auto"/>
        </w:rPr>
        <w:t>Dated: April 28,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274"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780" w:type="dxa"/>
            <w:vAlign w:val="bottom"/>
          </w:tcPr>
          <w:p>
            <w:pPr>
              <w:ind w:left="242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520" w:type="dxa"/>
            <w:vAlign w:val="bottom"/>
            <w:gridSpan w:val="3"/>
          </w:tcPr>
          <w:p>
            <w:pPr>
              <w:ind w:left="8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r>
      <w:tr>
        <w:trPr>
          <w:trHeight w:val="532"/>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99.1</w:t>
            </w:r>
          </w:p>
        </w:tc>
        <w:tc>
          <w:tcPr>
            <w:tcW w:w="5520" w:type="dxa"/>
            <w:vAlign w:val="bottom"/>
            <w:gridSpan w:val="3"/>
          </w:tcPr>
          <w:p>
            <w:pPr>
              <w:ind w:left="840"/>
              <w:spacing w:after="0"/>
              <w:rPr>
                <w:sz w:val="20"/>
                <w:szCs w:val="20"/>
                <w:color w:val="auto"/>
              </w:rPr>
            </w:pPr>
            <w:r>
              <w:rPr>
                <w:rFonts w:ascii="Arial" w:cs="Arial" w:eastAsia="Arial" w:hAnsi="Arial"/>
                <w:sz w:val="18"/>
                <w:szCs w:val="18"/>
                <w:color w:val="auto"/>
              </w:rPr>
              <w:t>Press Release of Active Power, Inc. dated April 28, 2004</w:t>
            </w:r>
          </w:p>
        </w:tc>
      </w:tr>
    </w:tbl>
    <w:p>
      <w:pPr>
        <w:ind w:left="84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Active Power, Inc. dated April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FIRST QUARTER RESULTS</w:t>
      </w:r>
    </w:p>
    <w:p>
      <w:pPr>
        <w:spacing w:after="0" w:line="16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AUSTIN, Texas (April 28, 2004) — Active Power, Inc. (NASDAQ: ACPW) today announced results for its first quarter ended March 31, 2004. Total revenues for the first quarter of fiscal 2004 were $3.2 million, up 35% sequentially from the fourth quarter 2003 and 99% from the same period last year.</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loss for the first quarter of 2004 was $5.6 million, or 13 cents per share, compared to a net loss of $4.4 million, or 10 cents per share, for the previous quarter and a net loss of $6.3 million, or 15 cents per share, for the same period last year</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Consumption of cash and investments for the quarter was $4.4 million, as compared to $4.0 million for the previous quarter and $5.3 million for the same period last year. Cash and investments at March 31, 2004 were $67.8 million.</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revenue doubled year over year, several orders expected in Q1 were delayed, causing actual sales to fall short of our earlier estimates. Sales quotations, bookings and shipments increased in the second half of Q1 and we see this momentum continuing during the current quarter,” said Joe Pinkerton, Chairman and CEO of Active Power. “We expect sequential growth in Q2 supported by backlog carried over from Q1 and April bookings. Product line extensions completed in the second half of 2003 are expected to be a catalyst for growth in 2004. In addition, recent technical progress has given us increased confidence that our extended runtime product is on track to provide significant additional growth in 2005.”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Highlights:</w:t>
      </w:r>
    </w:p>
    <w:p>
      <w:pPr>
        <w:spacing w:after="0" w:line="75" w:lineRule="exact"/>
        <w:rPr>
          <w:sz w:val="20"/>
          <w:szCs w:val="20"/>
          <w:color w:val="auto"/>
        </w:rPr>
      </w:pPr>
    </w:p>
    <w:p>
      <w:pPr>
        <w:ind w:left="800" w:right="220" w:hanging="346"/>
        <w:spacing w:after="0" w:line="336"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Installed our UPS system at a facility for Eurotel, the largest wireless services provider in the Czech Republic. The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technology passed the stringent requirements set forth by the customer and has formed the basis of the customer’s specifications for future projects.</w:t>
      </w:r>
    </w:p>
    <w:p>
      <w:pPr>
        <w:ind w:left="800" w:right="46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Placed our first systems in the banking industry with installations at the main data center of the largest retail bank in Korea and a data center of a leading investment bank in New Jersey.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the first phase of our 7 MVA installation for our customer, an African printer and paper manufacturer. The Active Power equipment is currently protecting the customer’s facility in a continuous power system</w:t>
      </w:r>
    </w:p>
    <w:p>
      <w:pPr>
        <w:sectPr>
          <w:pgSz w:w="11900" w:h="16838" w:orient="portrait"/>
          <w:cols w:equalWidth="0" w:num="1">
            <w:col w:w="11420"/>
          </w:cols>
          <w:pgMar w:left="240" w:top="125" w:right="239" w:bottom="1440" w:gutter="0" w:footer="0" w:header="0"/>
        </w:sectPr>
      </w:pPr>
    </w:p>
    <w:bookmarkStart w:id="5" w:name="page6"/>
    <w:bookmarkEnd w:id="5"/>
    <w:p>
      <w:pPr>
        <w:ind w:left="80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configuration. The remaining components of this project include another $1.9 million in product and services, $1.0 million of which is expected in Q2, with the remainder in Q3 and Q4.</w:t>
      </w:r>
    </w:p>
    <w:p>
      <w:pPr>
        <w:spacing w:after="0" w:line="37" w:lineRule="exact"/>
        <w:rPr>
          <w:sz w:val="20"/>
          <w:szCs w:val="20"/>
          <w:color w:val="auto"/>
        </w:rPr>
      </w:pPr>
    </w:p>
    <w:p>
      <w:pPr>
        <w:ind w:left="800" w:hanging="346"/>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to make inroads into government facilities with the sale of several mid-range UPS systems (65 – 150 kVA) to the United States Navy. These units will be used to backup critical dock lighting at a Navy site. We also sold a DC unit to a Unites States Air Force base, and a multi-flywheel UPS system to a state department of transportation.</w:t>
      </w:r>
    </w:p>
    <w:p>
      <w:pPr>
        <w:spacing w:after="0" w:line="45" w:lineRule="exact"/>
        <w:rPr>
          <w:rFonts w:ascii="Arial" w:cs="Arial" w:eastAsia="Arial" w:hAnsi="Arial"/>
          <w:sz w:val="18"/>
          <w:szCs w:val="18"/>
          <w:color w:val="auto"/>
        </w:rPr>
      </w:pPr>
    </w:p>
    <w:p>
      <w:pPr>
        <w:ind w:left="800" w:right="160" w:hanging="346"/>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Inventory stocking units at our primary OEM, Caterpillar and its dealer network, declined by approximately $1.0 million or 15% with a large portion of these units being installed at a semiconductor facility owned by ST Microelectronics. This is the second large installation of Active Power CleanSource DC systems at this customer.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Shipped our first UPS system for installation in Australia. This system will protect the headquarters of one of the leading TV channels in Sydney.</w:t>
      </w:r>
    </w:p>
    <w:p>
      <w:pPr>
        <w:spacing w:after="0" w:line="99" w:lineRule="exact"/>
        <w:rPr>
          <w:rFonts w:ascii="Arial" w:cs="Arial" w:eastAsia="Arial" w:hAnsi="Arial"/>
          <w:sz w:val="16"/>
          <w:szCs w:val="16"/>
          <w:color w:val="auto"/>
        </w:rPr>
      </w:pPr>
    </w:p>
    <w:p>
      <w:pPr>
        <w:ind w:left="800" w:right="80" w:hanging="346"/>
        <w:spacing w:after="0" w:line="306"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Achieved a significant development milestone on our battery-free extended runtime product, discharging the system at 40 kW for over 15 minutes. This system is targeted to replace lead-acid batteries in the 3-phase UPS market below 100 kVA. We anticipate a technology launch for this product in September 2004, and are on schedule to ship alpha units to customers in the fourth quarter of this year.</w:t>
      </w:r>
    </w:p>
    <w:p>
      <w:pPr>
        <w:spacing w:after="0" w:line="12" w:lineRule="exact"/>
        <w:rPr>
          <w:rFonts w:ascii="Arial" w:cs="Arial" w:eastAsia="Arial" w:hAnsi="Arial"/>
          <w:sz w:val="16"/>
          <w:szCs w:val="16"/>
          <w:color w:val="auto"/>
        </w:rPr>
      </w:pPr>
    </w:p>
    <w:p>
      <w:pPr>
        <w:ind w:left="800" w:right="120" w:hanging="346"/>
        <w:spacing w:after="0" w:line="291"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Strengthened our Board of Directors with the addition of Ake Almgren, who brings tremendous power quality experience to our Board, most recently as the Chairman and CEO of Capstone Turbine Corp. Before joining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was elected to the Board as a Class III Director and his term will expire at the 2006 annual meeting of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Active Power expects Q2 2004 revenue to increase to approximately $3.5 to $4.5 million, and Q2 earnings per share to be a loss of approximately 13 to 15 cents. We expect consumption of cash and investments in Q2 to be in the range of $4.5 to $5.5 million. For the full year 2004, we expect 100% revenue growth over 2003, and EPS to be a loss of 46 to 50 cents per share. Included in our Q2 and full year 2004 EPS estimates are $500,000, 1.2 cents a share, and $1.5 million, 3.5 cents a share, respectively, of estimated legal costs associated with the ongoing litigation and trial preparation, as discussed in our SEC filings.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Conference call:</w:t>
      </w:r>
    </w:p>
    <w:p>
      <w:pPr>
        <w:spacing w:after="0" w:line="83" w:lineRule="exact"/>
        <w:rPr>
          <w:sz w:val="20"/>
          <w:szCs w:val="20"/>
          <w:color w:val="auto"/>
        </w:rPr>
      </w:pPr>
    </w:p>
    <w:p>
      <w:pPr>
        <w:ind w:right="100"/>
        <w:spacing w:after="0" w:line="315" w:lineRule="auto"/>
        <w:rPr>
          <w:sz w:val="20"/>
          <w:szCs w:val="20"/>
          <w:color w:val="auto"/>
        </w:rPr>
      </w:pPr>
      <w:r>
        <w:rPr>
          <w:rFonts w:ascii="Arial" w:cs="Arial" w:eastAsia="Arial" w:hAnsi="Arial"/>
          <w:sz w:val="17"/>
          <w:szCs w:val="17"/>
          <w:color w:val="auto"/>
        </w:rPr>
        <w:t>The Company will host a conference call today, Wednesday, April 28, at 11:00 a.m. Eastern Time, to further review the Company’s fiscal Q1 results. A replay of the webcast will be available until May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Investors may access the live broadcast and replay through our web site: </w:t>
      </w:r>
      <w:r>
        <w:rPr>
          <w:rFonts w:ascii="Arial" w:cs="Arial" w:eastAsia="Arial" w:hAnsi="Arial"/>
          <w:sz w:val="17"/>
          <w:szCs w:val="17"/>
          <w:u w:val="single" w:color="auto"/>
          <w:color w:val="auto"/>
        </w:rPr>
        <w:t>www.activepower.com</w:t>
      </w: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ind w:right="220"/>
        <w:spacing w:after="0" w:line="320"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16"/>
          <w:szCs w:val="16"/>
          <w:color w:val="auto"/>
          <w:vertAlign w:val="superscript"/>
        </w:rPr>
        <w:t>®</w:t>
      </w:r>
      <w:r>
        <w:rPr>
          <w:rFonts w:ascii="Arial" w:cs="Arial" w:eastAsia="Arial" w:hAnsi="Arial"/>
          <w:sz w:val="16"/>
          <w:szCs w:val="16"/>
          <w:color w:val="auto"/>
        </w:rPr>
        <w:t>; competition; delays in research and development; dependence on sole or limited source suppliers; inability to increase product sales; inventory risks; dependence upon key personnel; inability to protect our intellectual property rights, including the possibility of an adverse outcome in the litigation in which we are currently engaged; potential future acquisitions;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1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 xml:space="preserve">Active Power and our Active Power logo and CleanSource are registered trademarks of Active Power, Inc. </w:t>
      </w:r>
      <w:r>
        <w:rPr>
          <w:rFonts w:ascii="Arial" w:cs="Arial" w:eastAsia="Arial" w:hAnsi="Arial"/>
          <w:sz w:val="18"/>
          <w:szCs w:val="18"/>
          <w:color w:val="auto"/>
        </w:rPr>
        <w:t>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for per share amounts)</w:t>
      </w:r>
    </w:p>
    <w:p>
      <w:pPr>
        <w:spacing w:after="0" w:line="147"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w:t>
      </w:r>
    </w:p>
    <w:p>
      <w:pPr>
        <w:jc w:val="center"/>
        <w:ind w:left="9480"/>
        <w:spacing w:after="0" w:line="223" w:lineRule="auto"/>
        <w:rPr>
          <w:sz w:val="20"/>
          <w:szCs w:val="20"/>
          <w:color w:val="auto"/>
        </w:rPr>
      </w:pPr>
      <w:r>
        <w:rPr>
          <w:rFonts w:ascii="Arial" w:cs="Arial" w:eastAsia="Arial" w:hAnsi="Arial"/>
          <w:sz w:val="14"/>
          <w:szCs w:val="14"/>
          <w:b w:val="1"/>
          <w:bCs w:val="1"/>
          <w:color w:val="auto"/>
        </w:rPr>
        <w:t>Months Ended</w:t>
      </w:r>
    </w:p>
    <w:p>
      <w:pPr>
        <w:jc w:val="center"/>
        <w:ind w:left="9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60325</wp:posOffset>
            </wp:positionV>
            <wp:extent cx="1097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Research, development and engineering</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(5,960)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income</w:t>
            </w: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(5,624)</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(6,324)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42,233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4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(5,624)</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investments in marketable securities</w:t>
            </w: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(5,596)</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(5,857)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560" w:type="dxa"/>
            <w:vAlign w:val="bottom"/>
            <w:vMerge w:val="restart"/>
          </w:tcPr>
          <w:p>
            <w:pPr>
              <w:jc w:val="right"/>
              <w:ind w:right="37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-1595120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-1595120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-1595120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-1595120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-1595120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-1595120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4070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5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2004</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6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&amp; cash equivalents</w:t>
            </w:r>
          </w:p>
        </w:tc>
        <w:tc>
          <w:tcPr>
            <w:tcW w:w="45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805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1,188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1,233</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9,258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2,098</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5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680" w:type="dxa"/>
            <w:vAlign w:val="bottom"/>
            <w:gridSpan w:val="2"/>
            <w:vMerge w:val="continue"/>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5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2,602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Stockholders’ equity:</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7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215,245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(135,643)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5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420" w:type="dxa"/>
            <w:vAlign w:val="bottom"/>
            <w:vMerge w:val="restart"/>
          </w:tcPr>
          <w:p>
            <w:pPr>
              <w:jc w:val="right"/>
              <w:ind w:right="317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20" w:type="dxa"/>
            <w:vAlign w:val="bottom"/>
          </w:tcPr>
          <w:p>
            <w:pPr>
              <w:jc w:val="right"/>
              <w:ind w:right="325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-3490595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-3490595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-3490595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-3490595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-3490595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-3490595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-557530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-557530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-557530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55308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2019-12-14T18:22:10Z</dcterms:created>
  <dcterms:modified xsi:type="dcterms:W3CDTF">2019-12-14T18:22:10Z</dcterms:modified>
</cp:coreProperties>
</file>