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5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8"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4, 2026</w:t>
      </w:r>
    </w:p>
    <w:p>
      <w:pPr>
        <w:spacing w:after="0" w:line="16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38"/>
          <w:szCs w:val="38"/>
          <w:b w:val="1"/>
          <w:bCs w:val="1"/>
          <w:color w:val="auto"/>
        </w:rPr>
        <w:t>Ridgepost Capital, Inc.</w:t>
      </w:r>
    </w:p>
    <w:p>
      <w:pPr>
        <w:spacing w:after="0" w:line="4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65"/>
          </w:cols>
          <w:pgMar w:left="315" w:top="1111" w:right="319" w:bottom="1440" w:gutter="0" w:footer="0" w:header="0"/>
        </w:sectPr>
      </w:pPr>
    </w:p>
    <w:p>
      <w:pPr>
        <w:spacing w:after="0" w:line="174" w:lineRule="exact"/>
        <w:rPr>
          <w:sz w:val="24"/>
          <w:szCs w:val="24"/>
          <w:color w:val="auto"/>
        </w:rPr>
      </w:pPr>
    </w:p>
    <w:p>
      <w:pPr>
        <w:ind w:left="2185"/>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4" w:lineRule="exact"/>
        <w:rPr>
          <w:sz w:val="24"/>
          <w:szCs w:val="24"/>
          <w:color w:val="auto"/>
        </w:rPr>
      </w:pPr>
    </w:p>
    <w:p>
      <w:pPr>
        <w:ind w:left="1685"/>
        <w:spacing w:after="0"/>
        <w:rPr>
          <w:sz w:val="20"/>
          <w:szCs w:val="20"/>
          <w:color w:val="auto"/>
        </w:rPr>
      </w:pPr>
      <w:r>
        <w:rPr>
          <w:rFonts w:ascii="Times New Roman" w:cs="Times New Roman" w:eastAsia="Times New Roman" w:hAnsi="Times New Roman"/>
          <w:sz w:val="15"/>
          <w:szCs w:val="15"/>
          <w:color w:val="auto"/>
        </w:rPr>
        <w:t>(State or other jurisdiction</w:t>
      </w:r>
    </w:p>
    <w:p>
      <w:pPr>
        <w:spacing w:after="0" w:line="17" w:lineRule="exact"/>
        <w:rPr>
          <w:sz w:val="24"/>
          <w:szCs w:val="24"/>
          <w:color w:val="auto"/>
        </w:rPr>
      </w:pPr>
    </w:p>
    <w:p>
      <w:pPr>
        <w:ind w:left="1985"/>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6"/>
          <w:szCs w:val="16"/>
          <w:b w:val="1"/>
          <w:bCs w:val="1"/>
          <w:color w:val="auto"/>
        </w:rPr>
        <w:t>001-40937</w:t>
      </w:r>
    </w:p>
    <w:p>
      <w:pPr>
        <w:spacing w:after="0" w:line="2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5"/>
          <w:szCs w:val="15"/>
          <w:color w:val="auto"/>
        </w:rPr>
        <w:t>(Commission</w:t>
      </w:r>
    </w:p>
    <w:p>
      <w:pPr>
        <w:spacing w:after="0" w:line="1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5"/>
          <w:szCs w:val="15"/>
          <w:color w:val="auto"/>
        </w:rPr>
        <w:t>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87-2908160</w:t>
      </w:r>
    </w:p>
    <w:p>
      <w:pPr>
        <w:spacing w:after="0" w:line="24"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color w:val="auto"/>
        </w:rPr>
        <w:t>(IRS Employer</w:t>
      </w:r>
    </w:p>
    <w:p>
      <w:pPr>
        <w:spacing w:after="0" w:line="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86" w:lineRule="exact"/>
        <w:rPr>
          <w:sz w:val="24"/>
          <w:szCs w:val="24"/>
          <w:color w:val="auto"/>
        </w:rPr>
      </w:pPr>
    </w:p>
    <w:p>
      <w:pPr>
        <w:sectPr>
          <w:pgSz w:w="11900" w:h="16838" w:orient="portrait"/>
          <w:cols w:equalWidth="0" w:num="3">
            <w:col w:w="5225" w:space="720"/>
            <w:col w:w="2220" w:space="720"/>
            <w:col w:w="2380"/>
          </w:cols>
          <w:pgMar w:left="315" w:top="1111" w:right="31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2699 Howell Street, Suite 1000, Dallas, Texas 75204</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(214) 865-7998</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ectPr>
          <w:pgSz w:w="11900" w:h="16838" w:orient="portrait"/>
          <w:cols w:equalWidth="0" w:num="1">
            <w:col w:w="11265"/>
          </w:cols>
          <w:pgMar w:left="315" w:top="1111" w:right="319" w:bottom="1440" w:gutter="0" w:footer="0" w:header="0"/>
          <w:type w:val="continuous"/>
        </w:sectPr>
      </w:pPr>
    </w:p>
    <w:p>
      <w:pPr>
        <w:spacing w:after="0" w:line="189"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05" w:hanging="305"/>
        <w:spacing w:after="0"/>
        <w:tabs>
          <w:tab w:leader="none" w:pos="30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265" w:hanging="265"/>
        <w:spacing w:after="0"/>
        <w:tabs>
          <w:tab w:leader="none" w:pos="26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5" w:right="3960" w:hanging="5"/>
        <w:spacing w:after="0" w:line="493" w:lineRule="auto"/>
        <w:tabs>
          <w:tab w:leader="none" w:pos="2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or to be registered pursuant to Section 12(b) of the Act:</w:t>
      </w:r>
    </w:p>
    <w:p>
      <w:pPr>
        <w:spacing w:after="0" w:line="1" w:lineRule="exact"/>
        <w:rPr>
          <w:sz w:val="24"/>
          <w:szCs w:val="24"/>
          <w:color w:val="auto"/>
        </w:rPr>
      </w:pPr>
    </w:p>
    <w:tbl>
      <w:tblPr>
        <w:tblLayout w:type="fixed"/>
        <w:tblInd w:w="5"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480" w:type="dxa"/>
            <w:vAlign w:val="bottom"/>
          </w:tcPr>
          <w:p>
            <w:pPr>
              <w:jc w:val="center"/>
              <w:ind w:left="741"/>
              <w:spacing w:after="0"/>
              <w:rPr>
                <w:sz w:val="20"/>
                <w:szCs w:val="20"/>
                <w:color w:val="auto"/>
              </w:rPr>
            </w:pPr>
            <w:r>
              <w:rPr>
                <w:rFonts w:ascii="Times New Roman" w:cs="Times New Roman" w:eastAsia="Times New Roman" w:hAnsi="Times New Roman"/>
                <w:sz w:val="16"/>
                <w:szCs w:val="16"/>
                <w:color w:val="auto"/>
                <w:w w:val="98"/>
              </w:rPr>
              <w:t>Trading</w:t>
            </w:r>
          </w:p>
        </w:tc>
        <w:tc>
          <w:tcPr>
            <w:tcW w:w="3600" w:type="dxa"/>
            <w:vAlign w:val="bottom"/>
          </w:tcPr>
          <w:p>
            <w:pPr>
              <w:jc w:val="center"/>
              <w:ind w:right="241"/>
              <w:spacing w:after="0"/>
              <w:rPr>
                <w:sz w:val="20"/>
                <w:szCs w:val="20"/>
                <w:color w:val="auto"/>
              </w:rPr>
            </w:pPr>
            <w:r>
              <w:rPr>
                <w:rFonts w:ascii="Times New Roman" w:cs="Times New Roman" w:eastAsia="Times New Roman" w:hAnsi="Times New Roman"/>
                <w:sz w:val="16"/>
                <w:szCs w:val="16"/>
                <w:color w:val="auto"/>
                <w:w w:val="97"/>
              </w:rPr>
              <w:t>Name of each exchange on which</w:t>
            </w:r>
          </w:p>
        </w:tc>
      </w:tr>
      <w:tr>
        <w:trPr>
          <w:trHeight w:val="206"/>
        </w:trPr>
        <w:tc>
          <w:tcPr>
            <w:tcW w:w="20" w:type="dxa"/>
            <w:vAlign w:val="bottom"/>
          </w:tcPr>
          <w:p>
            <w:pPr>
              <w:spacing w:after="0"/>
              <w:rPr>
                <w:sz w:val="17"/>
                <w:szCs w:val="17"/>
                <w:color w:val="auto"/>
              </w:rPr>
            </w:pPr>
          </w:p>
        </w:tc>
        <w:tc>
          <w:tcPr>
            <w:tcW w:w="516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6"/>
                <w:szCs w:val="16"/>
                <w:color w:val="auto"/>
              </w:rPr>
              <w:t>Title of Each Class</w:t>
            </w:r>
          </w:p>
        </w:tc>
        <w:tc>
          <w:tcPr>
            <w:tcW w:w="2480" w:type="dxa"/>
            <w:vAlign w:val="bottom"/>
            <w:tcBorders>
              <w:bottom w:val="single" w:sz="8" w:color="auto"/>
            </w:tcBorders>
          </w:tcPr>
          <w:p>
            <w:pPr>
              <w:jc w:val="center"/>
              <w:ind w:left="761"/>
              <w:spacing w:after="0"/>
              <w:rPr>
                <w:sz w:val="20"/>
                <w:szCs w:val="20"/>
                <w:color w:val="auto"/>
              </w:rPr>
            </w:pPr>
            <w:r>
              <w:rPr>
                <w:rFonts w:ascii="Times New Roman" w:cs="Times New Roman" w:eastAsia="Times New Roman" w:hAnsi="Times New Roman"/>
                <w:sz w:val="16"/>
                <w:szCs w:val="16"/>
                <w:color w:val="auto"/>
                <w:w w:val="96"/>
              </w:rPr>
              <w:t>Symbol</w:t>
            </w:r>
          </w:p>
        </w:tc>
        <w:tc>
          <w:tcPr>
            <w:tcW w:w="36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color w:val="auto"/>
                <w:w w:val="98"/>
              </w:rPr>
              <w:t>registered</w:t>
            </w:r>
          </w:p>
        </w:tc>
      </w:tr>
      <w:tr>
        <w:trPr>
          <w:trHeight w:val="163"/>
        </w:trPr>
        <w:tc>
          <w:tcPr>
            <w:tcW w:w="20" w:type="dxa"/>
            <w:vAlign w:val="bottom"/>
          </w:tcPr>
          <w:p>
            <w:pPr>
              <w:spacing w:after="0"/>
              <w:rPr>
                <w:sz w:val="14"/>
                <w:szCs w:val="14"/>
                <w:color w:val="auto"/>
              </w:rPr>
            </w:pPr>
          </w:p>
        </w:tc>
        <w:tc>
          <w:tcPr>
            <w:tcW w:w="5160" w:type="dxa"/>
            <w:vAlign w:val="bottom"/>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Class A Common Stock, $0.001 par value per share</w:t>
            </w:r>
          </w:p>
        </w:tc>
        <w:tc>
          <w:tcPr>
            <w:tcW w:w="2480" w:type="dxa"/>
            <w:vAlign w:val="bottom"/>
          </w:tcPr>
          <w:p>
            <w:pPr>
              <w:jc w:val="center"/>
              <w:ind w:left="761"/>
              <w:spacing w:after="0" w:line="162" w:lineRule="exact"/>
              <w:rPr>
                <w:sz w:val="20"/>
                <w:szCs w:val="20"/>
                <w:color w:val="auto"/>
              </w:rPr>
            </w:pPr>
            <w:r>
              <w:rPr>
                <w:rFonts w:ascii="Times New Roman" w:cs="Times New Roman" w:eastAsia="Times New Roman" w:hAnsi="Times New Roman"/>
                <w:sz w:val="16"/>
                <w:szCs w:val="16"/>
                <w:b w:val="1"/>
                <w:bCs w:val="1"/>
                <w:color w:val="auto"/>
                <w:w w:val="97"/>
              </w:rPr>
              <w:t>RPC</w:t>
            </w:r>
          </w:p>
        </w:tc>
        <w:tc>
          <w:tcPr>
            <w:tcW w:w="3600" w:type="dxa"/>
            <w:vAlign w:val="bottom"/>
          </w:tcPr>
          <w:p>
            <w:pPr>
              <w:jc w:val="center"/>
              <w:ind w:right="241"/>
              <w:spacing w:after="0" w:line="162" w:lineRule="exact"/>
              <w:rPr>
                <w:sz w:val="20"/>
                <w:szCs w:val="20"/>
                <w:color w:val="auto"/>
              </w:rPr>
            </w:pPr>
            <w:r>
              <w:rPr>
                <w:rFonts w:ascii="Times New Roman" w:cs="Times New Roman" w:eastAsia="Times New Roman" w:hAnsi="Times New Roman"/>
                <w:sz w:val="16"/>
                <w:szCs w:val="16"/>
                <w:b w:val="1"/>
                <w:bCs w:val="1"/>
                <w:color w:val="auto"/>
                <w:w w:val="98"/>
              </w:rPr>
              <w:t>New York Stock Exchange</w:t>
            </w:r>
          </w:p>
        </w:tc>
      </w:tr>
      <w:tr>
        <w:trPr>
          <w:trHeight w:val="208"/>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600" w:type="dxa"/>
            <w:vAlign w:val="bottom"/>
          </w:tcPr>
          <w:p>
            <w:pPr>
              <w:jc w:val="center"/>
              <w:ind w:right="241"/>
              <w:spacing w:after="0"/>
              <w:rPr>
                <w:sz w:val="20"/>
                <w:szCs w:val="20"/>
                <w:color w:val="auto"/>
              </w:rPr>
            </w:pPr>
            <w:r>
              <w:rPr>
                <w:rFonts w:ascii="Times New Roman" w:cs="Times New Roman" w:eastAsia="Times New Roman" w:hAnsi="Times New Roman"/>
                <w:sz w:val="16"/>
                <w:szCs w:val="16"/>
                <w:b w:val="1"/>
                <w:bCs w:val="1"/>
                <w:color w:val="auto"/>
                <w:w w:val="99"/>
              </w:rPr>
              <w:t>NYSE Texas, Inc.</w:t>
            </w:r>
          </w:p>
        </w:tc>
      </w:tr>
    </w:tbl>
    <w:p>
      <w:pPr>
        <w:spacing w:after="0" w:line="361" w:lineRule="exact"/>
        <w:rPr>
          <w:sz w:val="24"/>
          <w:szCs w:val="24"/>
          <w:color w:val="auto"/>
        </w:rPr>
      </w:pPr>
    </w:p>
    <w:p>
      <w:pPr>
        <w:jc w:val="both"/>
        <w:ind w:left="5" w:right="2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85"/>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99" w:lineRule="exact"/>
        <w:rPr>
          <w:sz w:val="24"/>
          <w:szCs w:val="24"/>
          <w:color w:val="auto"/>
        </w:rPr>
      </w:pPr>
    </w:p>
    <w:p>
      <w:pPr>
        <w:jc w:val="both"/>
        <w:ind w:left="5" w:right="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753110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111"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96" w:lineRule="exact"/>
        <w:rPr>
          <w:sz w:val="20"/>
          <w:szCs w:val="20"/>
          <w:color w:val="auto"/>
        </w:rPr>
      </w:pPr>
    </w:p>
    <w:p>
      <w:pPr>
        <w:jc w:val="both"/>
        <w:ind w:firstLine="851"/>
        <w:spacing w:after="0" w:line="261" w:lineRule="auto"/>
        <w:rPr>
          <w:sz w:val="20"/>
          <w:szCs w:val="20"/>
          <w:color w:val="auto"/>
        </w:rPr>
      </w:pPr>
      <w:r>
        <w:rPr>
          <w:rFonts w:ascii="Times New Roman" w:cs="Times New Roman" w:eastAsia="Times New Roman" w:hAnsi="Times New Roman"/>
          <w:sz w:val="16"/>
          <w:szCs w:val="16"/>
          <w:color w:val="auto"/>
        </w:rPr>
        <w:t>On November 4, 2026, Ridgepost Capital, Inc. (“Ridgepost Capital”) issued a press release and posted an investor presentation on its website announcing financial results for the quarter ended September 30, 2026. The press release and investor presentation are attached hereto as Exhibits 99.1 and 99.2, respectively, and are incorporated herein by reference.</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Exhibits 99.1 and 99.2 </w:t>
      </w:r>
      <w:r>
        <w:rPr>
          <w:rFonts w:ascii="Times New Roman" w:cs="Times New Roman" w:eastAsia="Times New Roman" w:hAnsi="Times New Roman"/>
          <w:sz w:val="16"/>
          <w:szCs w:val="16"/>
          <w:color w:val="212529"/>
        </w:rPr>
        <w:t>are being furnished under both Item 2.02 “Results of Operations and Financial Condition” and Item 7.01 “Regulation FD Disclosure.”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right="160" w:firstLine="851"/>
        <w:spacing w:after="0" w:line="276" w:lineRule="auto"/>
        <w:rPr>
          <w:sz w:val="20"/>
          <w:szCs w:val="20"/>
          <w:color w:val="auto"/>
        </w:rPr>
      </w:pPr>
      <w:r>
        <w:rPr>
          <w:rFonts w:ascii="Times New Roman" w:cs="Times New Roman" w:eastAsia="Times New Roman" w:hAnsi="Times New Roman"/>
          <w:sz w:val="16"/>
          <w:szCs w:val="16"/>
          <w:color w:val="212529"/>
        </w:rPr>
        <w:t>On November 4, 2026, Ridgepost Capital announced that its Board of Directors declared a cash dividend of $0.04 per share of its outstanding Class A and Class B common stock, payable on December 18, 2026 to stockholders of record as of the close of business on November 30, 2026.</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370"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7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Exhibit No.</w:t>
            </w:r>
          </w:p>
        </w:tc>
        <w:tc>
          <w:tcPr>
            <w:tcW w:w="9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28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69"/>
        </w:trPr>
        <w:tc>
          <w:tcPr>
            <w:tcW w:w="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1</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54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Press Release, dated November 4, 2026</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169"/>
        </w:trPr>
        <w:tc>
          <w:tcPr>
            <w:tcW w:w="2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0000FF"/>
                <w:w w:val="85"/>
              </w:rPr>
              <w:t>99.</w:t>
            </w:r>
            <w:r>
              <w:rPr>
                <w:rFonts w:ascii="Times New Roman" w:cs="Times New Roman" w:eastAsia="Times New Roman" w:hAnsi="Times New Roman"/>
                <w:sz w:val="16"/>
                <w:szCs w:val="16"/>
                <w:u w:val="single" w:color="auto"/>
                <w:color w:val="0000FF"/>
                <w:w w:val="85"/>
              </w:rPr>
              <w:t>2</w:t>
            </w: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54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Investor Presentation, dated November 4, 2026</w:t>
            </w:r>
          </w:p>
        </w:tc>
      </w:tr>
      <w:tr>
        <w:trPr>
          <w:trHeight w:val="20"/>
        </w:trPr>
        <w:tc>
          <w:tcPr>
            <w:tcW w:w="280" w:type="dxa"/>
            <w:vAlign w:val="bottom"/>
            <w:tcBorders>
              <w:lef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05"/>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9"/>
              </w:rPr>
              <w:t>104</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422"/>
        </w:trPr>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26"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751"/>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0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Ridgepost Capital, Inc.</w:t>
            </w:r>
          </w:p>
        </w:tc>
      </w:tr>
      <w:tr>
        <w:trPr>
          <w:trHeight w:val="378"/>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Date: November 4, 2026</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 Amanda Coussens</w:t>
            </w:r>
          </w:p>
        </w:tc>
      </w:tr>
      <w:tr>
        <w:trPr>
          <w:trHeight w:val="165"/>
        </w:trPr>
        <w:tc>
          <w:tcPr>
            <w:tcW w:w="5800" w:type="dxa"/>
            <w:vAlign w:val="bottom"/>
          </w:tcPr>
          <w:p>
            <w:pPr>
              <w:spacing w:after="0"/>
              <w:rPr>
                <w:sz w:val="14"/>
                <w:szCs w:val="14"/>
                <w:color w:val="auto"/>
              </w:rPr>
            </w:pPr>
          </w:p>
        </w:tc>
        <w:tc>
          <w:tcPr>
            <w:tcW w:w="5460" w:type="dxa"/>
            <w:vAlign w:val="bottom"/>
          </w:tcPr>
          <w:p>
            <w:pPr>
              <w:spacing w:after="0" w:line="165" w:lineRule="exact"/>
              <w:rPr>
                <w:sz w:val="20"/>
                <w:szCs w:val="20"/>
                <w:color w:val="auto"/>
              </w:rPr>
            </w:pPr>
            <w:r>
              <w:rPr>
                <w:rFonts w:ascii="Times New Roman" w:cs="Times New Roman" w:eastAsia="Times New Roman" w:hAnsi="Times New Roman"/>
                <w:sz w:val="16"/>
                <w:szCs w:val="16"/>
                <w:color w:val="auto"/>
              </w:rPr>
              <w:t>Amanda Coussens</w:t>
            </w:r>
          </w:p>
        </w:tc>
      </w:tr>
      <w:tr>
        <w:trPr>
          <w:trHeight w:val="206"/>
        </w:trPr>
        <w:tc>
          <w:tcPr>
            <w:tcW w:w="580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422"/>
        </w:trPr>
        <w:tc>
          <w:tcPr>
            <w:tcW w:w="580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26" w:right="319" w:bottom="1440" w:gutter="0" w:footer="0" w:header="0"/>
        </w:sectPr>
      </w:pPr>
    </w:p>
    <w:bookmarkStart w:id="3" w:name="page4"/>
    <w:bookmarkEnd w:id="3"/>
    <w:p>
      <w:pPr>
        <w:ind w:left="7080"/>
        <w:spacing w:after="0"/>
        <w:rPr>
          <w:sz w:val="20"/>
          <w:szCs w:val="20"/>
          <w:color w:val="auto"/>
        </w:rPr>
      </w:pPr>
      <w:r>
        <w:rPr>
          <w:rFonts w:ascii="Verdana" w:cs="Verdana" w:eastAsia="Verdana" w:hAnsi="Verdana"/>
          <w:sz w:val="16"/>
          <w:szCs w:val="16"/>
          <w:b w:val="1"/>
          <w:bCs w:val="1"/>
          <w:color w:val="302C45"/>
        </w:rPr>
        <w:drawing>
          <wp:anchor simplePos="0" relativeHeight="251657728" behindDoc="1" locked="0" layoutInCell="0" allowOverlap="1">
            <wp:simplePos x="0" y="0"/>
            <wp:positionH relativeFrom="page">
              <wp:posOffset>1431290</wp:posOffset>
            </wp:positionH>
            <wp:positionV relativeFrom="page">
              <wp:posOffset>449580</wp:posOffset>
            </wp:positionV>
            <wp:extent cx="1464310" cy="443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64310" cy="443230"/>
                    </a:xfrm>
                    <a:prstGeom prst="rect">
                      <a:avLst/>
                    </a:prstGeom>
                    <a:noFill/>
                  </pic:spPr>
                </pic:pic>
              </a:graphicData>
            </a:graphic>
          </wp:anchor>
        </w:drawing>
        <w:t>Exhibit 99.1</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2F2F45"/>
        </w:rPr>
        <w:t>Ridgepost Capital Reports Third Quarter 2026 Financial Results</w:t>
      </w:r>
    </w:p>
    <w:p>
      <w:pPr>
        <w:spacing w:after="0" w:line="200" w:lineRule="exact"/>
        <w:rPr>
          <w:sz w:val="20"/>
          <w:szCs w:val="20"/>
          <w:color w:val="auto"/>
        </w:rPr>
      </w:pPr>
    </w:p>
    <w:p>
      <w:pPr>
        <w:spacing w:after="0" w:line="233" w:lineRule="exact"/>
        <w:rPr>
          <w:sz w:val="20"/>
          <w:szCs w:val="20"/>
          <w:color w:val="auto"/>
        </w:rPr>
      </w:pPr>
    </w:p>
    <w:p>
      <w:pPr>
        <w:ind w:left="820" w:right="1259"/>
        <w:spacing w:after="0" w:line="252" w:lineRule="auto"/>
        <w:rPr>
          <w:sz w:val="20"/>
          <w:szCs w:val="20"/>
          <w:color w:val="auto"/>
        </w:rPr>
      </w:pPr>
      <w:r>
        <w:rPr>
          <w:rFonts w:ascii="Arial" w:cs="Arial" w:eastAsia="Arial" w:hAnsi="Arial"/>
          <w:sz w:val="17"/>
          <w:szCs w:val="17"/>
          <w:color w:val="2F2F45"/>
        </w:rPr>
        <w:t xml:space="preserve">DALLAS, Nov. 04, 2026 (GLOBE NEWSWIRE) – </w:t>
      </w:r>
      <w:r>
        <w:rPr>
          <w:rFonts w:ascii="Arial" w:cs="Arial" w:eastAsia="Arial" w:hAnsi="Arial"/>
          <w:sz w:val="17"/>
          <w:szCs w:val="17"/>
          <w:color w:val="000000"/>
        </w:rPr>
        <w:t>Ridgepost Capital, Inc.</w:t>
      </w:r>
      <w:r>
        <w:rPr>
          <w:rFonts w:ascii="Arial" w:cs="Arial" w:eastAsia="Arial" w:hAnsi="Arial"/>
          <w:sz w:val="17"/>
          <w:szCs w:val="17"/>
          <w:color w:val="2F2F45"/>
        </w:rPr>
        <w:t xml:space="preserve"> (NYSE: RPC) (“Ridgepost Capital”), a leading private markets solutions provider, today reported financial results for the third quarter ended September 30, 2026.</w:t>
      </w:r>
    </w:p>
    <w:p>
      <w:pPr>
        <w:spacing w:after="0" w:line="82" w:lineRule="exact"/>
        <w:rPr>
          <w:sz w:val="20"/>
          <w:szCs w:val="20"/>
          <w:color w:val="auto"/>
        </w:rPr>
      </w:pPr>
    </w:p>
    <w:p>
      <w:pPr>
        <w:ind w:left="820" w:right="939"/>
        <w:spacing w:after="0" w:line="273" w:lineRule="auto"/>
        <w:rPr>
          <w:sz w:val="20"/>
          <w:szCs w:val="20"/>
          <w:color w:val="auto"/>
        </w:rPr>
      </w:pPr>
      <w:r>
        <w:rPr>
          <w:rFonts w:ascii="Arial" w:cs="Arial" w:eastAsia="Arial" w:hAnsi="Arial"/>
          <w:sz w:val="17"/>
          <w:szCs w:val="17"/>
          <w:color w:val="2F2F45"/>
        </w:rPr>
        <w:t xml:space="preserve">A presentation of the quarterly financials is available at </w:t>
      </w:r>
      <w:r>
        <w:rPr>
          <w:rFonts w:ascii="Arial" w:cs="Arial" w:eastAsia="Arial" w:hAnsi="Arial"/>
          <w:sz w:val="17"/>
          <w:szCs w:val="17"/>
          <w:color w:val="000000"/>
        </w:rPr>
        <w:t>https://ir.ridgepostcapital.com/quarterly-results</w:t>
      </w:r>
      <w:r>
        <w:rPr>
          <w:rFonts w:ascii="Arial" w:cs="Arial" w:eastAsia="Arial" w:hAnsi="Arial"/>
          <w:sz w:val="17"/>
          <w:szCs w:val="17"/>
          <w:color w:val="2F2F45"/>
        </w:rPr>
        <w:t>.</w:t>
      </w:r>
    </w:p>
    <w:p>
      <w:pPr>
        <w:spacing w:after="0" w:line="64" w:lineRule="exact"/>
        <w:rPr>
          <w:sz w:val="20"/>
          <w:szCs w:val="20"/>
          <w:color w:val="auto"/>
        </w:rPr>
      </w:pPr>
    </w:p>
    <w:p>
      <w:pPr>
        <w:ind w:left="820" w:right="1019"/>
        <w:spacing w:after="0" w:line="237" w:lineRule="auto"/>
        <w:rPr>
          <w:sz w:val="20"/>
          <w:szCs w:val="20"/>
          <w:color w:val="auto"/>
        </w:rPr>
      </w:pPr>
      <w:r>
        <w:rPr>
          <w:rFonts w:ascii="Arial" w:cs="Arial" w:eastAsia="Arial" w:hAnsi="Arial"/>
          <w:sz w:val="17"/>
          <w:szCs w:val="17"/>
          <w:color w:val="2F2F45"/>
        </w:rPr>
        <w:t>“Ridgepost Capital delivered strong and consistent third-quarter results, as fee-paying AUM increased 21% year-over-year to more than $35 billion while margins through the first nine months of 2026 were stable year-over-year,” said Luke Sarsfield, Ridgepost Capital Chairman and Chief Executive Officer. “Our results demonstrate the benefits of the One Ridgepost platform. We raised and deployed $1.3 billion of fee-paying AUM in the third quarter, bringing the year-to-date total to a new record of nearly $4.5 billion. Notably, since June 2024, cross-selling has contributed approximately $1.7 billion to firmwide fundraising, reflecting increased collaboration across our strategies. While the operating environment remains fluid, the contractual nature of our model, our complementary platform, and differentiated investment performance continue to drive consistency and strength in our results.”</w:t>
      </w:r>
    </w:p>
    <w:p>
      <w:pPr>
        <w:spacing w:after="0" w:line="78"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Stock Repurchase Program</w:t>
      </w:r>
    </w:p>
    <w:p>
      <w:pPr>
        <w:spacing w:after="0" w:line="126" w:lineRule="exact"/>
        <w:rPr>
          <w:sz w:val="20"/>
          <w:szCs w:val="20"/>
          <w:color w:val="auto"/>
        </w:rPr>
      </w:pPr>
    </w:p>
    <w:p>
      <w:pPr>
        <w:ind w:left="820" w:right="879"/>
        <w:spacing w:after="0" w:line="242" w:lineRule="auto"/>
        <w:rPr>
          <w:sz w:val="20"/>
          <w:szCs w:val="20"/>
          <w:color w:val="auto"/>
        </w:rPr>
      </w:pPr>
      <w:r>
        <w:rPr>
          <w:rFonts w:ascii="Arial" w:cs="Arial" w:eastAsia="Arial" w:hAnsi="Arial"/>
          <w:sz w:val="17"/>
          <w:szCs w:val="17"/>
          <w:color w:val="2F2F45"/>
        </w:rPr>
        <w:t>During the third quarter, we repurchased approximately 1.78 million shares of our common stock at an average price of $8.36 per share, totaling approximately $15 million. On November 3, 2026, our Board of Directors approved a $30 million increase of the amount authorized under our share repurchase program, resulting in approximately $30 million of available repurchase authorization.</w:t>
      </w:r>
    </w:p>
    <w:p>
      <w:pPr>
        <w:spacing w:after="0" w:line="286"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Declaration of Dividend</w:t>
      </w:r>
    </w:p>
    <w:p>
      <w:pPr>
        <w:spacing w:after="0" w:line="114" w:lineRule="exact"/>
        <w:rPr>
          <w:sz w:val="20"/>
          <w:szCs w:val="20"/>
          <w:color w:val="auto"/>
        </w:rPr>
      </w:pPr>
    </w:p>
    <w:p>
      <w:pPr>
        <w:ind w:left="820" w:right="899"/>
        <w:spacing w:after="0" w:line="252" w:lineRule="auto"/>
        <w:rPr>
          <w:sz w:val="20"/>
          <w:szCs w:val="20"/>
          <w:color w:val="auto"/>
        </w:rPr>
      </w:pPr>
      <w:r>
        <w:rPr>
          <w:rFonts w:ascii="Arial" w:cs="Arial" w:eastAsia="Arial" w:hAnsi="Arial"/>
          <w:sz w:val="17"/>
          <w:szCs w:val="17"/>
          <w:color w:val="2F2F45"/>
        </w:rPr>
        <w:t>Our Board of Directors has declared a cash dividend of $0.04 per share of Class A and Class B common stock, payable on December 18, 2026, to stockholders of record as of November 30, 2026.</w:t>
      </w:r>
    </w:p>
    <w:p>
      <w:pPr>
        <w:spacing w:after="0" w:line="80"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Conference Call Details</w:t>
      </w:r>
    </w:p>
    <w:p>
      <w:pPr>
        <w:spacing w:after="0" w:line="126" w:lineRule="exact"/>
        <w:rPr>
          <w:sz w:val="20"/>
          <w:szCs w:val="20"/>
          <w:color w:val="auto"/>
        </w:rPr>
      </w:pPr>
    </w:p>
    <w:p>
      <w:pPr>
        <w:jc w:val="both"/>
        <w:ind w:left="820" w:right="839"/>
        <w:spacing w:after="0" w:line="246" w:lineRule="auto"/>
        <w:rPr>
          <w:sz w:val="20"/>
          <w:szCs w:val="20"/>
          <w:color w:val="auto"/>
        </w:rPr>
      </w:pPr>
      <w:r>
        <w:rPr>
          <w:rFonts w:ascii="Arial" w:cs="Arial" w:eastAsia="Arial" w:hAnsi="Arial"/>
          <w:sz w:val="17"/>
          <w:szCs w:val="17"/>
          <w:color w:val="2F2F45"/>
        </w:rPr>
        <w:t>Ridgepost Capital will host a conference call to discuss third quarter 2026 financial results at 8:00 a.m. Eastern Time on Wednesday, November 4, 2026. This call will include the disclosure of certain information, including forward-looking information, which may be material to an investor’s understanding of our business. All participants must register prior to joining the event.</w:t>
      </w:r>
    </w:p>
    <w:p>
      <w:pPr>
        <w:spacing w:after="0" w:line="74" w:lineRule="exact"/>
        <w:rPr>
          <w:sz w:val="20"/>
          <w:szCs w:val="20"/>
          <w:color w:val="auto"/>
        </w:rPr>
      </w:pPr>
    </w:p>
    <w:p>
      <w:pPr>
        <w:ind w:left="1380" w:hanging="282"/>
        <w:spacing w:after="0"/>
        <w:tabs>
          <w:tab w:leader="none" w:pos="1380" w:val="left"/>
        </w:tabs>
        <w:numPr>
          <w:ilvl w:val="0"/>
          <w:numId w:val="2"/>
        </w:numPr>
        <w:rPr>
          <w:rFonts w:ascii="Times New Roman" w:cs="Times New Roman" w:eastAsia="Times New Roman" w:hAnsi="Times New Roman"/>
          <w:sz w:val="17"/>
          <w:szCs w:val="17"/>
          <w:color w:val="2F2F45"/>
        </w:rPr>
      </w:pPr>
      <w:r>
        <w:rPr>
          <w:rFonts w:ascii="Arial" w:cs="Arial" w:eastAsia="Arial" w:hAnsi="Arial"/>
          <w:sz w:val="17"/>
          <w:szCs w:val="17"/>
          <w:color w:val="2F2F45"/>
        </w:rPr>
        <w:t xml:space="preserve">To join and view the live webcast, please register </w:t>
      </w:r>
      <w:r>
        <w:rPr>
          <w:rFonts w:ascii="Arial" w:cs="Arial" w:eastAsia="Arial" w:hAnsi="Arial"/>
          <w:sz w:val="17"/>
          <w:szCs w:val="17"/>
          <w:color w:val="000000"/>
        </w:rPr>
        <w:t>here</w:t>
      </w:r>
      <w:r>
        <w:rPr>
          <w:rFonts w:ascii="Arial" w:cs="Arial" w:eastAsia="Arial" w:hAnsi="Arial"/>
          <w:sz w:val="17"/>
          <w:szCs w:val="17"/>
          <w:color w:val="2F2F45"/>
        </w:rPr>
        <w:t>.</w:t>
      </w:r>
    </w:p>
    <w:p>
      <w:pPr>
        <w:spacing w:after="0" w:line="20" w:lineRule="exact"/>
        <w:rPr>
          <w:rFonts w:ascii="Times New Roman" w:cs="Times New Roman" w:eastAsia="Times New Roman" w:hAnsi="Times New Roman"/>
          <w:sz w:val="17"/>
          <w:szCs w:val="17"/>
          <w:color w:val="2F2F45"/>
        </w:rPr>
      </w:pPr>
    </w:p>
    <w:p>
      <w:pPr>
        <w:ind w:left="1380" w:hanging="282"/>
        <w:spacing w:after="0"/>
        <w:tabs>
          <w:tab w:leader="none" w:pos="1380" w:val="left"/>
        </w:tabs>
        <w:numPr>
          <w:ilvl w:val="0"/>
          <w:numId w:val="2"/>
        </w:numPr>
        <w:rPr>
          <w:rFonts w:ascii="Times New Roman" w:cs="Times New Roman" w:eastAsia="Times New Roman" w:hAnsi="Times New Roman"/>
          <w:sz w:val="17"/>
          <w:szCs w:val="17"/>
          <w:color w:val="2F2F45"/>
        </w:rPr>
      </w:pPr>
      <w:r>
        <w:rPr>
          <w:rFonts w:ascii="Arial" w:cs="Arial" w:eastAsia="Arial" w:hAnsi="Arial"/>
          <w:sz w:val="17"/>
          <w:szCs w:val="17"/>
          <w:color w:val="2F2F45"/>
        </w:rPr>
        <w:t xml:space="preserve">To join by telephone, please register </w:t>
      </w:r>
      <w:r>
        <w:rPr>
          <w:rFonts w:ascii="Arial" w:cs="Arial" w:eastAsia="Arial" w:hAnsi="Arial"/>
          <w:sz w:val="17"/>
          <w:szCs w:val="17"/>
          <w:color w:val="000000"/>
        </w:rPr>
        <w:t>here</w:t>
      </w:r>
      <w:r>
        <w:rPr>
          <w:rFonts w:ascii="Arial" w:cs="Arial" w:eastAsia="Arial" w:hAnsi="Arial"/>
          <w:sz w:val="17"/>
          <w:szCs w:val="17"/>
          <w:color w:val="2F2F45"/>
        </w:rPr>
        <w:t>.</w:t>
      </w:r>
    </w:p>
    <w:p>
      <w:pPr>
        <w:spacing w:after="0" w:line="5" w:lineRule="exact"/>
        <w:rPr>
          <w:sz w:val="20"/>
          <w:szCs w:val="20"/>
          <w:color w:val="auto"/>
        </w:rPr>
      </w:pPr>
    </w:p>
    <w:p>
      <w:pPr>
        <w:ind w:left="820" w:right="1079"/>
        <w:spacing w:after="0" w:line="253" w:lineRule="auto"/>
        <w:rPr>
          <w:sz w:val="20"/>
          <w:szCs w:val="20"/>
          <w:color w:val="auto"/>
        </w:rPr>
      </w:pPr>
      <w:r>
        <w:rPr>
          <w:rFonts w:ascii="Arial" w:cs="Arial" w:eastAsia="Arial" w:hAnsi="Arial"/>
          <w:sz w:val="17"/>
          <w:szCs w:val="17"/>
          <w:color w:val="2F2F45"/>
        </w:rPr>
        <w:t xml:space="preserve">For those unable to participate in the live event, a replay will be made available on Ridgepost Capital’s investor relations page at </w:t>
      </w:r>
      <w:r>
        <w:rPr>
          <w:rFonts w:ascii="Arial" w:cs="Arial" w:eastAsia="Arial" w:hAnsi="Arial"/>
          <w:sz w:val="17"/>
          <w:szCs w:val="17"/>
          <w:color w:val="000000"/>
        </w:rPr>
        <w:t>www.ir.ridgepostcapital.com</w:t>
      </w:r>
      <w:r>
        <w:rPr>
          <w:rFonts w:ascii="Arial" w:cs="Arial" w:eastAsia="Arial" w:hAnsi="Arial"/>
          <w:sz w:val="17"/>
          <w:szCs w:val="17"/>
          <w:color w:val="2F2F45"/>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648970</wp:posOffset>
            </wp:positionV>
            <wp:extent cx="5917565" cy="975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7565" cy="97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20"/>
        <w:spacing w:after="0"/>
        <w:rPr>
          <w:sz w:val="20"/>
          <w:szCs w:val="20"/>
          <w:color w:val="auto"/>
        </w:rPr>
      </w:pPr>
      <w:r>
        <w:rPr>
          <w:rFonts w:ascii="Verdana" w:cs="Verdana" w:eastAsia="Verdana" w:hAnsi="Verdana"/>
          <w:sz w:val="14"/>
          <w:szCs w:val="14"/>
          <w:color w:val="302C45"/>
        </w:rPr>
        <w:t>RIDGEPOSTCAPITAL.COM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405130</wp:posOffset>
            </wp:positionV>
            <wp:extent cx="616839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8390" cy="40640"/>
                    </a:xfrm>
                    <a:prstGeom prst="rect">
                      <a:avLst/>
                    </a:prstGeom>
                    <a:noFill/>
                  </pic:spPr>
                </pic:pic>
              </a:graphicData>
            </a:graphic>
          </wp:anchor>
        </w:drawing>
      </w:r>
    </w:p>
    <w:p>
      <w:pPr>
        <w:sectPr>
          <w:pgSz w:w="11900" w:h="16838" w:orient="portrait"/>
          <w:cols w:equalWidth="0" w:num="1">
            <w:col w:w="9019"/>
          </w:cols>
          <w:pgMar w:left="1440" w:top="1246" w:right="1440" w:bottom="1440" w:gutter="0" w:footer="0" w:header="0"/>
        </w:sectPr>
      </w:pPr>
    </w:p>
    <w:bookmarkStart w:id="4" w:name="page5"/>
    <w:bookmarkEnd w:id="4"/>
    <w:p>
      <w:pPr>
        <w:ind w:left="820"/>
        <w:spacing w:after="0"/>
        <w:rPr>
          <w:sz w:val="20"/>
          <w:szCs w:val="20"/>
          <w:color w:val="auto"/>
        </w:rPr>
      </w:pPr>
      <w:r>
        <w:rPr>
          <w:rFonts w:ascii="Arial" w:cs="Arial" w:eastAsia="Arial" w:hAnsi="Arial"/>
          <w:sz w:val="17"/>
          <w:szCs w:val="17"/>
          <w:b w:val="1"/>
          <w:bCs w:val="1"/>
          <w:color w:val="2F2F45"/>
        </w:rPr>
        <w:t>About Ridgepost Capital</w:t>
      </w:r>
    </w:p>
    <w:p>
      <w:pPr>
        <w:spacing w:after="0" w:line="126" w:lineRule="exact"/>
        <w:rPr>
          <w:sz w:val="20"/>
          <w:szCs w:val="20"/>
          <w:color w:val="auto"/>
        </w:rPr>
      </w:pPr>
    </w:p>
    <w:p>
      <w:pPr>
        <w:ind w:left="820" w:right="879"/>
        <w:spacing w:after="0"/>
        <w:rPr>
          <w:sz w:val="20"/>
          <w:szCs w:val="20"/>
          <w:color w:val="auto"/>
        </w:rPr>
      </w:pPr>
      <w:r>
        <w:rPr>
          <w:rFonts w:ascii="Arial" w:cs="Arial" w:eastAsia="Arial" w:hAnsi="Arial"/>
          <w:sz w:val="17"/>
          <w:szCs w:val="17"/>
          <w:color w:val="302C45"/>
        </w:rPr>
        <w:t xml:space="preserve">Ridgepost Capital (NYSE: RPC) is a leading private markets solutions provider with over $50 billion in assets under management as of September 30, 2026. Ridgepost Capital invests across Private Equity, Private Credit, and Venture Capital in access-constrained strategies, with a focus on the middle and lower-middle market. Ridgepost Capital’s products have a global investor base and aim to deliver compelling risk-adjusted returns. For additional information, please visit </w:t>
      </w:r>
      <w:r>
        <w:rPr>
          <w:rFonts w:ascii="Arial" w:cs="Arial" w:eastAsia="Arial" w:hAnsi="Arial"/>
          <w:sz w:val="17"/>
          <w:szCs w:val="17"/>
          <w:color w:val="000000"/>
        </w:rPr>
        <w:t>www.ridgepostcapital.com</w:t>
      </w:r>
      <w:r>
        <w:rPr>
          <w:rFonts w:ascii="Arial" w:cs="Arial" w:eastAsia="Arial" w:hAnsi="Arial"/>
          <w:sz w:val="17"/>
          <w:szCs w:val="17"/>
          <w:color w:val="302C45"/>
        </w:rPr>
        <w:t>.</w:t>
      </w:r>
    </w:p>
    <w:p>
      <w:pPr>
        <w:spacing w:after="0" w:line="91"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Forward-Looking Statements</w:t>
      </w:r>
    </w:p>
    <w:p>
      <w:pPr>
        <w:spacing w:after="0" w:line="114" w:lineRule="exact"/>
        <w:rPr>
          <w:sz w:val="20"/>
          <w:szCs w:val="20"/>
          <w:color w:val="auto"/>
        </w:rPr>
      </w:pPr>
    </w:p>
    <w:p>
      <w:pPr>
        <w:ind w:left="820" w:right="859"/>
        <w:spacing w:after="0" w:line="234" w:lineRule="auto"/>
        <w:rPr>
          <w:sz w:val="20"/>
          <w:szCs w:val="20"/>
          <w:color w:val="auto"/>
        </w:rPr>
      </w:pPr>
      <w:r>
        <w:rPr>
          <w:rFonts w:ascii="Arial" w:cs="Arial" w:eastAsia="Arial" w:hAnsi="Arial"/>
          <w:sz w:val="17"/>
          <w:szCs w:val="17"/>
          <w:color w:val="302C45"/>
        </w:rPr>
        <w:t>Some of the statements in this release or on our conference call, which will be held at 8:00 a.m. Eastern Time on November 4, 2026,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reflect management’s current plans, estimates, and expectations, and are inherently uncertain. All forward-looking statements are subject to known and unknown risks, uncertainties, assumptions and other important factors that may cause actual results to be materially different, including risks related to: global and domestic market and business conditions; successful execution of business and growth strategies; regulatory factors relevant to our business; changes in our tax status; our ability to maintain our fee structure; our ability to attract and retain key employees; our ability to manage our obligations under our debt agreements; our ability to make acquisitions and successfully integrate the businesses we acquire, including Stellus Capital Management, LLC; assumptions relating to our operations, financial results, financial condition, business prospects and growth strategy; the timing and amount of any share repurchases; and our ability to manage the effects of events outside of our control. The foregoing list of factors is not exhaustive. For more information regarding these risks and uncertainties as well as additional risks that we face, you should refer to the “Risk Factors” included in our annual report on Form 10-K for the year ended December 31, 2025, filed with the U.S. Securities and Exchange Commission (“SEC”) on February 27, 2026 and in our subsequent reports filed from time to time with the SEC. The forward-looking statements included in this release or on our conference call are made only as of the date such statements are made. We undertake no obligation to update or revise any forward-looking statement as a result of new information or future events, except as otherwise required by law.</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2F2F45"/>
        </w:rPr>
        <w:t>Key Financial &amp; Operating Metrics</w:t>
      </w:r>
    </w:p>
    <w:p>
      <w:pPr>
        <w:spacing w:after="0" w:line="126" w:lineRule="exact"/>
        <w:rPr>
          <w:sz w:val="20"/>
          <w:szCs w:val="20"/>
          <w:color w:val="auto"/>
        </w:rPr>
      </w:pPr>
    </w:p>
    <w:p>
      <w:pPr>
        <w:ind w:left="820" w:right="879"/>
        <w:spacing w:after="0" w:line="246" w:lineRule="auto"/>
        <w:rPr>
          <w:sz w:val="20"/>
          <w:szCs w:val="20"/>
          <w:color w:val="auto"/>
        </w:rPr>
      </w:pPr>
      <w:r>
        <w:rPr>
          <w:rFonts w:ascii="Arial" w:cs="Arial" w:eastAsia="Arial" w:hAnsi="Arial"/>
          <w:sz w:val="17"/>
          <w:szCs w:val="17"/>
          <w:color w:val="302C45"/>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145" w:lineRule="exact"/>
        <w:rPr>
          <w:sz w:val="20"/>
          <w:szCs w:val="20"/>
          <w:color w:val="auto"/>
        </w:rPr>
      </w:pPr>
    </w:p>
    <w:p>
      <w:pPr>
        <w:ind w:left="820" w:right="899"/>
        <w:spacing w:after="0" w:line="252" w:lineRule="auto"/>
        <w:rPr>
          <w:sz w:val="20"/>
          <w:szCs w:val="20"/>
          <w:color w:val="auto"/>
        </w:rPr>
      </w:pPr>
      <w:r>
        <w:rPr>
          <w:rFonts w:ascii="Arial" w:cs="Arial" w:eastAsia="Arial" w:hAnsi="Arial"/>
          <w:sz w:val="17"/>
          <w:szCs w:val="17"/>
          <w:color w:val="302C45"/>
        </w:rPr>
        <w:t>AUM reflects the assets that we manage, and is calculated as the sum of: (i) net asset value (“NAV”) of our clients’ and funds’ underlying investments as of the most recently available date; (ii) drawn and undrawn debt (excluding capital call lines); (iii) uncalled capital commitments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1350645</wp:posOffset>
            </wp:positionV>
            <wp:extent cx="616839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68390" cy="40640"/>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244475</wp:posOffset>
            </wp:positionV>
            <wp:extent cx="6120765" cy="975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0765" cy="975995"/>
                    </a:xfrm>
                    <a:prstGeom prst="rect">
                      <a:avLst/>
                    </a:prstGeom>
                    <a:noFill/>
                  </pic:spPr>
                </pic:pic>
              </a:graphicData>
            </a:graphic>
          </wp:anchor>
        </w:drawing>
      </w:r>
    </w:p>
    <w:p>
      <w:pPr>
        <w:sectPr>
          <w:pgSz w:w="11900" w:h="16838" w:orient="portrait"/>
          <w:cols w:equalWidth="0" w:num="1">
            <w:col w:w="9019"/>
          </w:cols>
          <w:pgMar w:left="1440" w:top="1183" w:right="1440" w:bottom="1440" w:gutter="0" w:footer="0" w:header="0"/>
        </w:sectPr>
      </w:pPr>
    </w:p>
    <w:bookmarkStart w:id="5" w:name="page6"/>
    <w:bookmarkEnd w:id="5"/>
    <w:p>
      <w:pPr>
        <w:jc w:val="both"/>
        <w:ind w:left="820" w:right="959"/>
        <w:spacing w:after="0" w:line="252" w:lineRule="auto"/>
        <w:rPr>
          <w:sz w:val="20"/>
          <w:szCs w:val="20"/>
          <w:color w:val="auto"/>
        </w:rPr>
      </w:pPr>
      <w:r>
        <w:rPr>
          <w:rFonts w:ascii="Arial" w:cs="Arial" w:eastAsia="Arial" w:hAnsi="Arial"/>
          <w:sz w:val="17"/>
          <w:szCs w:val="17"/>
          <w:color w:val="302C45"/>
        </w:rPr>
        <w:t>of deferred purchase price and not in excess of total capital commitments, as applicable) as of the NAV record date; (iv) incremental commitments raised since NAV record date. In situations where NAV data is not available, such as with certain advisory relationships, we use FPAUM.</w:t>
      </w:r>
    </w:p>
    <w:p>
      <w:pPr>
        <w:spacing w:after="0" w:line="13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Ridgepost Capital Investor Contact:</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7"/>
          <w:szCs w:val="17"/>
          <w:color w:val="302C45"/>
        </w:rPr>
        <w:t>Brian McKenna</w:t>
      </w:r>
    </w:p>
    <w:p>
      <w:pPr>
        <w:ind w:left="820"/>
        <w:spacing w:after="0"/>
        <w:rPr>
          <w:sz w:val="20"/>
          <w:szCs w:val="20"/>
          <w:color w:val="auto"/>
        </w:rPr>
      </w:pPr>
      <w:r>
        <w:rPr>
          <w:rFonts w:ascii="Arial" w:cs="Arial" w:eastAsia="Arial" w:hAnsi="Arial"/>
          <w:sz w:val="17"/>
          <w:szCs w:val="17"/>
          <w:color w:val="467886"/>
        </w:rPr>
        <w:t>info@ridgepostcapital.com</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Ridgepost Capital Media Contact:</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7"/>
          <w:szCs w:val="17"/>
          <w:color w:val="302C45"/>
        </w:rPr>
        <w:t>Prosek Partners</w:t>
      </w:r>
    </w:p>
    <w:p>
      <w:pPr>
        <w:ind w:left="820"/>
        <w:spacing w:after="0"/>
        <w:rPr>
          <w:sz w:val="20"/>
          <w:szCs w:val="20"/>
          <w:color w:val="auto"/>
        </w:rPr>
      </w:pPr>
      <w:r>
        <w:rPr>
          <w:rFonts w:ascii="Arial" w:cs="Arial" w:eastAsia="Arial" w:hAnsi="Arial"/>
          <w:sz w:val="17"/>
          <w:szCs w:val="17"/>
          <w:color w:val="467886"/>
        </w:rPr>
        <w:t>pro-ridgepost@prosek.com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5977890</wp:posOffset>
            </wp:positionV>
            <wp:extent cx="616839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8390" cy="40640"/>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4871720</wp:posOffset>
            </wp:positionV>
            <wp:extent cx="6120765" cy="975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0765" cy="975995"/>
                    </a:xfrm>
                    <a:prstGeom prst="rect">
                      <a:avLst/>
                    </a:prstGeom>
                    <a:noFill/>
                  </pic:spPr>
                </pic:pic>
              </a:graphicData>
            </a:graphic>
          </wp:anchor>
        </w:drawing>
      </w:r>
    </w:p>
    <w:p>
      <w:pPr>
        <w:sectPr>
          <w:pgSz w:w="11900" w:h="16838" w:orient="portrait"/>
          <w:cols w:equalWidth="0" w:num="1">
            <w:col w:w="9019"/>
          </w:cols>
          <w:pgMar w:left="1440" w:top="1185" w:right="1440"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840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0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5840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47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5847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8705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58705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564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564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2026-11-04T05:32:42Z</dcterms:created>
  <dcterms:modified xsi:type="dcterms:W3CDTF">2026-11-04T05:32:42Z</dcterms:modified>
</cp:coreProperties>
</file>